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527EB" w:rsidTr="00191D30">
        <w:tblPrEx>
          <w:tblCellMar>
            <w:top w:w="0" w:type="dxa"/>
            <w:bottom w:w="0" w:type="dxa"/>
          </w:tblCellMar>
        </w:tblPrEx>
        <w:tc>
          <w:tcPr>
            <w:tcW w:w="2268" w:type="dxa"/>
          </w:tcPr>
          <w:p w:rsidR="006E4E11" w:rsidRPr="00F527E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527EB" w:rsidRDefault="006E4E11" w:rsidP="007242A3">
            <w:pPr>
              <w:framePr w:w="5035" w:h="1644" w:wrap="notBeside" w:vAnchor="page" w:hAnchor="page" w:x="6573" w:y="721"/>
              <w:rPr>
                <w:rFonts w:ascii="TradeGothic" w:hAnsi="TradeGothic"/>
                <w:i/>
                <w:sz w:val="18"/>
              </w:rPr>
            </w:pPr>
          </w:p>
        </w:tc>
      </w:tr>
      <w:tr w:rsidR="00191D30" w:rsidRPr="00F527EB" w:rsidTr="00191D30">
        <w:tblPrEx>
          <w:tblCellMar>
            <w:top w:w="0" w:type="dxa"/>
            <w:bottom w:w="0" w:type="dxa"/>
          </w:tblCellMar>
        </w:tblPrEx>
        <w:tc>
          <w:tcPr>
            <w:tcW w:w="5267" w:type="dxa"/>
            <w:gridSpan w:val="3"/>
          </w:tcPr>
          <w:p w:rsidR="00191D30" w:rsidRPr="00F527EB" w:rsidRDefault="00191D30" w:rsidP="007242A3">
            <w:pPr>
              <w:framePr w:w="5035" w:h="1644" w:wrap="notBeside" w:vAnchor="page" w:hAnchor="page" w:x="6573" w:y="721"/>
              <w:rPr>
                <w:rFonts w:ascii="TradeGothic" w:hAnsi="TradeGothic"/>
                <w:b/>
                <w:sz w:val="22"/>
              </w:rPr>
            </w:pPr>
            <w:r w:rsidRPr="00F527EB">
              <w:rPr>
                <w:rFonts w:ascii="TradeGothic" w:hAnsi="TradeGothic"/>
                <w:b/>
                <w:sz w:val="22"/>
              </w:rPr>
              <w:t>Kommenterad dagordning</w:t>
            </w:r>
          </w:p>
        </w:tc>
      </w:tr>
      <w:tr w:rsidR="006E4E11" w:rsidRPr="00F527EB" w:rsidTr="00191D30">
        <w:tblPrEx>
          <w:tblCellMar>
            <w:top w:w="0" w:type="dxa"/>
            <w:bottom w:w="0" w:type="dxa"/>
          </w:tblCellMar>
        </w:tblPrEx>
        <w:tc>
          <w:tcPr>
            <w:tcW w:w="3402" w:type="dxa"/>
            <w:gridSpan w:val="2"/>
          </w:tcPr>
          <w:p w:rsidR="006E4E11" w:rsidRPr="00F527EB" w:rsidRDefault="00191D30" w:rsidP="007242A3">
            <w:pPr>
              <w:framePr w:w="5035" w:h="1644" w:wrap="notBeside" w:vAnchor="page" w:hAnchor="page" w:x="6573" w:y="721"/>
              <w:rPr>
                <w:rFonts w:ascii="TradeGothic" w:hAnsi="TradeGothic"/>
                <w:b/>
                <w:sz w:val="22"/>
              </w:rPr>
            </w:pPr>
            <w:r w:rsidRPr="00F527EB">
              <w:rPr>
                <w:rFonts w:ascii="TradeGothic" w:hAnsi="TradeGothic"/>
                <w:b/>
                <w:sz w:val="22"/>
              </w:rPr>
              <w:t>rådet</w:t>
            </w:r>
          </w:p>
        </w:tc>
        <w:tc>
          <w:tcPr>
            <w:tcW w:w="1865" w:type="dxa"/>
          </w:tcPr>
          <w:p w:rsidR="006E4E11" w:rsidRPr="00F527EB" w:rsidRDefault="006E4E11" w:rsidP="007242A3">
            <w:pPr>
              <w:framePr w:w="5035" w:h="1644" w:wrap="notBeside" w:vAnchor="page" w:hAnchor="page" w:x="6573" w:y="721"/>
            </w:pPr>
          </w:p>
        </w:tc>
      </w:tr>
      <w:tr w:rsidR="006E4E11" w:rsidRPr="00F527EB" w:rsidTr="00191D30">
        <w:tblPrEx>
          <w:tblCellMar>
            <w:top w:w="0" w:type="dxa"/>
            <w:bottom w:w="0" w:type="dxa"/>
          </w:tblCellMar>
        </w:tblPrEx>
        <w:tc>
          <w:tcPr>
            <w:tcW w:w="2268" w:type="dxa"/>
          </w:tcPr>
          <w:p w:rsidR="006E4E11" w:rsidRPr="00F527EB" w:rsidRDefault="00191D30" w:rsidP="007242A3">
            <w:pPr>
              <w:framePr w:w="5035" w:h="1644" w:wrap="notBeside" w:vAnchor="page" w:hAnchor="page" w:x="6573" w:y="721"/>
            </w:pPr>
            <w:r w:rsidRPr="00F527EB">
              <w:t>2011-05-2</w:t>
            </w:r>
            <w:r w:rsidR="003A7950" w:rsidRPr="00F527EB">
              <w:t>5</w:t>
            </w:r>
          </w:p>
        </w:tc>
        <w:tc>
          <w:tcPr>
            <w:tcW w:w="2999" w:type="dxa"/>
            <w:gridSpan w:val="2"/>
          </w:tcPr>
          <w:p w:rsidR="006E4E11" w:rsidRPr="00F527EB" w:rsidRDefault="006E4E11" w:rsidP="007242A3">
            <w:pPr>
              <w:framePr w:w="5035" w:h="1644" w:wrap="notBeside" w:vAnchor="page" w:hAnchor="page" w:x="6573" w:y="721"/>
              <w:rPr>
                <w:sz w:val="20"/>
              </w:rPr>
            </w:pPr>
          </w:p>
        </w:tc>
      </w:tr>
      <w:tr w:rsidR="006E4E11" w:rsidRPr="00F527EB" w:rsidTr="00191D30">
        <w:tblPrEx>
          <w:tblCellMar>
            <w:top w:w="0" w:type="dxa"/>
            <w:bottom w:w="0" w:type="dxa"/>
          </w:tblCellMar>
        </w:tblPrEx>
        <w:tc>
          <w:tcPr>
            <w:tcW w:w="2268" w:type="dxa"/>
          </w:tcPr>
          <w:p w:rsidR="006E4E11" w:rsidRPr="00F527EB" w:rsidRDefault="006E4E11" w:rsidP="007242A3">
            <w:pPr>
              <w:framePr w:w="5035" w:h="1644" w:wrap="notBeside" w:vAnchor="page" w:hAnchor="page" w:x="6573" w:y="721"/>
            </w:pPr>
          </w:p>
        </w:tc>
        <w:tc>
          <w:tcPr>
            <w:tcW w:w="2999" w:type="dxa"/>
            <w:gridSpan w:val="2"/>
          </w:tcPr>
          <w:p w:rsidR="006E4E11" w:rsidRPr="00F527E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527EB">
        <w:tblPrEx>
          <w:tblCellMar>
            <w:top w:w="0" w:type="dxa"/>
            <w:bottom w:w="0" w:type="dxa"/>
          </w:tblCellMar>
        </w:tblPrEx>
        <w:trPr>
          <w:trHeight w:val="284"/>
        </w:trPr>
        <w:tc>
          <w:tcPr>
            <w:tcW w:w="4911" w:type="dxa"/>
          </w:tcPr>
          <w:p w:rsidR="006E4E11" w:rsidRPr="00F527EB" w:rsidRDefault="00191D30">
            <w:pPr>
              <w:pStyle w:val="Avsndare"/>
              <w:framePr w:h="2483" w:wrap="notBeside" w:x="1504"/>
              <w:rPr>
                <w:b/>
                <w:i w:val="0"/>
                <w:sz w:val="22"/>
              </w:rPr>
            </w:pPr>
            <w:r w:rsidRPr="00F527EB">
              <w:rPr>
                <w:b/>
                <w:i w:val="0"/>
                <w:sz w:val="22"/>
              </w:rPr>
              <w:t>Socialdepartementet</w:t>
            </w: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r w:rsidR="006E4E11" w:rsidRPr="00F527EB">
        <w:tblPrEx>
          <w:tblCellMar>
            <w:top w:w="0" w:type="dxa"/>
            <w:bottom w:w="0" w:type="dxa"/>
          </w:tblCellMar>
        </w:tblPrEx>
        <w:trPr>
          <w:trHeight w:val="284"/>
        </w:trPr>
        <w:tc>
          <w:tcPr>
            <w:tcW w:w="4911" w:type="dxa"/>
          </w:tcPr>
          <w:p w:rsidR="006E4E11" w:rsidRPr="00F527EB" w:rsidRDefault="00191D30">
            <w:pPr>
              <w:pStyle w:val="Avsndare"/>
              <w:framePr w:h="2483" w:wrap="notBeside" w:x="1504"/>
              <w:rPr>
                <w:bCs/>
                <w:iCs/>
              </w:rPr>
            </w:pPr>
            <w:r w:rsidRPr="00F527EB">
              <w:rPr>
                <w:bCs/>
                <w:iCs/>
              </w:rPr>
              <w:t>Enheten för EU- och internationell samordning (EIS)</w:t>
            </w: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r w:rsidR="006E4E11" w:rsidRPr="00F527EB">
        <w:tblPrEx>
          <w:tblCellMar>
            <w:top w:w="0" w:type="dxa"/>
            <w:bottom w:w="0" w:type="dxa"/>
          </w:tblCellMar>
        </w:tblPrEx>
        <w:trPr>
          <w:trHeight w:val="284"/>
        </w:trPr>
        <w:tc>
          <w:tcPr>
            <w:tcW w:w="4911" w:type="dxa"/>
          </w:tcPr>
          <w:p w:rsidR="006E4E11" w:rsidRPr="00F527EB" w:rsidRDefault="006E4E11">
            <w:pPr>
              <w:pStyle w:val="Avsndare"/>
              <w:framePr w:h="2483" w:wrap="notBeside" w:x="1504"/>
              <w:rPr>
                <w:bCs/>
                <w:iCs/>
              </w:rPr>
            </w:pPr>
          </w:p>
        </w:tc>
      </w:tr>
    </w:tbl>
    <w:p w:rsidR="006E4E11" w:rsidRPr="00F527EB" w:rsidRDefault="006E4E11">
      <w:pPr>
        <w:framePr w:w="4400" w:h="2523" w:wrap="notBeside" w:vAnchor="page" w:hAnchor="page" w:x="6453" w:y="2445"/>
        <w:ind w:left="142"/>
        <w:rPr>
          <w:b/>
        </w:rPr>
      </w:pPr>
    </w:p>
    <w:p w:rsidR="00191D30" w:rsidRPr="00F527EB" w:rsidRDefault="00191D30">
      <w:pPr>
        <w:pStyle w:val="RKrubrik"/>
        <w:pBdr>
          <w:bottom w:val="single" w:sz="6" w:space="1" w:color="auto"/>
        </w:pBdr>
      </w:pPr>
      <w:bookmarkStart w:id="0" w:name="bRubrik"/>
      <w:bookmarkEnd w:id="0"/>
      <w:r w:rsidRPr="00F527EB">
        <w:t>Rådets möte (hälsoministrarna) den 6 juni 2011</w:t>
      </w:r>
    </w:p>
    <w:p w:rsidR="00191D30" w:rsidRPr="00F527EB" w:rsidRDefault="00191D30">
      <w:pPr>
        <w:pStyle w:val="RKrubrik"/>
      </w:pPr>
      <w:r w:rsidRPr="00F527EB">
        <w:t>Kommenterad dagordning</w:t>
      </w:r>
    </w:p>
    <w:p w:rsidR="0026081F" w:rsidRPr="00F527EB" w:rsidRDefault="0026081F" w:rsidP="0026081F">
      <w:pPr>
        <w:pStyle w:val="RKnormal"/>
      </w:pPr>
    </w:p>
    <w:p w:rsidR="0026081F" w:rsidRPr="00F527EB" w:rsidRDefault="0026081F" w:rsidP="0026081F">
      <w:pPr>
        <w:spacing w:line="240" w:lineRule="auto"/>
      </w:pPr>
      <w:r w:rsidRPr="00F527EB">
        <w:t>1.</w:t>
      </w:r>
      <w:r w:rsidRPr="00F527EB">
        <w:tab/>
        <w:t>Godkännande av dagordningen</w:t>
      </w:r>
    </w:p>
    <w:p w:rsidR="0026081F" w:rsidRPr="00F527EB" w:rsidRDefault="0026081F" w:rsidP="0026081F">
      <w:pPr>
        <w:spacing w:line="240" w:lineRule="auto"/>
      </w:pPr>
    </w:p>
    <w:p w:rsidR="0026081F" w:rsidRPr="00F527EB" w:rsidRDefault="0026081F" w:rsidP="0026081F">
      <w:pPr>
        <w:spacing w:line="240" w:lineRule="auto"/>
        <w:outlineLvl w:val="0"/>
        <w:rPr>
          <w:b/>
        </w:rPr>
      </w:pPr>
    </w:p>
    <w:p w:rsidR="0026081F" w:rsidRPr="00F527EB" w:rsidRDefault="0026081F" w:rsidP="0026081F">
      <w:pPr>
        <w:spacing w:line="240" w:lineRule="auto"/>
        <w:outlineLvl w:val="0"/>
        <w:rPr>
          <w:b/>
        </w:rPr>
      </w:pPr>
      <w:r w:rsidRPr="00F527EB">
        <w:rPr>
          <w:b/>
        </w:rPr>
        <w:t>Lagstiftningsöverläggningar</w:t>
      </w:r>
    </w:p>
    <w:p w:rsidR="0026081F" w:rsidRPr="00F527EB" w:rsidRDefault="0026081F" w:rsidP="0026081F">
      <w:pPr>
        <w:spacing w:line="240" w:lineRule="auto"/>
        <w:rPr>
          <w:b/>
          <w:i/>
        </w:rPr>
      </w:pPr>
      <w:r w:rsidRPr="00F527EB">
        <w:rPr>
          <w:b/>
          <w:i/>
        </w:rPr>
        <w:t>(offentlig överläggning enligt artikel 16.8 i fördraget om Europeiska unionen)</w:t>
      </w:r>
    </w:p>
    <w:p w:rsidR="0026081F" w:rsidRPr="00F527EB" w:rsidRDefault="0026081F" w:rsidP="0026081F">
      <w:pPr>
        <w:spacing w:line="240" w:lineRule="auto"/>
      </w:pPr>
    </w:p>
    <w:p w:rsidR="0026081F" w:rsidRPr="00F527EB" w:rsidRDefault="0026081F" w:rsidP="0026081F">
      <w:pPr>
        <w:spacing w:line="240" w:lineRule="auto"/>
      </w:pPr>
      <w:r w:rsidRPr="00F527EB">
        <w:t>2.</w:t>
      </w:r>
      <w:r w:rsidRPr="00F527EB">
        <w:tab/>
        <w:t>(ev.) Godkännande av A-punktslistan</w:t>
      </w:r>
    </w:p>
    <w:p w:rsidR="0026081F" w:rsidRPr="00F527EB" w:rsidRDefault="0026081F" w:rsidP="0026081F">
      <w:pPr>
        <w:spacing w:line="240" w:lineRule="auto"/>
      </w:pPr>
    </w:p>
    <w:p w:rsidR="0026081F" w:rsidRPr="00F527EB" w:rsidRDefault="0026081F" w:rsidP="0026081F">
      <w:pPr>
        <w:spacing w:line="240" w:lineRule="auto"/>
        <w:outlineLvl w:val="0"/>
        <w:rPr>
          <w:b/>
        </w:rPr>
      </w:pPr>
      <w:r w:rsidRPr="00F527EB">
        <w:rPr>
          <w:b/>
        </w:rPr>
        <w:t>Icke lagstiftande verksamhet</w:t>
      </w:r>
    </w:p>
    <w:p w:rsidR="0026081F" w:rsidRPr="00F527EB" w:rsidRDefault="0026081F" w:rsidP="0026081F">
      <w:pPr>
        <w:spacing w:line="240" w:lineRule="auto"/>
        <w:rPr>
          <w:b/>
        </w:rPr>
      </w:pPr>
    </w:p>
    <w:p w:rsidR="0026081F" w:rsidRPr="00F527EB" w:rsidRDefault="0026081F" w:rsidP="0026081F">
      <w:pPr>
        <w:spacing w:line="240" w:lineRule="auto"/>
        <w:rPr>
          <w:b/>
        </w:rPr>
      </w:pPr>
    </w:p>
    <w:p w:rsidR="0026081F" w:rsidRPr="00F527EB" w:rsidRDefault="0026081F" w:rsidP="0026081F">
      <w:pPr>
        <w:spacing w:line="240" w:lineRule="auto"/>
      </w:pPr>
      <w:r w:rsidRPr="00F527EB">
        <w:t>3.</w:t>
      </w:r>
      <w:r w:rsidRPr="00F527EB">
        <w:tab/>
        <w:t>Godkännande av A-punktslistan</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rPr>
          <w:b/>
        </w:rPr>
      </w:pPr>
      <w:r w:rsidRPr="00F527EB">
        <w:rPr>
          <w:b/>
        </w:rPr>
        <w:t>4.</w:t>
      </w:r>
      <w:r w:rsidRPr="00F527EB">
        <w:rPr>
          <w:b/>
        </w:rPr>
        <w:tab/>
        <w:t>Den europeiska pakten för psykisk hälsa och välbefinnande: resultat och framtida åtgärder</w:t>
      </w:r>
    </w:p>
    <w:p w:rsidR="0026081F" w:rsidRPr="00F527EB" w:rsidRDefault="0026081F" w:rsidP="0026081F">
      <w:pPr>
        <w:spacing w:line="240" w:lineRule="auto"/>
        <w:ind w:left="567"/>
        <w:rPr>
          <w:b/>
        </w:rPr>
      </w:pPr>
      <w:r w:rsidRPr="00F527EB">
        <w:rPr>
          <w:b/>
        </w:rPr>
        <w:t>(offentlig debatt i enlighet med artikel 8.2 i rådets arbetsordning [förslag från ordförandeskapet])</w:t>
      </w:r>
    </w:p>
    <w:p w:rsidR="00136BCA" w:rsidRPr="00F527EB" w:rsidRDefault="0026081F" w:rsidP="00136BCA">
      <w:pPr>
        <w:spacing w:line="240" w:lineRule="auto"/>
        <w:ind w:left="567"/>
        <w:rPr>
          <w:b/>
        </w:rPr>
      </w:pPr>
      <w:r w:rsidRPr="00F527EB">
        <w:rPr>
          <w:b/>
        </w:rPr>
        <w:t>–</w:t>
      </w:r>
      <w:r w:rsidRPr="00F527EB">
        <w:rPr>
          <w:b/>
        </w:rPr>
        <w:tab/>
        <w:t>Antagande av rådets slutsatser</w:t>
      </w:r>
    </w:p>
    <w:p w:rsidR="00136BCA" w:rsidRPr="00F527EB" w:rsidRDefault="00136BCA" w:rsidP="00136BCA">
      <w:pPr>
        <w:spacing w:line="240" w:lineRule="auto"/>
        <w:ind w:left="567"/>
      </w:pPr>
    </w:p>
    <w:p w:rsidR="00136BCA" w:rsidRPr="00F527EB" w:rsidRDefault="00136BCA" w:rsidP="00136BCA">
      <w:pPr>
        <w:spacing w:line="240" w:lineRule="auto"/>
        <w:rPr>
          <w:b/>
        </w:rPr>
      </w:pPr>
      <w:r w:rsidRPr="00F527EB">
        <w:rPr>
          <w:b/>
        </w:rPr>
        <w:t>Dokument</w:t>
      </w:r>
    </w:p>
    <w:p w:rsidR="00136BCA" w:rsidRPr="00F527EB" w:rsidRDefault="00136BCA" w:rsidP="00136BCA">
      <w:pPr>
        <w:spacing w:line="240" w:lineRule="auto"/>
        <w:rPr>
          <w:b/>
        </w:rPr>
      </w:pPr>
      <w:r w:rsidRPr="00F527EB">
        <w:t>10384/11 SAN 99</w:t>
      </w:r>
    </w:p>
    <w:p w:rsidR="00136BCA" w:rsidRPr="00F527EB" w:rsidRDefault="00136BCA" w:rsidP="0026081F">
      <w:pPr>
        <w:rPr>
          <w:b/>
        </w:rPr>
      </w:pPr>
    </w:p>
    <w:p w:rsidR="0026081F" w:rsidRPr="00F527EB" w:rsidRDefault="0026081F" w:rsidP="0026081F">
      <w:pPr>
        <w:rPr>
          <w:b/>
        </w:rPr>
      </w:pPr>
      <w:r w:rsidRPr="00F527EB">
        <w:rPr>
          <w:b/>
        </w:rPr>
        <w:t>Tidigare behandling</w:t>
      </w:r>
    </w:p>
    <w:p w:rsidR="0026081F" w:rsidRPr="00F527EB" w:rsidRDefault="0026081F" w:rsidP="0026081F">
      <w:pPr>
        <w:pStyle w:val="RKnormal"/>
      </w:pPr>
      <w:r w:rsidRPr="00F527EB">
        <w:t>Frågan har inte tidigare behandlats i EU-nämnden. Socialutskottet fick information om frågan den 19 maj.</w:t>
      </w:r>
    </w:p>
    <w:p w:rsidR="0026081F" w:rsidRPr="00F527EB" w:rsidRDefault="0026081F" w:rsidP="0026081F">
      <w:pPr>
        <w:spacing w:line="240" w:lineRule="auto"/>
        <w:rPr>
          <w:szCs w:val="24"/>
        </w:rPr>
      </w:pPr>
    </w:p>
    <w:p w:rsidR="0026081F" w:rsidRPr="00F527EB" w:rsidRDefault="0026081F" w:rsidP="0026081F">
      <w:pPr>
        <w:rPr>
          <w:b/>
        </w:rPr>
      </w:pPr>
      <w:r w:rsidRPr="00F527EB">
        <w:rPr>
          <w:b/>
        </w:rPr>
        <w:t>Ansvarigt statsråd</w:t>
      </w:r>
    </w:p>
    <w:p w:rsidR="0026081F" w:rsidRPr="00F527EB" w:rsidRDefault="0026081F" w:rsidP="0026081F">
      <w:r w:rsidRPr="00F527EB">
        <w:lastRenderedPageBreak/>
        <w:t>Göran Hägglund</w:t>
      </w:r>
    </w:p>
    <w:p w:rsidR="0026081F" w:rsidRPr="00F527EB" w:rsidRDefault="0026081F" w:rsidP="0026081F">
      <w:pPr>
        <w:spacing w:line="240" w:lineRule="auto"/>
        <w:rPr>
          <w:szCs w:val="24"/>
        </w:rPr>
      </w:pPr>
    </w:p>
    <w:p w:rsidR="0026081F" w:rsidRPr="00F527EB" w:rsidRDefault="0026081F" w:rsidP="0026081F">
      <w:pPr>
        <w:rPr>
          <w:b/>
        </w:rPr>
      </w:pPr>
      <w:r w:rsidRPr="00F527EB">
        <w:rPr>
          <w:b/>
        </w:rPr>
        <w:t>Bakgrund</w:t>
      </w:r>
    </w:p>
    <w:p w:rsidR="001A721D" w:rsidRPr="00F527EB" w:rsidRDefault="0026081F" w:rsidP="001A721D">
      <w:r w:rsidRPr="00F527EB">
        <w:t>Bakgrunden till rådsslutsatserna är ”the European Mental Health Pact”</w:t>
      </w:r>
      <w:r w:rsidR="001A721D" w:rsidRPr="00F527EB">
        <w:t xml:space="preserve"> (</w:t>
      </w:r>
      <w:hyperlink r:id="rId7" w:history="1">
        <w:r w:rsidR="001A721D" w:rsidRPr="00F527EB">
          <w:t>http://ec.europa.eu/health/archive/ph_determinants/life_style/mental/docs/pact_en.pdf</w:t>
        </w:r>
      </w:hyperlink>
      <w:r w:rsidR="001A721D" w:rsidRPr="00F527EB">
        <w:t>)</w:t>
      </w:r>
      <w:r w:rsidRPr="00F527EB">
        <w:t>, som antogs vid ett högnivåmöte i juni 2008. Paktens syfte var att stimulera politisk handling i medlemsstaterna och att stödja informations- och erfarenhetsutbyte inom EU. Avsikten med rådsslutsatserna är att bjuda in medlemsstaterna och kommissionen till ett fortsatt samarbete. Bland annat kommer man att sjösätta en Joint Action om mental hälsa för att få en tydligare struktur för detta arbete.</w:t>
      </w:r>
    </w:p>
    <w:p w:rsidR="001A721D" w:rsidRPr="00F527EB" w:rsidRDefault="001A721D" w:rsidP="0026081F"/>
    <w:p w:rsidR="0026081F" w:rsidRPr="00F527EB" w:rsidRDefault="0026081F" w:rsidP="0026081F">
      <w:pPr>
        <w:rPr>
          <w:b/>
        </w:rPr>
      </w:pPr>
      <w:r w:rsidRPr="00F527EB">
        <w:rPr>
          <w:b/>
        </w:rPr>
        <w:t>Förslag till svensk ståndpunkt</w:t>
      </w:r>
    </w:p>
    <w:p w:rsidR="0026081F" w:rsidRPr="00F527EB" w:rsidRDefault="0026081F" w:rsidP="0026081F">
      <w:r w:rsidRPr="00F527EB">
        <w:t>I beredningen av slutsatserna har regeringen framhållit och fått gehör för att det fortsatta samarbetet ska hållas på ungefär samma nivå som hittills när det gäller informations- och erfarenhetsutbyte. Vi har ställt oss positiva till ett fortsatt samarbete</w:t>
      </w:r>
      <w:r w:rsidR="008262C6" w:rsidRPr="00F527EB">
        <w:t xml:space="preserve">. Mental hälsa är samtidigt ett område med nationell kompetens. </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rPr>
          <w:b/>
        </w:rPr>
      </w:pPr>
      <w:r w:rsidRPr="00F527EB">
        <w:rPr>
          <w:b/>
        </w:rPr>
        <w:t>5.</w:t>
      </w:r>
      <w:r w:rsidRPr="00F527EB">
        <w:rPr>
          <w:b/>
        </w:rPr>
        <w:tab/>
        <w:t>Innovation i den medicintekniska produktsektorn</w:t>
      </w:r>
    </w:p>
    <w:p w:rsidR="0026081F" w:rsidRPr="00F527EB" w:rsidRDefault="0026081F" w:rsidP="0026081F">
      <w:pPr>
        <w:spacing w:line="240" w:lineRule="auto"/>
        <w:ind w:left="567"/>
        <w:rPr>
          <w:b/>
        </w:rPr>
      </w:pPr>
      <w:r w:rsidRPr="00F527EB">
        <w:rPr>
          <w:b/>
        </w:rPr>
        <w:t>(offentlig debatt i enlighet med artikel 8.2 i rådets arbetsordning [förslag från ordförandeskapet])</w:t>
      </w:r>
    </w:p>
    <w:p w:rsidR="0026081F" w:rsidRPr="00F527EB" w:rsidRDefault="0026081F" w:rsidP="0026081F">
      <w:pPr>
        <w:spacing w:line="240" w:lineRule="auto"/>
        <w:ind w:left="567"/>
        <w:rPr>
          <w:b/>
        </w:rPr>
      </w:pPr>
      <w:r w:rsidRPr="00F527EB">
        <w:rPr>
          <w:b/>
        </w:rPr>
        <w:t>–</w:t>
      </w:r>
      <w:r w:rsidRPr="00F527EB">
        <w:rPr>
          <w:b/>
        </w:rPr>
        <w:tab/>
        <w:t>Antagande av rådets slutsatser</w:t>
      </w:r>
    </w:p>
    <w:p w:rsidR="0026081F" w:rsidRPr="00F527EB" w:rsidRDefault="0026081F" w:rsidP="0026081F">
      <w:pPr>
        <w:spacing w:line="240" w:lineRule="auto"/>
      </w:pPr>
    </w:p>
    <w:p w:rsidR="00136BCA" w:rsidRPr="00F527EB" w:rsidRDefault="00136BCA" w:rsidP="00136BCA">
      <w:pPr>
        <w:rPr>
          <w:b/>
        </w:rPr>
      </w:pPr>
      <w:r w:rsidRPr="00F527EB">
        <w:rPr>
          <w:b/>
        </w:rPr>
        <w:t>Dokument</w:t>
      </w:r>
    </w:p>
    <w:p w:rsidR="00136BCA" w:rsidRPr="00F527EB" w:rsidRDefault="00136BCA" w:rsidP="00136BCA">
      <w:pPr>
        <w:rPr>
          <w:b/>
        </w:rPr>
      </w:pPr>
      <w:r w:rsidRPr="00F527EB">
        <w:rPr>
          <w:szCs w:val="24"/>
        </w:rPr>
        <w:t>10391/11 MI 270 SAN 103 COMPET 197 RECH 121 ECO 67 ENT 119 IND 68</w:t>
      </w:r>
    </w:p>
    <w:p w:rsidR="00136BCA" w:rsidRPr="00F527EB" w:rsidRDefault="00136BCA" w:rsidP="0026081F">
      <w:pPr>
        <w:rPr>
          <w:b/>
        </w:rPr>
      </w:pPr>
    </w:p>
    <w:p w:rsidR="0026081F" w:rsidRPr="00F527EB" w:rsidRDefault="0026081F" w:rsidP="0026081F">
      <w:pPr>
        <w:rPr>
          <w:b/>
        </w:rPr>
      </w:pPr>
      <w:r w:rsidRPr="00F527EB">
        <w:rPr>
          <w:b/>
        </w:rPr>
        <w:t>Tidigare behandling</w:t>
      </w:r>
    </w:p>
    <w:p w:rsidR="0026081F" w:rsidRPr="00F527EB" w:rsidRDefault="0026081F" w:rsidP="0026081F">
      <w:pPr>
        <w:pStyle w:val="RKnormal"/>
      </w:pPr>
      <w:r w:rsidRPr="00F527EB">
        <w:t>Frågan har inte tidigare behandlats i EU-nämnden. Socialutskottet fick information om frågan den 19 maj.</w:t>
      </w:r>
    </w:p>
    <w:p w:rsidR="0026081F" w:rsidRPr="00F527EB" w:rsidRDefault="0026081F" w:rsidP="0026081F">
      <w:pPr>
        <w:spacing w:line="240" w:lineRule="auto"/>
        <w:rPr>
          <w:szCs w:val="24"/>
        </w:rPr>
      </w:pPr>
    </w:p>
    <w:p w:rsidR="0026081F" w:rsidRPr="00F527EB" w:rsidRDefault="0026081F" w:rsidP="0026081F">
      <w:pPr>
        <w:rPr>
          <w:b/>
        </w:rPr>
      </w:pPr>
      <w:r w:rsidRPr="00F527EB">
        <w:rPr>
          <w:b/>
        </w:rPr>
        <w:t>Ansvarigt statsråd</w:t>
      </w:r>
    </w:p>
    <w:p w:rsidR="0026081F" w:rsidRPr="00F527EB" w:rsidRDefault="0026081F" w:rsidP="0026081F">
      <w:r w:rsidRPr="00F527EB">
        <w:t>Göran Hägglund</w:t>
      </w:r>
    </w:p>
    <w:p w:rsidR="0026081F" w:rsidRPr="00F527EB" w:rsidRDefault="0026081F" w:rsidP="0026081F">
      <w:pPr>
        <w:spacing w:line="240" w:lineRule="auto"/>
        <w:rPr>
          <w:szCs w:val="24"/>
        </w:rPr>
      </w:pPr>
    </w:p>
    <w:p w:rsidR="0026081F" w:rsidRPr="00F527EB" w:rsidRDefault="0026081F" w:rsidP="0026081F">
      <w:pPr>
        <w:rPr>
          <w:b/>
        </w:rPr>
      </w:pPr>
      <w:r w:rsidRPr="00F527EB">
        <w:rPr>
          <w:b/>
        </w:rPr>
        <w:t>Bakgrund</w:t>
      </w:r>
    </w:p>
    <w:p w:rsidR="0026081F" w:rsidRPr="00F527EB" w:rsidRDefault="0026081F" w:rsidP="0026081F">
      <w:pPr>
        <w:pStyle w:val="RKnormal"/>
      </w:pPr>
      <w:r w:rsidRPr="00F527EB">
        <w:t xml:space="preserve">Ungern har lagt fram ett förslag till rådsslutsatser om medicinteknik som bygger på resultatet av en konferens som kommissionen bjöd in till den 22 mars 2011. I rådsslutsatserna uppmanas medlemsstaterna att ta hänsyn till såväl patienters som hälso- och sjukvårdspersonalens behov i utformningen av medicintekniska produkter. Våren 2012 kommer kommissionen att presentera ett lagstiftningsförslag för att revidera EU:s medicintekniska regelverk. </w:t>
      </w:r>
    </w:p>
    <w:p w:rsidR="0026081F" w:rsidRPr="00F527EB" w:rsidRDefault="0026081F" w:rsidP="0026081F">
      <w:pPr>
        <w:pStyle w:val="RKnormal"/>
      </w:pPr>
    </w:p>
    <w:p w:rsidR="0026081F" w:rsidRPr="00F527EB" w:rsidRDefault="0026081F" w:rsidP="0026081F">
      <w:pPr>
        <w:rPr>
          <w:b/>
        </w:rPr>
      </w:pPr>
      <w:r w:rsidRPr="00F527EB">
        <w:rPr>
          <w:b/>
        </w:rPr>
        <w:t>Förslag till svensk ståndpunkt</w:t>
      </w:r>
    </w:p>
    <w:p w:rsidR="0026081F" w:rsidRPr="00F527EB" w:rsidRDefault="0026081F" w:rsidP="0026081F">
      <w:r w:rsidRPr="00F527EB">
        <w:t>Regeringen är positiv till rådsslutsatserna</w:t>
      </w:r>
      <w:r w:rsidR="00FC5679" w:rsidRPr="00F527EB">
        <w:t xml:space="preserve"> och ser fram emot att arbeta med det kommande lagförslaget</w:t>
      </w:r>
      <w:r w:rsidRPr="00F527EB">
        <w:t xml:space="preserve">. Medicinteknik är tätt sammankopplat med läkemedelsfrågorna, som utgör ett prioriterat område för regeringen. </w:t>
      </w:r>
    </w:p>
    <w:p w:rsidR="0026081F" w:rsidRPr="00F527EB" w:rsidRDefault="0026081F" w:rsidP="0026081F">
      <w:pPr>
        <w:spacing w:line="240" w:lineRule="auto"/>
      </w:pPr>
    </w:p>
    <w:p w:rsidR="00C53187" w:rsidRPr="00F527EB" w:rsidRDefault="00C53187" w:rsidP="0026081F">
      <w:pPr>
        <w:spacing w:line="240" w:lineRule="auto"/>
      </w:pPr>
    </w:p>
    <w:p w:rsidR="0026081F" w:rsidRPr="00F527EB" w:rsidRDefault="0026081F" w:rsidP="0026081F">
      <w:pPr>
        <w:spacing w:line="240" w:lineRule="auto"/>
        <w:ind w:left="567" w:hanging="567"/>
        <w:rPr>
          <w:b/>
        </w:rPr>
      </w:pPr>
      <w:r w:rsidRPr="00F527EB">
        <w:rPr>
          <w:b/>
        </w:rPr>
        <w:t>6.</w:t>
      </w:r>
      <w:r w:rsidRPr="00F527EB">
        <w:rPr>
          <w:b/>
        </w:rPr>
        <w:tab/>
        <w:t>Immunisering av barn – framgångar och utmaningar när det gäller immunisering av barn i Europa samt hur man ska gå vidare</w:t>
      </w:r>
    </w:p>
    <w:p w:rsidR="0026081F" w:rsidRPr="00F527EB" w:rsidRDefault="0026081F" w:rsidP="0026081F">
      <w:pPr>
        <w:spacing w:line="240" w:lineRule="auto"/>
        <w:ind w:left="567"/>
        <w:rPr>
          <w:b/>
        </w:rPr>
      </w:pPr>
      <w:r w:rsidRPr="00F527EB">
        <w:rPr>
          <w:b/>
        </w:rPr>
        <w:t>(offentlig debatt i enlighet med artikel 8.2 i rådets arbetsordning [förslag från ordförandeskapet])</w:t>
      </w:r>
    </w:p>
    <w:p w:rsidR="0026081F" w:rsidRPr="00F527EB" w:rsidRDefault="0026081F" w:rsidP="0026081F">
      <w:pPr>
        <w:spacing w:line="240" w:lineRule="auto"/>
        <w:ind w:left="567"/>
        <w:rPr>
          <w:b/>
        </w:rPr>
      </w:pPr>
      <w:r w:rsidRPr="00F527EB">
        <w:rPr>
          <w:b/>
        </w:rPr>
        <w:t>–</w:t>
      </w:r>
      <w:r w:rsidRPr="00F527EB">
        <w:rPr>
          <w:b/>
        </w:rPr>
        <w:tab/>
        <w:t>Antagande av rådets slutsatser</w:t>
      </w:r>
    </w:p>
    <w:p w:rsidR="0026081F" w:rsidRPr="00F527EB" w:rsidRDefault="0026081F" w:rsidP="0026081F">
      <w:pPr>
        <w:spacing w:line="240" w:lineRule="auto"/>
        <w:ind w:left="567"/>
        <w:rPr>
          <w:b/>
        </w:rPr>
      </w:pPr>
      <w:r w:rsidRPr="00F527EB">
        <w:rPr>
          <w:b/>
        </w:rPr>
        <w:t>–</w:t>
      </w:r>
      <w:r w:rsidRPr="00F527EB">
        <w:rPr>
          <w:b/>
        </w:rPr>
        <w:tab/>
        <w:t>Diskussion</w:t>
      </w:r>
    </w:p>
    <w:p w:rsidR="00136BCA" w:rsidRPr="00F527EB" w:rsidRDefault="00136BCA" w:rsidP="0026081F">
      <w:pPr>
        <w:spacing w:line="240" w:lineRule="auto"/>
        <w:ind w:left="1701"/>
      </w:pPr>
    </w:p>
    <w:p w:rsidR="00136BCA" w:rsidRPr="00F527EB" w:rsidRDefault="00136BCA" w:rsidP="00136BCA">
      <w:pPr>
        <w:rPr>
          <w:b/>
        </w:rPr>
      </w:pPr>
      <w:r w:rsidRPr="00F527EB">
        <w:rPr>
          <w:b/>
        </w:rPr>
        <w:t xml:space="preserve">Dokument </w:t>
      </w:r>
    </w:p>
    <w:p w:rsidR="00136BCA" w:rsidRPr="00F527EB" w:rsidRDefault="00136BCA" w:rsidP="00136BCA">
      <w:pPr>
        <w:rPr>
          <w:b/>
        </w:rPr>
      </w:pPr>
      <w:r w:rsidRPr="00F527EB">
        <w:t>10390/11 SAN 102</w:t>
      </w:r>
    </w:p>
    <w:p w:rsidR="00136BCA" w:rsidRPr="00F527EB" w:rsidRDefault="00136BCA" w:rsidP="00136BCA">
      <w:pPr>
        <w:rPr>
          <w:b/>
        </w:rPr>
      </w:pPr>
      <w:r w:rsidRPr="00F527EB">
        <w:t>10386/11 SAN 100</w:t>
      </w:r>
    </w:p>
    <w:p w:rsidR="00136BCA" w:rsidRPr="00F527EB" w:rsidRDefault="00136BCA" w:rsidP="0026081F">
      <w:pPr>
        <w:rPr>
          <w:b/>
        </w:rPr>
      </w:pPr>
    </w:p>
    <w:p w:rsidR="0026081F" w:rsidRPr="00F527EB" w:rsidRDefault="0026081F" w:rsidP="0026081F">
      <w:pPr>
        <w:rPr>
          <w:b/>
        </w:rPr>
      </w:pPr>
      <w:r w:rsidRPr="00F527EB">
        <w:rPr>
          <w:b/>
        </w:rPr>
        <w:t>Tidigare behandling</w:t>
      </w:r>
    </w:p>
    <w:p w:rsidR="0026081F" w:rsidRPr="00F527EB" w:rsidRDefault="0026081F" w:rsidP="0026081F">
      <w:pPr>
        <w:pStyle w:val="RKnormal"/>
      </w:pPr>
      <w:r w:rsidRPr="00F527EB">
        <w:t>Frågan har inte tidigare behandlats i EU-nämnden. Socialutskottet fick information om frågan den 19 maj.</w:t>
      </w:r>
    </w:p>
    <w:p w:rsidR="0026081F" w:rsidRPr="00F527EB" w:rsidRDefault="0026081F" w:rsidP="0026081F">
      <w:pPr>
        <w:spacing w:line="240" w:lineRule="auto"/>
        <w:rPr>
          <w:szCs w:val="24"/>
        </w:rPr>
      </w:pPr>
    </w:p>
    <w:p w:rsidR="0026081F" w:rsidRPr="00F527EB" w:rsidRDefault="0026081F" w:rsidP="0026081F">
      <w:pPr>
        <w:rPr>
          <w:b/>
        </w:rPr>
      </w:pPr>
      <w:r w:rsidRPr="00F527EB">
        <w:rPr>
          <w:b/>
        </w:rPr>
        <w:t>Ansvarigt statsråd</w:t>
      </w:r>
    </w:p>
    <w:p w:rsidR="0026081F" w:rsidRPr="00F527EB" w:rsidRDefault="0026081F" w:rsidP="0026081F">
      <w:r w:rsidRPr="00F527EB">
        <w:t>Göran Hägglund</w:t>
      </w:r>
    </w:p>
    <w:p w:rsidR="0026081F" w:rsidRPr="00F527EB" w:rsidRDefault="0026081F" w:rsidP="0026081F">
      <w:pPr>
        <w:spacing w:line="240" w:lineRule="auto"/>
        <w:rPr>
          <w:szCs w:val="24"/>
        </w:rPr>
      </w:pPr>
    </w:p>
    <w:p w:rsidR="0026081F" w:rsidRPr="00F527EB" w:rsidRDefault="0026081F" w:rsidP="0026081F">
      <w:pPr>
        <w:rPr>
          <w:b/>
        </w:rPr>
      </w:pPr>
      <w:r w:rsidRPr="00F527EB">
        <w:rPr>
          <w:b/>
        </w:rPr>
        <w:t>Bakgrund</w:t>
      </w:r>
    </w:p>
    <w:p w:rsidR="0026081F" w:rsidRPr="00F527EB" w:rsidRDefault="0026081F" w:rsidP="0026081F">
      <w:r w:rsidRPr="00F527EB">
        <w:t xml:space="preserve">Ungern har presenterat ett förslag till rådsslutsatser om barnvaccination. Förslaget </w:t>
      </w:r>
      <w:r w:rsidR="005C1A17" w:rsidRPr="00F527EB">
        <w:t xml:space="preserve">har </w:t>
      </w:r>
      <w:r w:rsidRPr="00F527EB">
        <w:t>var</w:t>
      </w:r>
      <w:r w:rsidR="005C1A17" w:rsidRPr="00F527EB">
        <w:t>it</w:t>
      </w:r>
      <w:r w:rsidRPr="00F527EB">
        <w:t xml:space="preserve"> inriktat på att hålla en hög täckningsgrad av antalet vaccinerade inom EU, med fokus på särskilt utsatta grupper som är svåra att nå med vaccinering. Situationen för romska barn lyftes särskilt fram. </w:t>
      </w:r>
      <w:r w:rsidR="00E10353" w:rsidRPr="00F527EB">
        <w:t xml:space="preserve">På EPSCO kommer möjlighet </w:t>
      </w:r>
      <w:r w:rsidR="008262C6" w:rsidRPr="00F527EB">
        <w:t xml:space="preserve">att </w:t>
      </w:r>
      <w:r w:rsidR="00E10353" w:rsidRPr="00F527EB">
        <w:t xml:space="preserve">finnas </w:t>
      </w:r>
      <w:r w:rsidR="008262C6" w:rsidRPr="00F527EB">
        <w:t xml:space="preserve">för </w:t>
      </w:r>
      <w:r w:rsidR="00E10353" w:rsidRPr="00F527EB">
        <w:t xml:space="preserve">att diskutera </w:t>
      </w:r>
      <w:r w:rsidR="005C1A17" w:rsidRPr="00F527EB">
        <w:t>erfarenheter</w:t>
      </w:r>
      <w:r w:rsidR="00E10353" w:rsidRPr="00F527EB">
        <w:t xml:space="preserve"> av mässlingsutbrott</w:t>
      </w:r>
      <w:r w:rsidR="005C1A17" w:rsidRPr="00F527EB">
        <w:t xml:space="preserve">, främst </w:t>
      </w:r>
      <w:r w:rsidRPr="00F527EB">
        <w:t xml:space="preserve">mellan </w:t>
      </w:r>
      <w:r w:rsidR="005C1A17" w:rsidRPr="00F527EB">
        <w:t xml:space="preserve">berörda medlemsstater. </w:t>
      </w:r>
      <w:r w:rsidR="008262C6" w:rsidRPr="00F527EB">
        <w:t xml:space="preserve">Frågorna handlar om dels vilka åtgärder medlemsstaterna kan vidta för att förbättra graden av mässlingsvaccination, dels hur undervaccinerade grupper kan identifieras. </w:t>
      </w:r>
    </w:p>
    <w:p w:rsidR="0026081F" w:rsidRPr="00F527EB" w:rsidRDefault="0026081F" w:rsidP="0026081F">
      <w:pPr>
        <w:pStyle w:val="RKnormal"/>
        <w:spacing w:line="360" w:lineRule="auto"/>
        <w:ind w:left="360"/>
      </w:pPr>
    </w:p>
    <w:p w:rsidR="0026081F" w:rsidRPr="00F527EB" w:rsidRDefault="0026081F" w:rsidP="0026081F">
      <w:pPr>
        <w:rPr>
          <w:b/>
        </w:rPr>
      </w:pPr>
      <w:r w:rsidRPr="00F527EB">
        <w:rPr>
          <w:b/>
        </w:rPr>
        <w:t>Förslag till svensk ståndpunkt</w:t>
      </w:r>
    </w:p>
    <w:p w:rsidR="0026081F" w:rsidRPr="00F527EB" w:rsidRDefault="001A721D" w:rsidP="0026081F">
      <w:r w:rsidRPr="00F527EB">
        <w:t xml:space="preserve">Regeringen stödjer </w:t>
      </w:r>
      <w:r w:rsidR="0026081F" w:rsidRPr="00F527EB">
        <w:t>att Ungern har lyft fram barnvaccinationer, som är viktiga för att barn skall få en god start i livet. Samtidigt är det ett område som är u</w:t>
      </w:r>
      <w:r w:rsidRPr="00F527EB">
        <w:t>nderordnat nationell kompetens, och de</w:t>
      </w:r>
      <w:r w:rsidR="008262C6" w:rsidRPr="00F527EB">
        <w:t>t</w:t>
      </w:r>
      <w:r w:rsidRPr="00F527EB">
        <w:t xml:space="preserve"> </w:t>
      </w:r>
      <w:r w:rsidR="0026081F" w:rsidRPr="00F527EB">
        <w:t>är enligt regeringen viktigt att vär</w:t>
      </w:r>
      <w:r w:rsidRPr="00F527EB">
        <w:t>na det nationella oberoendet genom</w:t>
      </w:r>
      <w:r w:rsidR="0026081F" w:rsidRPr="00F527EB">
        <w:t xml:space="preserve"> att endast samarbeta kring frågor som har </w:t>
      </w:r>
      <w:r w:rsidRPr="00F527EB">
        <w:t xml:space="preserve">ett </w:t>
      </w:r>
      <w:r w:rsidR="0026081F" w:rsidRPr="00F527EB">
        <w:t xml:space="preserve">tydligt EU-mervärde. </w:t>
      </w:r>
      <w:r w:rsidR="008262C6" w:rsidRPr="00F527EB">
        <w:t xml:space="preserve">Det kan konstateras att Sverige i modern tid inte har haft omfattande mässlingsutbrott. </w:t>
      </w:r>
    </w:p>
    <w:p w:rsidR="0026081F" w:rsidRPr="00F527EB" w:rsidRDefault="0026081F" w:rsidP="0026081F">
      <w:pPr>
        <w:spacing w:line="240" w:lineRule="auto"/>
      </w:pPr>
    </w:p>
    <w:p w:rsidR="008262C6" w:rsidRPr="00F527EB" w:rsidRDefault="008262C6" w:rsidP="0026081F">
      <w:pPr>
        <w:spacing w:line="240" w:lineRule="auto"/>
      </w:pPr>
    </w:p>
    <w:p w:rsidR="0026081F" w:rsidRPr="00F527EB" w:rsidRDefault="0026081F" w:rsidP="0026081F">
      <w:pPr>
        <w:spacing w:line="240" w:lineRule="auto"/>
        <w:rPr>
          <w:b/>
        </w:rPr>
      </w:pPr>
      <w:r w:rsidRPr="00F527EB">
        <w:rPr>
          <w:b/>
        </w:rPr>
        <w:t>7.</w:t>
      </w:r>
      <w:r w:rsidRPr="00F527EB">
        <w:rPr>
          <w:b/>
        </w:rPr>
        <w:tab/>
        <w:t>Mot moderna, tillgängliga och hållbara hälso- och sjukvårdssystem</w:t>
      </w:r>
    </w:p>
    <w:p w:rsidR="0026081F" w:rsidRPr="00F527EB" w:rsidRDefault="0026081F" w:rsidP="0026081F">
      <w:pPr>
        <w:spacing w:line="240" w:lineRule="auto"/>
        <w:ind w:left="567"/>
        <w:rPr>
          <w:b/>
        </w:rPr>
      </w:pPr>
      <w:r w:rsidRPr="00F527EB">
        <w:rPr>
          <w:b/>
        </w:rPr>
        <w:t>(offentlig debatt i enlighet med artikel 8.2 i rådets arbetsordning [förslag från ordförandeskapet])</w:t>
      </w:r>
    </w:p>
    <w:p w:rsidR="0026081F" w:rsidRPr="00F527EB" w:rsidRDefault="0026081F" w:rsidP="0026081F">
      <w:pPr>
        <w:spacing w:line="240" w:lineRule="auto"/>
        <w:ind w:left="567"/>
        <w:rPr>
          <w:b/>
        </w:rPr>
      </w:pPr>
      <w:r w:rsidRPr="00F527EB">
        <w:rPr>
          <w:b/>
        </w:rPr>
        <w:t>–</w:t>
      </w:r>
      <w:r w:rsidRPr="00F527EB">
        <w:rPr>
          <w:b/>
        </w:rPr>
        <w:tab/>
        <w:t>Antagande av rådets slutsatser</w:t>
      </w:r>
    </w:p>
    <w:p w:rsidR="0026081F" w:rsidRPr="00F527EB" w:rsidRDefault="0026081F" w:rsidP="0026081F">
      <w:pPr>
        <w:spacing w:line="240" w:lineRule="auto"/>
        <w:ind w:left="567"/>
        <w:rPr>
          <w:b/>
        </w:rPr>
      </w:pPr>
      <w:r w:rsidRPr="00F527EB">
        <w:rPr>
          <w:b/>
        </w:rPr>
        <w:t>–</w:t>
      </w:r>
      <w:r w:rsidRPr="00F527EB">
        <w:rPr>
          <w:b/>
        </w:rPr>
        <w:tab/>
        <w:t>Diskussion</w:t>
      </w:r>
    </w:p>
    <w:p w:rsidR="00136BCA" w:rsidRPr="00F527EB" w:rsidRDefault="00136BCA" w:rsidP="0026081F">
      <w:pPr>
        <w:spacing w:line="240" w:lineRule="auto"/>
        <w:ind w:left="1701"/>
      </w:pPr>
    </w:p>
    <w:p w:rsidR="00136BCA" w:rsidRPr="00F527EB" w:rsidRDefault="00136BCA" w:rsidP="00136BCA">
      <w:pPr>
        <w:rPr>
          <w:b/>
        </w:rPr>
      </w:pPr>
      <w:r w:rsidRPr="00F527EB">
        <w:rPr>
          <w:b/>
        </w:rPr>
        <w:t xml:space="preserve">Dokument </w:t>
      </w:r>
    </w:p>
    <w:p w:rsidR="00136BCA" w:rsidRPr="00F527EB" w:rsidRDefault="00136BCA" w:rsidP="00136BCA">
      <w:pPr>
        <w:rPr>
          <w:b/>
        </w:rPr>
      </w:pPr>
      <w:r w:rsidRPr="00F527EB">
        <w:t>10392/11 SAN 104</w:t>
      </w:r>
    </w:p>
    <w:p w:rsidR="00136BCA" w:rsidRPr="00F527EB" w:rsidRDefault="00136BCA" w:rsidP="00136BCA">
      <w:pPr>
        <w:rPr>
          <w:b/>
        </w:rPr>
      </w:pPr>
      <w:r w:rsidRPr="00F527EB">
        <w:t>10387/11 SAN 101</w:t>
      </w:r>
    </w:p>
    <w:p w:rsidR="00136BCA" w:rsidRPr="00F527EB" w:rsidRDefault="00136BCA" w:rsidP="0026081F">
      <w:pPr>
        <w:rPr>
          <w:b/>
        </w:rPr>
      </w:pPr>
    </w:p>
    <w:p w:rsidR="0026081F" w:rsidRPr="00F527EB" w:rsidRDefault="0026081F" w:rsidP="0026081F">
      <w:pPr>
        <w:rPr>
          <w:b/>
        </w:rPr>
      </w:pPr>
      <w:r w:rsidRPr="00F527EB">
        <w:rPr>
          <w:b/>
        </w:rPr>
        <w:t>Tidigare behandling</w:t>
      </w:r>
    </w:p>
    <w:p w:rsidR="0026081F" w:rsidRPr="00F527EB" w:rsidRDefault="0026081F" w:rsidP="0026081F">
      <w:pPr>
        <w:pStyle w:val="RKnormal"/>
      </w:pPr>
      <w:r w:rsidRPr="00F527EB">
        <w:t>Frågan har inte tidigare behandlats i EU-nämnden. Socialutskottet fick information om frågan den 19 maj.</w:t>
      </w:r>
    </w:p>
    <w:p w:rsidR="0026081F" w:rsidRPr="00F527EB" w:rsidRDefault="0026081F" w:rsidP="0026081F">
      <w:pPr>
        <w:spacing w:line="240" w:lineRule="auto"/>
        <w:rPr>
          <w:szCs w:val="24"/>
        </w:rPr>
      </w:pPr>
    </w:p>
    <w:p w:rsidR="0026081F" w:rsidRPr="00F527EB" w:rsidRDefault="0026081F" w:rsidP="0026081F">
      <w:pPr>
        <w:rPr>
          <w:b/>
        </w:rPr>
      </w:pPr>
      <w:r w:rsidRPr="00F527EB">
        <w:rPr>
          <w:b/>
        </w:rPr>
        <w:t>Ansvarigt statsråd</w:t>
      </w:r>
    </w:p>
    <w:p w:rsidR="0026081F" w:rsidRPr="00F527EB" w:rsidRDefault="0026081F" w:rsidP="0026081F">
      <w:r w:rsidRPr="00F527EB">
        <w:t>Göran Hägglund</w:t>
      </w:r>
    </w:p>
    <w:p w:rsidR="0026081F" w:rsidRPr="00F527EB" w:rsidRDefault="0026081F" w:rsidP="0026081F">
      <w:pPr>
        <w:spacing w:line="240" w:lineRule="auto"/>
        <w:rPr>
          <w:szCs w:val="24"/>
        </w:rPr>
      </w:pPr>
    </w:p>
    <w:p w:rsidR="0026081F" w:rsidRPr="00F527EB" w:rsidRDefault="0026081F" w:rsidP="0026081F">
      <w:pPr>
        <w:rPr>
          <w:b/>
        </w:rPr>
      </w:pPr>
      <w:r w:rsidRPr="00F527EB">
        <w:rPr>
          <w:b/>
        </w:rPr>
        <w:t>Bakgrund</w:t>
      </w:r>
    </w:p>
    <w:p w:rsidR="004662AB" w:rsidRPr="00F527EB" w:rsidRDefault="0026081F" w:rsidP="004662AB">
      <w:pPr>
        <w:overflowPunct/>
        <w:spacing w:line="240" w:lineRule="auto"/>
        <w:textAlignment w:val="auto"/>
        <w:rPr>
          <w:rFonts w:ascii="Helv" w:hAnsi="Helv" w:cs="Helv"/>
          <w:color w:val="000000"/>
          <w:sz w:val="20"/>
          <w:lang w:eastAsia="sv-SE"/>
        </w:rPr>
      </w:pPr>
      <w:r w:rsidRPr="00F527EB">
        <w:t>Ungern har presenterat ett förslag till rådsslutsatser om moderna hälsosystem, som huvudsakligen handlar om erfarenhetsutbyte och informations</w:t>
      </w:r>
      <w:r w:rsidRPr="00F527EB">
        <w:softHyphen/>
        <w:t>spridning mellan medlemsstaterna. Bland annat ska man underlätta för medlemsstater att få tillgång till en oberoende expertis som kan rådfrågas. Vidare föreslås att hälsosektorn bör ha en viktig roll i genomförandet av EU 2020-strategin. Medlemsstaterna bör sträva efter att investera i effektivare och sammanhållna hälsosystem som ger jämlika möjligheter. I texten uppmärksammas även betydelsen av att alla medlemsstater har tillräcklig tillgång på hälso- och sjukvårdspersonal, och vikten av nationellt självförsörjande betonas. Möjligheten att använda sig av EU:s finansiella program och strukturfonder nämns också.</w:t>
      </w:r>
      <w:r w:rsidR="00E10353" w:rsidRPr="00F527EB">
        <w:t xml:space="preserve"> En diskussion kommer att hållas på EPSCO om </w:t>
      </w:r>
      <w:r w:rsidR="004662AB" w:rsidRPr="00F527EB">
        <w:t>hälsosystem med fokus på bl.a. nationella politiska åtgärder i tider av minskade ekonomiska resurser, hur prevention och användandet av informations</w:t>
      </w:r>
      <w:r w:rsidR="008262C6" w:rsidRPr="00F527EB">
        <w:softHyphen/>
      </w:r>
      <w:r w:rsidR="004662AB" w:rsidRPr="00F527EB">
        <w:t>teknologier lämpligast kan komma till användning samt hur den reflektionsprocess som initieras genom rådsslutsatserna bäst kan nyttjas.</w:t>
      </w:r>
      <w:r w:rsidR="004662AB" w:rsidRPr="00F527EB">
        <w:rPr>
          <w:rFonts w:ascii="Helv" w:hAnsi="Helv" w:cs="Helv"/>
          <w:color w:val="000000"/>
          <w:sz w:val="20"/>
          <w:lang w:eastAsia="sv-SE"/>
        </w:rPr>
        <w:t xml:space="preserve">  </w:t>
      </w:r>
    </w:p>
    <w:p w:rsidR="004662AB" w:rsidRPr="00F527EB" w:rsidRDefault="004662AB" w:rsidP="004662AB">
      <w:pPr>
        <w:overflowPunct/>
        <w:spacing w:line="240" w:lineRule="auto"/>
        <w:textAlignment w:val="auto"/>
        <w:rPr>
          <w:rFonts w:ascii="Helv" w:hAnsi="Helv" w:cs="Helv"/>
          <w:color w:val="000000"/>
          <w:sz w:val="20"/>
          <w:lang w:eastAsia="sv-SE"/>
        </w:rPr>
      </w:pPr>
    </w:p>
    <w:p w:rsidR="0026081F" w:rsidRPr="00F527EB" w:rsidRDefault="0026081F" w:rsidP="0026081F">
      <w:pPr>
        <w:rPr>
          <w:b/>
        </w:rPr>
      </w:pPr>
      <w:r w:rsidRPr="00F527EB">
        <w:rPr>
          <w:b/>
        </w:rPr>
        <w:t>Förslag till svensk ståndpunkt</w:t>
      </w:r>
    </w:p>
    <w:p w:rsidR="0026081F" w:rsidRPr="00F527EB" w:rsidRDefault="0026081F" w:rsidP="004662AB">
      <w:pPr>
        <w:overflowPunct/>
        <w:spacing w:line="240" w:lineRule="auto"/>
        <w:ind w:left="12"/>
        <w:textAlignment w:val="auto"/>
      </w:pPr>
      <w:r w:rsidRPr="00F527EB">
        <w:t xml:space="preserve">Regeringen </w:t>
      </w:r>
      <w:r w:rsidR="001A721D" w:rsidRPr="00F527EB">
        <w:t xml:space="preserve">välkomnar och stödjer </w:t>
      </w:r>
      <w:r w:rsidRPr="00F527EB">
        <w:t xml:space="preserve">att Ungern valt att lyfta fram fungerande hälsosystem, </w:t>
      </w:r>
      <w:r w:rsidR="001A721D" w:rsidRPr="00F527EB">
        <w:t xml:space="preserve">som </w:t>
      </w:r>
      <w:r w:rsidRPr="00F527EB">
        <w:t>är avgörande för ett lands förmåga att leverera vård av hög kvalitet. Samtid</w:t>
      </w:r>
      <w:r w:rsidR="001A721D" w:rsidRPr="00F527EB">
        <w:t xml:space="preserve">igt betonar regeringen </w:t>
      </w:r>
      <w:r w:rsidRPr="00F527EB">
        <w:t xml:space="preserve">att  kompetensen uteslutande är nationell, vilket också lyfts fram i rådsslutsatserna. </w:t>
      </w:r>
      <w:r w:rsidR="004662AB" w:rsidRPr="00F527EB">
        <w:t>Gällande diskussionen är regeringen positiv till ordförandeskapets frågor, eftersom de belyser viktiga aspekter av erfarenhetsutbyte inom EU för att nå mer effektiva, nationella hälsosystem.</w:t>
      </w:r>
    </w:p>
    <w:p w:rsidR="0026081F" w:rsidRPr="00F527EB" w:rsidRDefault="0026081F" w:rsidP="0026081F">
      <w:pPr>
        <w:spacing w:line="240" w:lineRule="auto"/>
        <w:outlineLvl w:val="0"/>
        <w:rPr>
          <w:b/>
          <w:u w:val="single"/>
        </w:rPr>
      </w:pPr>
    </w:p>
    <w:p w:rsidR="004662AB" w:rsidRPr="00F527EB" w:rsidRDefault="004662AB" w:rsidP="0026081F">
      <w:pPr>
        <w:spacing w:line="240" w:lineRule="auto"/>
        <w:outlineLvl w:val="0"/>
        <w:rPr>
          <w:b/>
          <w:u w:val="single"/>
        </w:rPr>
      </w:pPr>
    </w:p>
    <w:p w:rsidR="0026081F" w:rsidRPr="00F527EB" w:rsidRDefault="0026081F" w:rsidP="0026081F">
      <w:pPr>
        <w:spacing w:line="240" w:lineRule="auto"/>
        <w:outlineLvl w:val="0"/>
        <w:rPr>
          <w:b/>
          <w:u w:val="single"/>
        </w:rPr>
      </w:pPr>
      <w:r w:rsidRPr="00F527EB">
        <w:rPr>
          <w:b/>
          <w:u w:val="single"/>
        </w:rPr>
        <w:t>Övriga frågor</w:t>
      </w:r>
    </w:p>
    <w:p w:rsidR="0026081F" w:rsidRPr="00F527EB" w:rsidRDefault="0026081F" w:rsidP="0026081F">
      <w:pPr>
        <w:spacing w:line="240" w:lineRule="auto"/>
      </w:pPr>
    </w:p>
    <w:p w:rsidR="0026081F" w:rsidRPr="00F527EB" w:rsidRDefault="0026081F" w:rsidP="0026081F">
      <w:pPr>
        <w:spacing w:line="240" w:lineRule="auto"/>
      </w:pPr>
      <w:r w:rsidRPr="00F527EB">
        <w:t>8.</w:t>
      </w:r>
      <w:r w:rsidRPr="00F527EB">
        <w:tab/>
        <w:t>a)</w:t>
      </w:r>
      <w:r w:rsidRPr="00F527EB">
        <w:tab/>
        <w:t>Konferenser som anordnats av det ungerska ordförandeskapet</w:t>
      </w:r>
    </w:p>
    <w:p w:rsidR="0026081F" w:rsidRPr="00F527EB" w:rsidRDefault="0026081F" w:rsidP="0026081F">
      <w:pPr>
        <w:spacing w:line="240" w:lineRule="auto"/>
        <w:ind w:left="1701" w:hanging="567"/>
      </w:pPr>
      <w:r w:rsidRPr="00F527EB">
        <w:t>(i)</w:t>
      </w:r>
      <w:r w:rsidRPr="00F527EB">
        <w:tab/>
        <w:t xml:space="preserve">Konferensen För en frisk framtid för våra barn – immunisering av barn </w:t>
      </w:r>
      <w:r w:rsidRPr="00F527EB">
        <w:br/>
        <w:t>(Budapest, 3–4 mars 2011)</w:t>
      </w:r>
    </w:p>
    <w:p w:rsidR="0026081F" w:rsidRPr="00F527EB" w:rsidRDefault="0026081F" w:rsidP="0026081F">
      <w:pPr>
        <w:spacing w:line="240" w:lineRule="auto"/>
        <w:ind w:left="1134"/>
      </w:pPr>
      <w:r w:rsidRPr="00F527EB">
        <w:t>(ii)</w:t>
      </w:r>
      <w:r w:rsidRPr="00F527EB">
        <w:tab/>
        <w:t>Ministerkonferens om e-hälsa 2011 (Budapest, 10–12 mars 2011)</w:t>
      </w:r>
    </w:p>
    <w:p w:rsidR="0026081F" w:rsidRPr="00F527EB" w:rsidRDefault="0026081F" w:rsidP="0026081F">
      <w:pPr>
        <w:spacing w:line="240" w:lineRule="auto"/>
        <w:ind w:left="1134"/>
      </w:pPr>
      <w:r w:rsidRPr="00F527EB">
        <w:t>(iii)</w:t>
      </w:r>
      <w:r w:rsidRPr="00F527EB">
        <w:tab/>
        <w:t>Konferens om förebyggande åtgärder (Budapest, 30–31 maj 2011)</w:t>
      </w:r>
    </w:p>
    <w:p w:rsidR="0026081F" w:rsidRPr="00F527EB" w:rsidRDefault="0026081F" w:rsidP="0026081F">
      <w:pPr>
        <w:spacing w:line="240" w:lineRule="auto"/>
        <w:ind w:left="1134"/>
      </w:pPr>
      <w:r w:rsidRPr="00F527EB">
        <w:t>(iv)</w:t>
      </w:r>
      <w:r w:rsidRPr="00F527EB">
        <w:tab/>
        <w:t>Konferens om förebyggande av skador (Budapest, 16–17 June 2011)</w:t>
      </w:r>
    </w:p>
    <w:p w:rsidR="0026081F" w:rsidRPr="00F527EB" w:rsidRDefault="0026081F" w:rsidP="0026081F">
      <w:pPr>
        <w:spacing w:line="240" w:lineRule="auto"/>
        <w:ind w:left="1134"/>
      </w:pPr>
      <w:r w:rsidRPr="00F527EB">
        <w:t>–</w:t>
      </w:r>
      <w:r w:rsidRPr="00F527EB">
        <w:tab/>
        <w:t>Information från ordförandeskapet</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ind w:left="567"/>
        <w:outlineLvl w:val="0"/>
      </w:pPr>
      <w:r w:rsidRPr="00F527EB">
        <w:t>b)</w:t>
      </w:r>
      <w:r w:rsidRPr="00F527EB">
        <w:tab/>
        <w:t>Arbetsgruppen för folkhälsa på högre tjänstemannanivå</w:t>
      </w:r>
    </w:p>
    <w:p w:rsidR="0026081F" w:rsidRPr="00F527EB" w:rsidRDefault="0026081F" w:rsidP="0026081F">
      <w:pPr>
        <w:spacing w:line="240" w:lineRule="auto"/>
        <w:ind w:left="1134"/>
      </w:pPr>
      <w:r w:rsidRPr="00F527EB">
        <w:t>–</w:t>
      </w:r>
      <w:r w:rsidRPr="00F527EB">
        <w:tab/>
        <w:t>Information från ordförandeskapet</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ind w:left="1134" w:hanging="567"/>
        <w:outlineLvl w:val="0"/>
      </w:pPr>
      <w:r w:rsidRPr="00F527EB">
        <w:t>c)</w:t>
      </w:r>
      <w:r w:rsidRPr="00F527EB">
        <w:tab/>
        <w:t>Reviderat förslag om information till allmänheten om receptbelagda humanläkemedel</w:t>
      </w:r>
    </w:p>
    <w:p w:rsidR="0026081F" w:rsidRPr="00F527EB" w:rsidRDefault="0026081F" w:rsidP="0026081F">
      <w:pPr>
        <w:spacing w:line="240" w:lineRule="auto"/>
        <w:ind w:left="1134"/>
      </w:pPr>
      <w:r w:rsidRPr="00F527EB">
        <w:t>–</w:t>
      </w:r>
      <w:r w:rsidRPr="00F527EB">
        <w:tab/>
        <w:t>Information från kommissionen</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ind w:left="567"/>
        <w:outlineLvl w:val="0"/>
      </w:pPr>
      <w:r w:rsidRPr="00F527EB">
        <w:t>d)</w:t>
      </w:r>
      <w:r w:rsidRPr="00F527EB">
        <w:tab/>
        <w:t>Partnerskapet om aktivt och hälsosamt åldrande</w:t>
      </w:r>
    </w:p>
    <w:p w:rsidR="0026081F" w:rsidRPr="00F527EB" w:rsidRDefault="0026081F" w:rsidP="0026081F">
      <w:pPr>
        <w:spacing w:line="240" w:lineRule="auto"/>
        <w:ind w:left="1134"/>
      </w:pPr>
      <w:r w:rsidRPr="00F527EB">
        <w:t>–</w:t>
      </w:r>
      <w:r w:rsidRPr="00F527EB">
        <w:tab/>
        <w:t>Information från kommissionen</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ind w:left="567"/>
        <w:outlineLvl w:val="0"/>
      </w:pPr>
      <w:r w:rsidRPr="00F527EB">
        <w:t>e)</w:t>
      </w:r>
      <w:r w:rsidRPr="00F527EB">
        <w:tab/>
        <w:t>Halvtidsutvärdering av EU:s hälsoprogram och EU:s hälsostrategi</w:t>
      </w:r>
    </w:p>
    <w:p w:rsidR="0026081F" w:rsidRPr="00F527EB" w:rsidRDefault="0026081F" w:rsidP="0026081F">
      <w:pPr>
        <w:spacing w:line="240" w:lineRule="auto"/>
        <w:ind w:left="1134"/>
      </w:pPr>
      <w:r w:rsidRPr="00F527EB">
        <w:t>–</w:t>
      </w:r>
      <w:r w:rsidRPr="00F527EB">
        <w:tab/>
        <w:t>Information från kommissionen</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ind w:left="567"/>
        <w:outlineLvl w:val="0"/>
      </w:pPr>
      <w:r w:rsidRPr="00F527EB">
        <w:t>f)</w:t>
      </w:r>
      <w:r w:rsidRPr="00F527EB">
        <w:tab/>
        <w:t>Presentation av det kommande ordförandeskapets arbetsprogram</w:t>
      </w:r>
    </w:p>
    <w:p w:rsidR="0026081F" w:rsidRPr="00F527EB" w:rsidRDefault="0026081F" w:rsidP="0026081F">
      <w:pPr>
        <w:spacing w:line="240" w:lineRule="auto"/>
        <w:ind w:left="1134"/>
      </w:pPr>
      <w:r w:rsidRPr="00F527EB">
        <w:t>–</w:t>
      </w:r>
      <w:r w:rsidRPr="00F527EB">
        <w:tab/>
        <w:t>Information från den polska delegationen</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jc w:val="center"/>
      </w:pPr>
      <w:r w:rsidRPr="00F527EB">
        <w:t>________________________</w:t>
      </w: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spacing w:line="240" w:lineRule="auto"/>
      </w:pPr>
    </w:p>
    <w:p w:rsidR="0026081F" w:rsidRPr="00F527EB" w:rsidRDefault="0026081F" w:rsidP="0026081F">
      <w:pPr>
        <w:pStyle w:val="RKnormal"/>
      </w:pPr>
    </w:p>
    <w:p w:rsidR="00191D30" w:rsidRPr="00F527EB" w:rsidRDefault="00191D30">
      <w:pPr>
        <w:pStyle w:val="RKnormal"/>
      </w:pPr>
    </w:p>
    <w:p w:rsidR="00CC2F06" w:rsidRPr="00F527EB" w:rsidRDefault="00CC2F06" w:rsidP="00191D30">
      <w:pPr>
        <w:spacing w:line="240" w:lineRule="auto"/>
      </w:pPr>
    </w:p>
    <w:p w:rsidR="00E377C9" w:rsidRPr="00F527EB" w:rsidRDefault="00E377C9" w:rsidP="00191D30">
      <w:pPr>
        <w:spacing w:line="240" w:lineRule="auto"/>
      </w:pPr>
    </w:p>
    <w:p w:rsidR="009118D7" w:rsidRPr="00F527EB" w:rsidRDefault="00191D30" w:rsidP="009118D7">
      <w:pPr>
        <w:spacing w:line="240" w:lineRule="auto"/>
        <w:rPr>
          <w:b/>
          <w:szCs w:val="24"/>
        </w:rPr>
      </w:pPr>
      <w:r w:rsidRPr="00F527EB">
        <w:tab/>
      </w:r>
    </w:p>
    <w:sectPr w:rsidR="009118D7" w:rsidRPr="00F527EB">
      <w:headerReference w:type="even" r:id="rId8"/>
      <w:headerReference w:type="default" r:id="rId9"/>
      <w:foot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E0B" w:rsidRPr="00F527EB" w:rsidRDefault="00F96E0B">
      <w:r w:rsidRPr="00F527EB">
        <w:separator/>
      </w:r>
    </w:p>
  </w:endnote>
  <w:endnote w:type="continuationSeparator" w:id="0">
    <w:p w:rsidR="00F96E0B" w:rsidRPr="00F527EB" w:rsidRDefault="00F96E0B">
      <w:r w:rsidRPr="00F52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AB" w:rsidRPr="00F527EB" w:rsidRDefault="00466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E0B" w:rsidRPr="00F527EB" w:rsidRDefault="00F96E0B">
      <w:r w:rsidRPr="00F527EB">
        <w:separator/>
      </w:r>
    </w:p>
  </w:footnote>
  <w:footnote w:type="continuationSeparator" w:id="0">
    <w:p w:rsidR="00F96E0B" w:rsidRPr="00F527EB" w:rsidRDefault="00F96E0B">
      <w:r w:rsidRPr="00F52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AB" w:rsidRPr="00F527EB" w:rsidRDefault="004662AB">
    <w:pPr>
      <w:pStyle w:val="Sidhuvud"/>
      <w:framePr w:wrap="around" w:vAnchor="text" w:hAnchor="margin" w:xAlign="right" w:y="1"/>
      <w:rPr>
        <w:rStyle w:val="Sidnummer"/>
      </w:rPr>
    </w:pPr>
    <w:r w:rsidRPr="00F527EB">
      <w:rPr>
        <w:rStyle w:val="Sidnummer"/>
      </w:rPr>
      <w:fldChar w:fldCharType="begin" w:fldLock="1"/>
    </w:r>
    <w:r w:rsidRPr="00F527EB">
      <w:rPr>
        <w:rStyle w:val="Sidnummer"/>
      </w:rPr>
      <w:instrText xml:space="preserve">PAGE  </w:instrText>
    </w:r>
    <w:r w:rsidRPr="00F527EB">
      <w:rPr>
        <w:rStyle w:val="Sidnummer"/>
      </w:rPr>
      <w:fldChar w:fldCharType="separate"/>
    </w:r>
    <w:r w:rsidR="00C479A5" w:rsidRPr="00F527EB">
      <w:rPr>
        <w:rStyle w:val="Sidnummer"/>
      </w:rPr>
      <w:t>4</w:t>
    </w:r>
    <w:r w:rsidRPr="00F527E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662AB" w:rsidRPr="00F527EB">
      <w:tblPrEx>
        <w:tblCellMar>
          <w:top w:w="0" w:type="dxa"/>
          <w:bottom w:w="0" w:type="dxa"/>
        </w:tblCellMar>
      </w:tblPrEx>
      <w:trPr>
        <w:cantSplit/>
      </w:trPr>
      <w:tc>
        <w:tcPr>
          <w:tcW w:w="3119" w:type="dxa"/>
        </w:tcPr>
        <w:p w:rsidR="004662AB" w:rsidRPr="00F527EB" w:rsidRDefault="004662AB">
          <w:pPr>
            <w:pStyle w:val="Sidhuvud"/>
            <w:spacing w:line="200" w:lineRule="atLeast"/>
            <w:ind w:right="357"/>
            <w:rPr>
              <w:rFonts w:ascii="TradeGothic" w:hAnsi="TradeGothic"/>
              <w:b/>
              <w:bCs/>
              <w:sz w:val="16"/>
            </w:rPr>
          </w:pPr>
        </w:p>
      </w:tc>
      <w:tc>
        <w:tcPr>
          <w:tcW w:w="4111" w:type="dxa"/>
          <w:tcMar>
            <w:left w:w="567" w:type="dxa"/>
          </w:tcMar>
        </w:tcPr>
        <w:p w:rsidR="004662AB" w:rsidRPr="00F527EB" w:rsidRDefault="004662AB">
          <w:pPr>
            <w:pStyle w:val="Sidhuvud"/>
            <w:ind w:right="360"/>
          </w:pPr>
        </w:p>
      </w:tc>
      <w:tc>
        <w:tcPr>
          <w:tcW w:w="1525" w:type="dxa"/>
        </w:tcPr>
        <w:p w:rsidR="004662AB" w:rsidRPr="00F527EB" w:rsidRDefault="004662AB">
          <w:pPr>
            <w:pStyle w:val="Sidhuvud"/>
            <w:ind w:right="360"/>
          </w:pPr>
        </w:p>
      </w:tc>
    </w:tr>
  </w:tbl>
  <w:p w:rsidR="004662AB" w:rsidRPr="00F527EB" w:rsidRDefault="004662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AB" w:rsidRPr="00F527EB" w:rsidRDefault="004662AB">
    <w:pPr>
      <w:pStyle w:val="Sidhuvud"/>
      <w:framePr w:wrap="around" w:vAnchor="text" w:hAnchor="margin" w:xAlign="right" w:y="1"/>
      <w:rPr>
        <w:rStyle w:val="Sidnummer"/>
      </w:rPr>
    </w:pPr>
    <w:r w:rsidRPr="00F527EB">
      <w:rPr>
        <w:rStyle w:val="Sidnummer"/>
      </w:rPr>
      <w:fldChar w:fldCharType="begin" w:fldLock="1"/>
    </w:r>
    <w:r w:rsidRPr="00F527EB">
      <w:rPr>
        <w:rStyle w:val="Sidnummer"/>
      </w:rPr>
      <w:instrText xml:space="preserve">PAGE  </w:instrText>
    </w:r>
    <w:r w:rsidRPr="00F527EB">
      <w:rPr>
        <w:rStyle w:val="Sidnummer"/>
      </w:rPr>
      <w:fldChar w:fldCharType="separate"/>
    </w:r>
    <w:r w:rsidR="00C479A5" w:rsidRPr="00F527EB">
      <w:rPr>
        <w:rStyle w:val="Sidnummer"/>
      </w:rPr>
      <w:t>5</w:t>
    </w:r>
    <w:r w:rsidRPr="00F527E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662AB" w:rsidRPr="00F527EB">
      <w:tblPrEx>
        <w:tblCellMar>
          <w:top w:w="0" w:type="dxa"/>
          <w:bottom w:w="0" w:type="dxa"/>
        </w:tblCellMar>
      </w:tblPrEx>
      <w:trPr>
        <w:cantSplit/>
      </w:trPr>
      <w:tc>
        <w:tcPr>
          <w:tcW w:w="3119" w:type="dxa"/>
        </w:tcPr>
        <w:p w:rsidR="004662AB" w:rsidRPr="00F527EB" w:rsidRDefault="004662AB">
          <w:pPr>
            <w:pStyle w:val="Sidhuvud"/>
            <w:spacing w:line="200" w:lineRule="atLeast"/>
            <w:ind w:right="357"/>
            <w:rPr>
              <w:rFonts w:ascii="TradeGothic" w:hAnsi="TradeGothic"/>
              <w:b/>
              <w:bCs/>
              <w:sz w:val="16"/>
            </w:rPr>
          </w:pPr>
        </w:p>
      </w:tc>
      <w:tc>
        <w:tcPr>
          <w:tcW w:w="4111" w:type="dxa"/>
          <w:tcMar>
            <w:left w:w="567" w:type="dxa"/>
          </w:tcMar>
        </w:tcPr>
        <w:p w:rsidR="004662AB" w:rsidRPr="00F527EB" w:rsidRDefault="004662AB">
          <w:pPr>
            <w:pStyle w:val="Sidhuvud"/>
            <w:ind w:right="360"/>
          </w:pPr>
        </w:p>
      </w:tc>
      <w:tc>
        <w:tcPr>
          <w:tcW w:w="1525" w:type="dxa"/>
        </w:tcPr>
        <w:p w:rsidR="004662AB" w:rsidRPr="00F527EB" w:rsidRDefault="004662AB">
          <w:pPr>
            <w:pStyle w:val="Sidhuvud"/>
            <w:ind w:right="360"/>
          </w:pPr>
        </w:p>
      </w:tc>
    </w:tr>
  </w:tbl>
  <w:p w:rsidR="004662AB" w:rsidRPr="00F527EB" w:rsidRDefault="004662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2AB" w:rsidRPr="00F527EB" w:rsidRDefault="00F527EB">
    <w:pPr>
      <w:framePr w:w="2948" w:h="1321" w:hRule="exact" w:wrap="notBeside" w:vAnchor="page" w:hAnchor="page" w:x="1362" w:y="653"/>
    </w:pPr>
    <w:r w:rsidRPr="00F527E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662AB" w:rsidRPr="00F527EB" w:rsidRDefault="004662AB">
    <w:pPr>
      <w:pStyle w:val="RKrubrik"/>
      <w:keepNext w:val="0"/>
      <w:tabs>
        <w:tab w:val="clear" w:pos="1134"/>
        <w:tab w:val="clear" w:pos="2835"/>
      </w:tabs>
      <w:spacing w:before="0" w:after="0" w:line="320" w:lineRule="atLeast"/>
      <w:rPr>
        <w:bCs/>
      </w:rPr>
    </w:pPr>
  </w:p>
  <w:p w:rsidR="004662AB" w:rsidRPr="00F527EB" w:rsidRDefault="004662AB">
    <w:pPr>
      <w:rPr>
        <w:rFonts w:ascii="TradeGothic" w:hAnsi="TradeGothic"/>
        <w:b/>
        <w:bCs/>
        <w:spacing w:val="12"/>
        <w:sz w:val="22"/>
      </w:rPr>
    </w:pPr>
  </w:p>
  <w:p w:rsidR="004662AB" w:rsidRPr="00F527EB" w:rsidRDefault="004662AB">
    <w:pPr>
      <w:pStyle w:val="RKrubrik"/>
      <w:keepNext w:val="0"/>
      <w:tabs>
        <w:tab w:val="clear" w:pos="1134"/>
        <w:tab w:val="clear" w:pos="2835"/>
      </w:tabs>
      <w:spacing w:before="0" w:after="0" w:line="320" w:lineRule="atLeast"/>
      <w:rPr>
        <w:bCs/>
      </w:rPr>
    </w:pPr>
  </w:p>
  <w:p w:rsidR="004662AB" w:rsidRPr="00F527EB" w:rsidRDefault="004662A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65AE"/>
    <w:multiLevelType w:val="hybridMultilevel"/>
    <w:tmpl w:val="B832F5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7417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191D30"/>
    <w:rsid w:val="0000421E"/>
    <w:rsid w:val="000434A0"/>
    <w:rsid w:val="00136BCA"/>
    <w:rsid w:val="00150384"/>
    <w:rsid w:val="001805B7"/>
    <w:rsid w:val="00191D30"/>
    <w:rsid w:val="001A721D"/>
    <w:rsid w:val="001D62B1"/>
    <w:rsid w:val="0025754D"/>
    <w:rsid w:val="0026081F"/>
    <w:rsid w:val="002A02E4"/>
    <w:rsid w:val="003A7950"/>
    <w:rsid w:val="004662AB"/>
    <w:rsid w:val="00481278"/>
    <w:rsid w:val="004A328D"/>
    <w:rsid w:val="0058762B"/>
    <w:rsid w:val="005C1A17"/>
    <w:rsid w:val="006479CE"/>
    <w:rsid w:val="006C2921"/>
    <w:rsid w:val="006C4813"/>
    <w:rsid w:val="006E4E11"/>
    <w:rsid w:val="007242A3"/>
    <w:rsid w:val="007A6855"/>
    <w:rsid w:val="007A6E17"/>
    <w:rsid w:val="008262C6"/>
    <w:rsid w:val="009118D7"/>
    <w:rsid w:val="00922D25"/>
    <w:rsid w:val="00AF163A"/>
    <w:rsid w:val="00BE2B73"/>
    <w:rsid w:val="00C479A5"/>
    <w:rsid w:val="00C53187"/>
    <w:rsid w:val="00CC2F06"/>
    <w:rsid w:val="00D133D7"/>
    <w:rsid w:val="00D37946"/>
    <w:rsid w:val="00E10353"/>
    <w:rsid w:val="00E377C9"/>
    <w:rsid w:val="00EC25F9"/>
    <w:rsid w:val="00ED513A"/>
    <w:rsid w:val="00ED583F"/>
    <w:rsid w:val="00F03EA9"/>
    <w:rsid w:val="00F527EB"/>
    <w:rsid w:val="00F96E0B"/>
    <w:rsid w:val="00FC56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96B2C4-159F-4D49-92C1-705A83E1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118D7"/>
    <w:rPr>
      <w:rFonts w:ascii="OrigGarmnd BT" w:hAnsi="OrigGarmnd BT"/>
      <w:sz w:val="24"/>
      <w:lang w:val="sv-SE" w:eastAsia="en-US" w:bidi="ar-SA"/>
    </w:rPr>
  </w:style>
  <w:style w:type="character" w:styleId="Hyperlnk">
    <w:name w:val="Hyperlink"/>
    <w:basedOn w:val="Standardstycketeckensnitt"/>
    <w:rsid w:val="001A7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health/archive/ph_determinants/life_style/mental/docs/pact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6546</Characters>
  <Application>Microsoft Office Word</Application>
  <DocSecurity>4</DocSecurity>
  <Lines>251</Lines>
  <Paragraphs>102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7455</CharactersWithSpaces>
  <SharedDoc>false</SharedDoc>
  <HLinks>
    <vt:vector size="6" baseType="variant">
      <vt:variant>
        <vt:i4>131198</vt:i4>
      </vt:variant>
      <vt:variant>
        <vt:i4>0</vt:i4>
      </vt:variant>
      <vt:variant>
        <vt:i4>0</vt:i4>
      </vt:variant>
      <vt:variant>
        <vt:i4>5</vt:i4>
      </vt:variant>
      <vt:variant>
        <vt:lpwstr>http://ec.europa.eu/health/archive/ph_determinants/life_style/mental/docs/pact_en.pdf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2011-05-25T10:54:00Z</cp:lastPrinted>
  <dcterms:created xsi:type="dcterms:W3CDTF">2025-12-18T03:59:00Z</dcterms:created>
  <dcterms:modified xsi:type="dcterms:W3CDTF">2025-12-18T03:59:00Z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6.4. Administration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