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01BA3">
        <w:tblPrEx>
          <w:tblCellMar>
            <w:top w:w="0" w:type="dxa"/>
            <w:bottom w:w="0" w:type="dxa"/>
          </w:tblCellMar>
        </w:tblPrEx>
        <w:trPr>
          <w:cantSplit/>
          <w:trHeight w:hRule="exact" w:val="1260"/>
        </w:trPr>
        <w:tc>
          <w:tcPr>
            <w:tcW w:w="6024" w:type="dxa"/>
            <w:gridSpan w:val="2"/>
            <w:vMerge w:val="restart"/>
          </w:tcPr>
          <w:p w:rsidR="001441BE" w:rsidRPr="00801BA3" w:rsidRDefault="001441BE">
            <w:pPr>
              <w:pStyle w:val="HuvudRubrik"/>
            </w:pPr>
            <w:bookmarkStart w:id="0" w:name="BetänkandeRubrik"/>
            <w:bookmarkEnd w:id="0"/>
            <w:r w:rsidRPr="00801BA3">
              <w:t>Lagutskottets yttrande</w:t>
            </w:r>
            <w:r w:rsidR="00801BA3" w:rsidRPr="00801BA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3386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441BE" w:rsidRPr="00801BA3" w:rsidRDefault="001441BE">
                                  <w:pPr>
                                    <w:pStyle w:val="Logo"/>
                                  </w:pPr>
                                  <w:r w:rsidRPr="00801BA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2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441BE" w:rsidRPr="00801BA3" w:rsidRDefault="001441BE">
                            <w:pPr>
                              <w:pStyle w:val="Logo"/>
                            </w:pPr>
                            <w:r w:rsidRPr="00801BA3">
                              <w:object w:dxaOrig="840" w:dyaOrig="1545">
                                <v:shape id="_x0000_i1025" type="#_x0000_t75" style="width:90.45pt;height:77.15pt" fillcolor="window">
                                  <v:imagedata r:id="rId6" o:title="" cropright="-75835f"/>
                                </v:shape>
                                <o:OLEObject Type="Embed" ProgID="Word.Picture.8" ShapeID="_x0000_i1025" DrawAspect="Content" ObjectID="_1827353529" r:id="rId8"/>
                              </w:object>
                            </w:r>
                          </w:p>
                        </w:txbxContent>
                      </v:textbox>
                      <w10:wrap anchorx="page" anchory="page"/>
                    </v:shape>
                  </w:pict>
                </mc:Fallback>
              </mc:AlternateContent>
            </w:r>
          </w:p>
          <w:p w:rsidR="001441BE" w:rsidRPr="00801BA3" w:rsidRDefault="001441BE">
            <w:pPr>
              <w:pStyle w:val="HuvudRubrikRad2"/>
            </w:pPr>
            <w:bookmarkStart w:id="17" w:name="BetänkandeNr"/>
            <w:bookmarkEnd w:id="17"/>
            <w:r w:rsidRPr="00801BA3">
              <w:t>2000/01:LU2y</w:t>
            </w:r>
          </w:p>
          <w:p w:rsidR="001441BE" w:rsidRPr="00801BA3" w:rsidRDefault="001441BE">
            <w:pPr>
              <w:pStyle w:val="BetnkandeRubrik"/>
            </w:pPr>
            <w:bookmarkStart w:id="18" w:name="Huvudrubrik"/>
            <w:bookmarkEnd w:id="18"/>
            <w:r w:rsidRPr="00801BA3">
              <w:t xml:space="preserve">Regeringens behandling av riksdagens skrivelser </w:t>
            </w:r>
          </w:p>
        </w:tc>
        <w:tc>
          <w:tcPr>
            <w:tcW w:w="1559" w:type="dxa"/>
            <w:tcBorders>
              <w:bottom w:val="nil"/>
            </w:tcBorders>
          </w:tcPr>
          <w:p w:rsidR="001441BE" w:rsidRPr="00801BA3" w:rsidRDefault="001441BE">
            <w:pPr>
              <w:spacing w:before="0" w:line="230" w:lineRule="auto"/>
              <w:rPr>
                <w:sz w:val="24"/>
              </w:rPr>
            </w:pPr>
          </w:p>
        </w:tc>
      </w:tr>
      <w:tr w:rsidR="00000000" w:rsidRPr="00801BA3">
        <w:tblPrEx>
          <w:tblCellMar>
            <w:top w:w="0" w:type="dxa"/>
            <w:bottom w:w="0" w:type="dxa"/>
          </w:tblCellMar>
        </w:tblPrEx>
        <w:trPr>
          <w:cantSplit/>
          <w:trHeight w:hRule="exact" w:val="240"/>
        </w:trPr>
        <w:tc>
          <w:tcPr>
            <w:tcW w:w="6024" w:type="dxa"/>
            <w:gridSpan w:val="2"/>
            <w:vMerge/>
            <w:tcBorders>
              <w:top w:val="nil"/>
              <w:bottom w:val="nil"/>
            </w:tcBorders>
          </w:tcPr>
          <w:p w:rsidR="001441BE" w:rsidRPr="00801BA3" w:rsidRDefault="001441BE">
            <w:pPr>
              <w:spacing w:before="40" w:after="900" w:line="280" w:lineRule="exact"/>
              <w:jc w:val="left"/>
              <w:rPr>
                <w:sz w:val="28"/>
              </w:rPr>
            </w:pPr>
          </w:p>
        </w:tc>
        <w:tc>
          <w:tcPr>
            <w:tcW w:w="1559" w:type="dxa"/>
          </w:tcPr>
          <w:p w:rsidR="001441BE" w:rsidRPr="00801BA3" w:rsidRDefault="001441BE">
            <w:pPr>
              <w:pStyle w:val="rtal"/>
            </w:pPr>
            <w:r w:rsidRPr="00801BA3">
              <w:t>2000/01</w:t>
            </w:r>
          </w:p>
        </w:tc>
      </w:tr>
      <w:tr w:rsidR="00000000" w:rsidRPr="00801BA3">
        <w:tblPrEx>
          <w:tblCellMar>
            <w:top w:w="0" w:type="dxa"/>
            <w:bottom w:w="0" w:type="dxa"/>
          </w:tblCellMar>
        </w:tblPrEx>
        <w:trPr>
          <w:cantSplit/>
          <w:trHeight w:val="560"/>
        </w:trPr>
        <w:tc>
          <w:tcPr>
            <w:tcW w:w="6024" w:type="dxa"/>
            <w:gridSpan w:val="2"/>
            <w:vMerge/>
            <w:tcBorders>
              <w:top w:val="nil"/>
              <w:bottom w:val="single" w:sz="6" w:space="0" w:color="auto"/>
            </w:tcBorders>
          </w:tcPr>
          <w:p w:rsidR="001441BE" w:rsidRPr="00801BA3" w:rsidRDefault="001441BE">
            <w:pPr>
              <w:spacing w:before="40" w:after="900" w:line="280" w:lineRule="exact"/>
              <w:jc w:val="left"/>
              <w:rPr>
                <w:sz w:val="28"/>
              </w:rPr>
            </w:pPr>
          </w:p>
        </w:tc>
        <w:tc>
          <w:tcPr>
            <w:tcW w:w="1559" w:type="dxa"/>
            <w:tcBorders>
              <w:bottom w:val="single" w:sz="6" w:space="0" w:color="auto"/>
            </w:tcBorders>
          </w:tcPr>
          <w:p w:rsidR="001441BE" w:rsidRPr="00801BA3" w:rsidRDefault="001441BE">
            <w:pPr>
              <w:pStyle w:val="rtal"/>
            </w:pPr>
            <w:r w:rsidRPr="00801BA3">
              <w:t>LU2y</w:t>
            </w:r>
          </w:p>
        </w:tc>
      </w:tr>
      <w:tr w:rsidR="00000000" w:rsidRPr="00801BA3">
        <w:tblPrEx>
          <w:tblCellMar>
            <w:top w:w="0" w:type="dxa"/>
            <w:bottom w:w="0" w:type="dxa"/>
          </w:tblCellMar>
        </w:tblPrEx>
        <w:trPr>
          <w:cantSplit/>
          <w:trHeight w:hRule="exact" w:val="660"/>
        </w:trPr>
        <w:tc>
          <w:tcPr>
            <w:tcW w:w="3012" w:type="dxa"/>
          </w:tcPr>
          <w:p w:rsidR="001441BE" w:rsidRPr="00801BA3" w:rsidRDefault="001441BE">
            <w:pPr>
              <w:pStyle w:val="StatusSida1"/>
            </w:pPr>
          </w:p>
        </w:tc>
        <w:tc>
          <w:tcPr>
            <w:tcW w:w="3012" w:type="dxa"/>
          </w:tcPr>
          <w:p w:rsidR="001441BE" w:rsidRPr="00801BA3" w:rsidRDefault="001441BE">
            <w:pPr>
              <w:pStyle w:val="UtskriftsdatumSida1"/>
              <w:rPr>
                <w:b/>
                <w:sz w:val="28"/>
              </w:rPr>
            </w:pPr>
          </w:p>
        </w:tc>
        <w:tc>
          <w:tcPr>
            <w:tcW w:w="1559" w:type="dxa"/>
          </w:tcPr>
          <w:p w:rsidR="001441BE" w:rsidRPr="00801BA3" w:rsidRDefault="001441BE"/>
        </w:tc>
      </w:tr>
    </w:tbl>
    <w:p w:rsidR="001441BE" w:rsidRPr="00801BA3" w:rsidRDefault="001441BE">
      <w:pPr>
        <w:pStyle w:val="Rubrik1"/>
        <w:spacing w:before="0"/>
      </w:pPr>
      <w:bookmarkStart w:id="19" w:name="_Toc496495500"/>
      <w:r w:rsidRPr="00801BA3">
        <w:t>Till konstitutionsutskottet</w:t>
      </w:r>
      <w:bookmarkEnd w:id="19"/>
    </w:p>
    <w:p w:rsidR="001441BE" w:rsidRPr="00801BA3" w:rsidRDefault="001441BE">
      <w:bookmarkStart w:id="20" w:name="Textstart"/>
      <w:bookmarkEnd w:id="20"/>
      <w:r w:rsidRPr="00801BA3">
        <w:t xml:space="preserve">Konstitutionsutskottet har den 23 maj 2000 beslutat anmoda övriga utskott att senast den 27 oktober 2000 yttra sig över regeringens skrivelse 1999/2000:75 Redogörelse för behandlingen av riksdagens skrivelser till regeringen. Ingen motion har väckts med anledning av skrivelsen. </w:t>
      </w:r>
    </w:p>
    <w:p w:rsidR="001441BE" w:rsidRPr="00801BA3" w:rsidRDefault="001441BE">
      <w:r w:rsidRPr="00801BA3">
        <w:t>Konstitutionsutskottets anmodan föranleder följande yttrande från lagu</w:t>
      </w:r>
      <w:r w:rsidRPr="00801BA3">
        <w:t>t</w:t>
      </w:r>
      <w:r w:rsidRPr="00801BA3">
        <w:t xml:space="preserve">skottet. </w:t>
      </w:r>
    </w:p>
    <w:p w:rsidR="001441BE" w:rsidRPr="00801BA3" w:rsidRDefault="001441BE">
      <w:pPr>
        <w:pStyle w:val="Rubrik2"/>
      </w:pPr>
      <w:r w:rsidRPr="00801BA3">
        <w:t>Utskottet</w:t>
      </w:r>
    </w:p>
    <w:p w:rsidR="001441BE" w:rsidRPr="00801BA3" w:rsidRDefault="001441BE">
      <w:r w:rsidRPr="00801BA3">
        <w:t xml:space="preserve">I skrivelsen 1999/2000:75 lämnar regeringen en redovisning av de åtgärder regeringen vidtagit med anledning av de riksdagsbeslut som meddelats i riksdagens skrivelser till regeringen. Redogörelsen omfattar huvudsakligen åtgärder som vidtagits under tiden den 1 januari–den 31 december 1999. Vidare lämnar regeringen vissa uppgifter om antalet gällande författningar samt arbetet med regelreformering och språkvård. </w:t>
      </w:r>
    </w:p>
    <w:p w:rsidR="001441BE" w:rsidRPr="00801BA3" w:rsidRDefault="001441BE">
      <w:pPr>
        <w:pStyle w:val="Normaltindrag"/>
      </w:pPr>
      <w:r w:rsidRPr="00801BA3">
        <w:t xml:space="preserve">Av de riksdagsbeslut som redovisas i årets skrivelse från regeringen faller sammanlagt 27 ärenden under lagutskottets beredningsområde, varav sju ärenden anges som slutbehandlade under redovisningsperioden. I 1998 års skrivelse (skr. 1998/99:75) redovisades för lagutskottets del sammanlagt 34 skrivelser, varav 17 som slutbehandlade. </w:t>
      </w:r>
    </w:p>
    <w:p w:rsidR="001441BE" w:rsidRPr="00801BA3" w:rsidRDefault="001441BE">
      <w:r w:rsidRPr="00801BA3">
        <w:t>Inom lagutskottets kansli har genomförts en granskning av de i årets skrive</w:t>
      </w:r>
      <w:r w:rsidRPr="00801BA3">
        <w:t>l</w:t>
      </w:r>
      <w:r w:rsidRPr="00801BA3">
        <w:t xml:space="preserve">se upptagna riksdagsbesluten som rör utskottet. Granskningen har avsett dels redovisningen i formell mening, dels  de åtgärder som regeringen vidtagit med anledning av riksdagens beslut. Utskottet har därvid kunnat konstatera att redovisningarna i allt väsentligt ger en god bild av beredningsläget i de enskilda ärendena och att pågående beredningsarbete ligger väl i linje med riksdagens beslut. </w:t>
      </w:r>
    </w:p>
    <w:p w:rsidR="001441BE" w:rsidRPr="00801BA3" w:rsidRDefault="001441BE">
      <w:pPr>
        <w:pStyle w:val="Normaltindrag"/>
      </w:pPr>
      <w:r w:rsidRPr="00801BA3">
        <w:t>Vid behandlingen av 1998 års skrivelse noterade utskottet särskilt att det äldsta ännu inte slutbehandlade ärend</w:t>
      </w:r>
      <w:r w:rsidRPr="00801BA3">
        <w:t>et, ett tillkännagivande från riksdagens sida rörande producentskydd för sceniska och musikaliska verk, härrörde från maj 1986 (LU 1985/86:32, rskr. 293). Utskottet förutsatte därvid att skrivelsen skulle komma att slutbehandlas inom en snar framtid. Enligt vad utskottet nu erfarit kommer ärendet att läggas till handlingarna genom ett regeringsbeslut inom den närmaste tiden.</w:t>
      </w:r>
    </w:p>
    <w:p w:rsidR="001441BE" w:rsidRPr="00801BA3" w:rsidRDefault="001441BE">
      <w:pPr>
        <w:pStyle w:val="Normaltindrag"/>
      </w:pPr>
      <w:r w:rsidRPr="00801BA3">
        <w:lastRenderedPageBreak/>
        <w:t>Enligt lagutskottets mening utgör de årliga redogörelserna som regeringen sedan år 1961 lämnar till riksdagen ett viktigt instrument f</w:t>
      </w:r>
      <w:r w:rsidRPr="00801BA3">
        <w:t>ör utskotten att inom sina respektive beredningsområden följa upp hur riksdagens tidigare beslut har verkställts av regeringen. När det gäller den närmare utformningen av redogörelserna vill utskottet, i likhet med vad utskottet gjorde hösten 1999 i sitt yttrande över 1998 års skrivelse (yttr. 1999/2000:LU1y), ånyo aktual</w:t>
      </w:r>
      <w:r w:rsidRPr="00801BA3">
        <w:t>i</w:t>
      </w:r>
      <w:r w:rsidRPr="00801BA3">
        <w:t>sera frågan om man från regeringens sida i framtiden inte kunde göra ifråg</w:t>
      </w:r>
      <w:r w:rsidRPr="00801BA3">
        <w:t>a</w:t>
      </w:r>
      <w:r w:rsidRPr="00801BA3">
        <w:t>varande skrivelser än mer överblickbara för riksdagen genom att redogöre</w:t>
      </w:r>
      <w:r w:rsidRPr="00801BA3">
        <w:t>l</w:t>
      </w:r>
      <w:r w:rsidRPr="00801BA3">
        <w:t>serna ställdes upp utskottsvis i stället</w:t>
      </w:r>
      <w:r w:rsidRPr="00801BA3">
        <w:t xml:space="preserve"> för departementsvis. Som utskottet anförde hösten 1999 skulle utskotten med en sådan uppställning nämligen inte behöva gå omvägen via det utskottsindelade registret för att finna de för varje utskott aktuella skrivelserna. En sådan ordning skulle dessutom göra skrivelserna mer lättillgängliga och användbara i utskottens uppföljningsa</w:t>
      </w:r>
      <w:r w:rsidRPr="00801BA3">
        <w:t>r</w:t>
      </w:r>
      <w:r w:rsidRPr="00801BA3">
        <w:t xml:space="preserve">bete. </w:t>
      </w:r>
    </w:p>
    <w:p w:rsidR="001441BE" w:rsidRPr="00801BA3" w:rsidRDefault="001441BE">
      <w:r w:rsidRPr="00801BA3">
        <w:t>I övrigt föranleder regeringens redogörelse för behandlingen av riksdagens skrivelser till regeringen – såvitt avser de ärenden som omfattas av lagu</w:t>
      </w:r>
      <w:r w:rsidRPr="00801BA3">
        <w:t>t</w:t>
      </w:r>
      <w:r w:rsidRPr="00801BA3">
        <w:t xml:space="preserve">skottets beredningsområde – inga ytterligare kommentarer från utskottets sida. </w:t>
      </w:r>
    </w:p>
    <w:p w:rsidR="001441BE" w:rsidRPr="00801BA3" w:rsidRDefault="001441BE">
      <w:pPr>
        <w:pStyle w:val="Stockholm"/>
      </w:pPr>
      <w:r w:rsidRPr="00801BA3">
        <w:t xml:space="preserve">Stockholm den 24 oktober 2000 </w:t>
      </w:r>
    </w:p>
    <w:p w:rsidR="001441BE" w:rsidRPr="00801BA3" w:rsidRDefault="001441BE">
      <w:pPr>
        <w:pStyle w:val="Vgnar"/>
      </w:pPr>
      <w:r w:rsidRPr="00801BA3">
        <w:t>På lagutskottets vägnar</w:t>
      </w:r>
    </w:p>
    <w:p w:rsidR="001441BE" w:rsidRPr="00801BA3" w:rsidRDefault="001441BE">
      <w:pPr>
        <w:pStyle w:val="Ordfnamn"/>
      </w:pPr>
      <w:bookmarkStart w:id="21" w:name="Ordförande"/>
      <w:bookmarkEnd w:id="21"/>
      <w:r w:rsidRPr="00801BA3">
        <w:t xml:space="preserve">Tanja Linderborg </w:t>
      </w:r>
    </w:p>
    <w:p w:rsidR="001441BE" w:rsidRPr="00801BA3" w:rsidRDefault="001441BE"/>
    <w:p w:rsidR="001441BE" w:rsidRPr="00801BA3" w:rsidRDefault="001441BE">
      <w:pPr>
        <w:pStyle w:val="Deltagare"/>
        <w:spacing w:before="123"/>
      </w:pPr>
      <w:bookmarkStart w:id="22" w:name="Deltagare"/>
      <w:bookmarkEnd w:id="22"/>
      <w:r w:rsidRPr="00801BA3">
        <w:t>I beslutet har deltagit: Tanja Linderborg (v), Rolf Åbjörnsson (kd), Marianne Carlström (s), Stig Rindborg (m), Rune Berglund (s), Karin Olsson (s), He</w:t>
      </w:r>
      <w:r w:rsidRPr="00801BA3">
        <w:t>n</w:t>
      </w:r>
      <w:r w:rsidRPr="00801BA3">
        <w:t>rik S Järrel (m), Elizabeth Nyström (m), Marina Pettersson (s), Christina Nenes (s), Tasso Stafilidis (v), Kjell Eldensjö (kd), Berit Adolfsson (m), Anders Berglöv (s), Viviann Gerdin (c), Ana Maria Narti (fp) och Per Erik Granström (s).</w:t>
      </w:r>
    </w:p>
    <w:p w:rsidR="001441BE" w:rsidRPr="00801BA3" w:rsidRDefault="001441BE">
      <w:pPr>
        <w:pStyle w:val="Normaltindrag"/>
      </w:pPr>
    </w:p>
    <w:p w:rsidR="001441BE" w:rsidRPr="00801BA3" w:rsidRDefault="001441BE">
      <w:pPr>
        <w:pStyle w:val="Rubrik1"/>
      </w:pPr>
    </w:p>
    <w:p w:rsidR="001441BE" w:rsidRPr="00801BA3" w:rsidRDefault="001441BE"/>
    <w:p w:rsidR="001441BE" w:rsidRPr="00801BA3" w:rsidRDefault="001441BE">
      <w:pPr>
        <w:pStyle w:val="Normaltindrag"/>
      </w:pPr>
      <w:bookmarkStart w:id="23" w:name="Nästa_Reservation"/>
      <w:bookmarkEnd w:id="23"/>
    </w:p>
    <w:p w:rsidR="001441BE" w:rsidRPr="00801BA3" w:rsidRDefault="001441BE"/>
    <w:p w:rsidR="001441BE" w:rsidRPr="00801BA3" w:rsidRDefault="001441BE">
      <w:pPr>
        <w:pStyle w:val="Tryckort"/>
        <w:framePr w:wrap="around"/>
      </w:pPr>
      <w:r w:rsidRPr="00801BA3">
        <w:t>Elanders Gotab, Stockholm  2000</w:t>
      </w:r>
    </w:p>
    <w:p w:rsidR="001441BE" w:rsidRPr="00801BA3" w:rsidRDefault="001441BE">
      <w:pPr>
        <w:pStyle w:val="Normaltindrag"/>
      </w:pPr>
    </w:p>
    <w:sectPr w:rsidR="001441BE" w:rsidRPr="00801BA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1BE" w:rsidRPr="00801BA3" w:rsidRDefault="001441BE">
      <w:pPr>
        <w:spacing w:before="0" w:line="240" w:lineRule="auto"/>
      </w:pPr>
      <w:r w:rsidRPr="00801BA3">
        <w:separator/>
      </w:r>
    </w:p>
  </w:endnote>
  <w:endnote w:type="continuationSeparator" w:id="0">
    <w:p w:rsidR="001441BE" w:rsidRPr="00801BA3" w:rsidRDefault="001441BE">
      <w:pPr>
        <w:spacing w:before="0" w:line="240" w:lineRule="auto"/>
      </w:pPr>
      <w:r w:rsidRPr="00801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1BE" w:rsidRPr="00801BA3" w:rsidRDefault="001441BE">
    <w:pPr>
      <w:pStyle w:val="SidfotH"/>
      <w:framePr w:wrap="around"/>
    </w:pPr>
    <w:r w:rsidRPr="00801BA3">
      <w:fldChar w:fldCharType="begin" w:fldLock="1"/>
    </w:r>
    <w:r w:rsidRPr="00801BA3">
      <w:instrText xml:space="preserve"> PAGE </w:instrText>
    </w:r>
    <w:r w:rsidRPr="00801BA3">
      <w:fldChar w:fldCharType="separate"/>
    </w:r>
    <w:r w:rsidRPr="00801BA3">
      <w:t>1</w:t>
    </w:r>
    <w:r w:rsidRPr="00801BA3">
      <w:fldChar w:fldCharType="end"/>
    </w:r>
  </w:p>
  <w:p w:rsidR="001441BE" w:rsidRPr="00801BA3" w:rsidRDefault="001441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1BE" w:rsidRPr="00801BA3" w:rsidRDefault="001441BE">
      <w:pPr>
        <w:pStyle w:val="Sidfot"/>
      </w:pPr>
    </w:p>
  </w:footnote>
  <w:footnote w:type="continuationSeparator" w:id="0">
    <w:p w:rsidR="001441BE" w:rsidRPr="00801BA3" w:rsidRDefault="001441BE">
      <w:pPr>
        <w:spacing w:before="0" w:line="240" w:lineRule="auto"/>
      </w:pPr>
      <w:r w:rsidRPr="00801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1BE" w:rsidRPr="00801BA3" w:rsidRDefault="001441BE">
    <w:pPr>
      <w:pStyle w:val="SidhuvudKant"/>
      <w:framePr w:w="1758" w:h="2744" w:hRule="exact" w:wrap="around" w:vAnchor="page" w:hAnchor="page" w:x="7372" w:y="568" w:anchorLock="0"/>
    </w:pPr>
  </w:p>
  <w:p w:rsidR="001441BE" w:rsidRPr="00801BA3" w:rsidRDefault="001441B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175B20"/>
    <w:rsid w:val="001441BE"/>
    <w:rsid w:val="00175B20"/>
    <w:rsid w:val="00801B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9D8C04-0E99-4E5F-8355-80AC7217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3419</Characters>
  <Application>Microsoft Office Word</Application>
  <DocSecurity>4</DocSecurity>
  <Lines>77</Lines>
  <Paragraphs>23</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Lagutskottets yttrande</vt:lpstr>
      <vt:lpstr>Till konstitutionsutskottet</vt:lpstr>
      <vt:lpstr>    Utskottet</vt:lpstr>
      <vt:lpstr/>
    </vt:vector>
  </TitlesOfParts>
  <Company>Riksdagen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2000-11-01T12:34:00Z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