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D6448" w:rsidRPr="00A27C50">
        <w:tblPrEx>
          <w:tblCellMar>
            <w:top w:w="0" w:type="dxa"/>
            <w:bottom w:w="0" w:type="dxa"/>
          </w:tblCellMar>
        </w:tblPrEx>
        <w:trPr>
          <w:cantSplit/>
          <w:trHeight w:val="1720"/>
        </w:trPr>
        <w:tc>
          <w:tcPr>
            <w:tcW w:w="6024" w:type="dxa"/>
            <w:gridSpan w:val="2"/>
          </w:tcPr>
          <w:p w:rsidR="000D6448" w:rsidRPr="00A27C50" w:rsidRDefault="000D6448">
            <w:pPr>
              <w:pStyle w:val="HuvudRubrik"/>
            </w:pPr>
            <w:r w:rsidRPr="00A27C50">
              <w:t>Redogörelse till riksdagen</w:t>
            </w:r>
          </w:p>
          <w:p w:rsidR="000D6448" w:rsidRPr="00A27C50" w:rsidRDefault="000D6448">
            <w:pPr>
              <w:pStyle w:val="HuvudRubrikRad2"/>
            </w:pPr>
            <w:bookmarkStart w:id="0" w:name="BetänkandeNr"/>
            <w:bookmarkEnd w:id="0"/>
            <w:r w:rsidRPr="00A27C50">
              <w:t>2004/05:NR1</w:t>
            </w:r>
          </w:p>
        </w:tc>
        <w:tc>
          <w:tcPr>
            <w:tcW w:w="1418" w:type="dxa"/>
            <w:tcBorders>
              <w:bottom w:val="nil"/>
            </w:tcBorders>
          </w:tcPr>
          <w:p w:rsidR="000D6448" w:rsidRPr="00A27C50" w:rsidRDefault="00A27C50">
            <w:pPr>
              <w:spacing w:line="230" w:lineRule="auto"/>
              <w:jc w:val="center"/>
            </w:pPr>
            <w:r w:rsidRPr="00A27C5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D6448" w:rsidRPr="00A27C50" w:rsidRDefault="000D6448">
            <w:pPr>
              <w:pStyle w:val="Normaltindrag"/>
              <w:jc w:val="center"/>
            </w:pPr>
          </w:p>
          <w:p w:rsidR="000D6448" w:rsidRPr="00A27C50" w:rsidRDefault="000D6448">
            <w:pPr>
              <w:pStyle w:val="StatusSida1"/>
            </w:pPr>
          </w:p>
          <w:p w:rsidR="000D6448" w:rsidRPr="00A27C50" w:rsidRDefault="000D6448">
            <w:pPr>
              <w:pStyle w:val="UtskriftsdatumSida1"/>
              <w:framePr w:wrap="around"/>
            </w:pPr>
          </w:p>
        </w:tc>
      </w:tr>
      <w:tr w:rsidR="000D6448" w:rsidRPr="00A27C50">
        <w:tblPrEx>
          <w:tblCellMar>
            <w:top w:w="0" w:type="dxa"/>
            <w:bottom w:w="0" w:type="dxa"/>
          </w:tblCellMar>
        </w:tblPrEx>
        <w:trPr>
          <w:cantSplit/>
        </w:trPr>
        <w:tc>
          <w:tcPr>
            <w:tcW w:w="6024" w:type="dxa"/>
            <w:gridSpan w:val="2"/>
            <w:tcBorders>
              <w:bottom w:val="single" w:sz="4" w:space="0" w:color="auto"/>
            </w:tcBorders>
          </w:tcPr>
          <w:p w:rsidR="000D6448" w:rsidRPr="00A27C50" w:rsidRDefault="000D6448">
            <w:pPr>
              <w:pStyle w:val="DokumentRubrik"/>
              <w:rPr>
                <w:noProof w:val="0"/>
              </w:rPr>
            </w:pPr>
            <w:bookmarkStart w:id="1" w:name="Huvudrubrik"/>
            <w:bookmarkEnd w:id="1"/>
            <w:r w:rsidRPr="00A27C50">
              <w:rPr>
                <w:noProof w:val="0"/>
              </w:rPr>
              <w:t>Nordiska rådets svenska delegations berättelse angående verksamheten under år 2004</w:t>
            </w:r>
          </w:p>
        </w:tc>
        <w:tc>
          <w:tcPr>
            <w:tcW w:w="1418" w:type="dxa"/>
            <w:tcBorders>
              <w:bottom w:val="nil"/>
            </w:tcBorders>
          </w:tcPr>
          <w:p w:rsidR="000D6448" w:rsidRPr="00A27C50" w:rsidRDefault="000D6448"/>
        </w:tc>
      </w:tr>
      <w:tr w:rsidR="000D6448" w:rsidRPr="00A27C50">
        <w:tblPrEx>
          <w:tblCellMar>
            <w:top w:w="0" w:type="dxa"/>
            <w:bottom w:w="0" w:type="dxa"/>
          </w:tblCellMar>
        </w:tblPrEx>
        <w:trPr>
          <w:cantSplit/>
          <w:trHeight w:hRule="exact" w:val="360"/>
        </w:trPr>
        <w:tc>
          <w:tcPr>
            <w:tcW w:w="3012" w:type="dxa"/>
          </w:tcPr>
          <w:p w:rsidR="000D6448" w:rsidRPr="00A27C50" w:rsidRDefault="000D6448"/>
        </w:tc>
        <w:tc>
          <w:tcPr>
            <w:tcW w:w="3012" w:type="dxa"/>
          </w:tcPr>
          <w:p w:rsidR="000D6448" w:rsidRPr="00A27C50" w:rsidRDefault="000D6448"/>
        </w:tc>
        <w:tc>
          <w:tcPr>
            <w:tcW w:w="1418" w:type="dxa"/>
          </w:tcPr>
          <w:p w:rsidR="000D6448" w:rsidRPr="00A27C50" w:rsidRDefault="000D6448"/>
        </w:tc>
      </w:tr>
    </w:tbl>
    <w:p w:rsidR="000D6448" w:rsidRPr="00A27C50" w:rsidRDefault="000D6448"/>
    <w:p w:rsidR="000D6448" w:rsidRPr="00A27C50" w:rsidRDefault="000D6448">
      <w:bookmarkStart w:id="2" w:name="TextStart"/>
      <w:bookmarkEnd w:id="2"/>
      <w:r w:rsidRPr="00A27C50">
        <w:t>Nordiska rådets svenska delegation får härmed överlämna bifogade berättelse angående sin verksamhet under 2004. Berättelsen innehåller en redogörelse för rådets 56:e session den 1–3 november samt en översikt över rådets övriga ver</w:t>
      </w:r>
      <w:r w:rsidRPr="00A27C50">
        <w:t>k</w:t>
      </w:r>
      <w:r w:rsidRPr="00A27C50">
        <w:t>samhet under året.</w:t>
      </w:r>
    </w:p>
    <w:p w:rsidR="000D6448" w:rsidRPr="00A27C50" w:rsidRDefault="000D6448">
      <w:pPr>
        <w:pStyle w:val="OrtochDatum"/>
        <w:spacing w:before="125"/>
      </w:pPr>
      <w:r w:rsidRPr="00A27C50">
        <w:t>Stockholm den 16 mars 2005</w:t>
      </w:r>
    </w:p>
    <w:p w:rsidR="000D6448" w:rsidRPr="00A27C50" w:rsidRDefault="000D6448">
      <w:pPr>
        <w:rPr>
          <w:sz w:val="24"/>
        </w:rPr>
      </w:pPr>
    </w:p>
    <w:p w:rsidR="000D6448" w:rsidRPr="00A27C50" w:rsidRDefault="000D6448">
      <w:pPr>
        <w:rPr>
          <w:sz w:val="24"/>
        </w:rPr>
      </w:pPr>
    </w:p>
    <w:p w:rsidR="000D6448" w:rsidRPr="00A27C50" w:rsidRDefault="000D6448">
      <w:pPr>
        <w:rPr>
          <w:sz w:val="24"/>
        </w:rPr>
      </w:pPr>
    </w:p>
    <w:p w:rsidR="000D6448" w:rsidRPr="00A27C50" w:rsidRDefault="000D6448">
      <w:pPr>
        <w:rPr>
          <w:sz w:val="24"/>
        </w:rPr>
      </w:pPr>
    </w:p>
    <w:p w:rsidR="000D6448" w:rsidRPr="00A27C50" w:rsidRDefault="000D6448">
      <w:pPr>
        <w:rPr>
          <w:i/>
        </w:rPr>
      </w:pPr>
      <w:r w:rsidRPr="00A27C50">
        <w:rPr>
          <w:i/>
        </w:rPr>
        <w:t>Gabriel Romanus</w:t>
      </w:r>
    </w:p>
    <w:p w:rsidR="000D6448" w:rsidRPr="00A27C50" w:rsidRDefault="000D6448">
      <w:pPr>
        <w:rPr>
          <w:sz w:val="24"/>
        </w:rPr>
      </w:pPr>
    </w:p>
    <w:p w:rsidR="000D6448" w:rsidRPr="00A27C50" w:rsidRDefault="000D6448">
      <w:pPr>
        <w:rPr>
          <w:sz w:val="24"/>
        </w:rPr>
      </w:pPr>
    </w:p>
    <w:p w:rsidR="000D6448" w:rsidRPr="00A27C50" w:rsidRDefault="000D6448">
      <w:pPr>
        <w:rPr>
          <w:sz w:val="24"/>
        </w:rPr>
      </w:pPr>
    </w:p>
    <w:p w:rsidR="000D6448" w:rsidRPr="00A27C50" w:rsidRDefault="000D6448">
      <w:pPr>
        <w:ind w:left="3976" w:firstLine="284"/>
        <w:rPr>
          <w:i/>
        </w:rPr>
      </w:pPr>
      <w:r w:rsidRPr="00A27C50">
        <w:rPr>
          <w:i/>
        </w:rPr>
        <w:t>Eva Smekal</w:t>
      </w:r>
    </w:p>
    <w:p w:rsidR="000D6448" w:rsidRPr="00A27C50" w:rsidRDefault="000D6448">
      <w:pPr>
        <w:pStyle w:val="Normaltindrag"/>
      </w:pPr>
    </w:p>
    <w:p w:rsidR="000D6448" w:rsidRPr="00A27C50" w:rsidRDefault="000D6448">
      <w:pPr>
        <w:pStyle w:val="Normaltindrag"/>
        <w:sectPr w:rsidR="000D6448" w:rsidRPr="00A27C5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6448" w:rsidRPr="00A27C50" w:rsidRDefault="000D6448">
      <w:pPr>
        <w:pStyle w:val="Rubrik1"/>
        <w:rPr>
          <w:noProof w:val="0"/>
        </w:rPr>
      </w:pPr>
      <w:bookmarkStart w:id="3" w:name="_Toc98294580"/>
      <w:r w:rsidRPr="00A27C50">
        <w:rPr>
          <w:noProof w:val="0"/>
        </w:rPr>
        <w:lastRenderedPageBreak/>
        <w:t>Innehållsförteckning</w:t>
      </w:r>
      <w:bookmarkEnd w:id="3"/>
    </w:p>
    <w:p w:rsidR="000D6448" w:rsidRPr="00A27C50" w:rsidRDefault="000D6448">
      <w:pPr>
        <w:pStyle w:val="Innehll1"/>
      </w:pPr>
      <w:bookmarkStart w:id="4" w:name="OLE_LINK1"/>
      <w:r w:rsidRPr="00A27C50">
        <w:t>Innehållsförteckning</w:t>
      </w:r>
      <w:r w:rsidRPr="00A27C50">
        <w:tab/>
        <w:t>2</w:t>
      </w:r>
    </w:p>
    <w:p w:rsidR="000D6448" w:rsidRPr="00A27C50" w:rsidRDefault="000D6448">
      <w:pPr>
        <w:pStyle w:val="Innehll1"/>
      </w:pPr>
      <w:r w:rsidRPr="00A27C50">
        <w:t>1 Inledning</w:t>
      </w:r>
      <w:r w:rsidRPr="00A27C50">
        <w:tab/>
      </w:r>
      <w:r w:rsidRPr="00A27C50">
        <w:t>3</w:t>
      </w:r>
    </w:p>
    <w:p w:rsidR="000D6448" w:rsidRPr="00A27C50" w:rsidRDefault="000D6448">
      <w:pPr>
        <w:pStyle w:val="Innehll1"/>
      </w:pPr>
      <w:r w:rsidRPr="00A27C50">
        <w:t>2 Sveriges delegation</w:t>
      </w:r>
      <w:r w:rsidRPr="00A27C50">
        <w:tab/>
        <w:t>6</w:t>
      </w:r>
    </w:p>
    <w:p w:rsidR="000D6448" w:rsidRPr="00A27C50" w:rsidRDefault="000D6448">
      <w:pPr>
        <w:pStyle w:val="Innehll1"/>
      </w:pPr>
      <w:r w:rsidRPr="00A27C50">
        <w:t>3 Samarbetet i Norden och i norra Europa</w:t>
      </w:r>
      <w:r w:rsidRPr="00A27C50">
        <w:tab/>
        <w:t>9</w:t>
      </w:r>
    </w:p>
    <w:p w:rsidR="000D6448" w:rsidRPr="00A27C50" w:rsidRDefault="000D6448">
      <w:pPr>
        <w:pStyle w:val="Innehll1"/>
      </w:pPr>
      <w:r w:rsidRPr="00A27C50">
        <w:t>4 Gränshinder i Norden</w:t>
      </w:r>
      <w:r w:rsidRPr="00A27C50">
        <w:tab/>
        <w:t>12</w:t>
      </w:r>
    </w:p>
    <w:p w:rsidR="000D6448" w:rsidRPr="00A27C50" w:rsidRDefault="000D6448">
      <w:pPr>
        <w:pStyle w:val="Innehll1"/>
      </w:pPr>
      <w:r w:rsidRPr="00A27C50">
        <w:t>5 Alkoholpolitik i Norden</w:t>
      </w:r>
      <w:r w:rsidRPr="00A27C50">
        <w:tab/>
        <w:t>16</w:t>
      </w:r>
    </w:p>
    <w:p w:rsidR="000D6448" w:rsidRPr="00A27C50" w:rsidRDefault="000D6448">
      <w:pPr>
        <w:pStyle w:val="Innehll1"/>
      </w:pPr>
      <w:r w:rsidRPr="00A27C50">
        <w:t>6 Den Nordliga dimensionen i ett utvidgat EU, temamöte</w:t>
      </w:r>
      <w:r w:rsidRPr="00A27C50">
        <w:tab/>
      </w:r>
      <w:bookmarkStart w:id="5" w:name="_Hlt98660159"/>
      <w:r w:rsidRPr="00A27C50">
        <w:t>19</w:t>
      </w:r>
      <w:bookmarkEnd w:id="5"/>
    </w:p>
    <w:p w:rsidR="000D6448" w:rsidRPr="00A27C50" w:rsidRDefault="000D6448">
      <w:pPr>
        <w:pStyle w:val="Innehll1"/>
      </w:pPr>
      <w:r w:rsidRPr="00A27C50">
        <w:t>7 Nordiska rådets 56:e session i Stockholm den 1–3 november 2004</w:t>
      </w:r>
      <w:r w:rsidRPr="00A27C50">
        <w:tab/>
        <w:t>20</w:t>
      </w:r>
    </w:p>
    <w:p w:rsidR="000D6448" w:rsidRPr="00A27C50" w:rsidRDefault="000D6448">
      <w:pPr>
        <w:pStyle w:val="Innehll1"/>
      </w:pPr>
      <w:r w:rsidRPr="00A27C50">
        <w:t>8 Presidiet, utskotten och kontrollkommittén</w:t>
      </w:r>
      <w:r w:rsidRPr="00A27C50">
        <w:tab/>
        <w:t>25</w:t>
      </w:r>
    </w:p>
    <w:p w:rsidR="000D6448" w:rsidRPr="00A27C50" w:rsidRDefault="000D6448">
      <w:pPr>
        <w:pStyle w:val="Innehll1"/>
      </w:pPr>
      <w:r w:rsidRPr="00A27C50">
        <w:t>9 Östersjösamarbetet</w:t>
      </w:r>
      <w:r w:rsidRPr="00A27C50">
        <w:tab/>
        <w:t>33</w:t>
      </w:r>
    </w:p>
    <w:p w:rsidR="000D6448" w:rsidRPr="00A27C50" w:rsidRDefault="000D6448">
      <w:pPr>
        <w:pStyle w:val="Innehll1"/>
      </w:pPr>
      <w:r w:rsidRPr="00A27C50">
        <w:t>10 Arktiskt samarbete</w:t>
      </w:r>
      <w:r w:rsidRPr="00A27C50">
        <w:tab/>
        <w:t>35</w:t>
      </w:r>
    </w:p>
    <w:p w:rsidR="000D6448" w:rsidRPr="00A27C50" w:rsidRDefault="000D6448">
      <w:pPr>
        <w:pStyle w:val="Innehll1"/>
        <w:rPr>
          <w:i/>
        </w:rPr>
      </w:pPr>
      <w:r w:rsidRPr="00A27C50">
        <w:rPr>
          <w:i/>
        </w:rPr>
        <w:t>Bilaga 1</w:t>
      </w:r>
    </w:p>
    <w:p w:rsidR="000D6448" w:rsidRPr="00A27C50" w:rsidRDefault="000D6448">
      <w:pPr>
        <w:pStyle w:val="Innehll1"/>
      </w:pPr>
      <w:r w:rsidRPr="00A27C50">
        <w:t>Nordiska rådets svenska delegation 2004</w:t>
      </w:r>
      <w:r w:rsidRPr="00A27C50">
        <w:tab/>
      </w:r>
      <w:bookmarkStart w:id="6" w:name="_Hlt98551522"/>
      <w:r w:rsidRPr="00A27C50">
        <w:t>37</w:t>
      </w:r>
      <w:bookmarkEnd w:id="6"/>
    </w:p>
    <w:p w:rsidR="000D6448" w:rsidRPr="00A27C50" w:rsidRDefault="000D6448">
      <w:pPr>
        <w:pStyle w:val="Innehll1"/>
        <w:rPr>
          <w:i/>
        </w:rPr>
      </w:pPr>
      <w:r w:rsidRPr="00A27C50">
        <w:rPr>
          <w:i/>
        </w:rPr>
        <w:t>Bilaga 2</w:t>
      </w:r>
    </w:p>
    <w:p w:rsidR="000D6448" w:rsidRPr="00A27C50" w:rsidRDefault="000D6448">
      <w:pPr>
        <w:pStyle w:val="Innehll1"/>
      </w:pPr>
      <w:r w:rsidRPr="00A27C50">
        <w:t>Deklaration antagen vid seminarium om människohandel för sexuellt utnyttjande, Piteå den 23–25 mars 2004</w:t>
      </w:r>
      <w:r w:rsidRPr="00A27C50">
        <w:tab/>
        <w:t>39</w:t>
      </w:r>
    </w:p>
    <w:p w:rsidR="000D6448" w:rsidRPr="00A27C50" w:rsidRDefault="000D6448">
      <w:pPr>
        <w:pStyle w:val="Innehll1"/>
        <w:rPr>
          <w:i/>
        </w:rPr>
      </w:pPr>
      <w:r w:rsidRPr="00A27C50">
        <w:rPr>
          <w:i/>
        </w:rPr>
        <w:t>Bilaga 3</w:t>
      </w:r>
    </w:p>
    <w:p w:rsidR="000D6448" w:rsidRPr="00A27C50" w:rsidRDefault="000D6448">
      <w:pPr>
        <w:pStyle w:val="Innehll1"/>
        <w:ind w:right="283"/>
      </w:pPr>
      <w:r w:rsidRPr="00A27C50">
        <w:rPr>
          <w:spacing w:val="-2"/>
        </w:rPr>
        <w:t>Rekommendationer, yttranden och interna beslut antagna vid Nordiska rådets 56:e session samt framställningar antagna av presidiet under år 2004</w:t>
      </w:r>
      <w:r w:rsidRPr="00A27C50">
        <w:tab/>
        <w:t>41</w:t>
      </w:r>
    </w:p>
    <w:p w:rsidR="000D6448" w:rsidRPr="00A27C50" w:rsidRDefault="000D6448">
      <w:pPr>
        <w:pStyle w:val="Innehll1"/>
        <w:rPr>
          <w:i/>
        </w:rPr>
      </w:pPr>
      <w:r w:rsidRPr="00A27C50">
        <w:rPr>
          <w:i/>
        </w:rPr>
        <w:t>Bilaga 4</w:t>
      </w:r>
    </w:p>
    <w:p w:rsidR="000D6448" w:rsidRPr="00A27C50" w:rsidRDefault="000D6448">
      <w:pPr>
        <w:pStyle w:val="Innehll1"/>
      </w:pPr>
      <w:r w:rsidRPr="00A27C50">
        <w:t>Resolution antagen vid den13:e parlamentariska Östersjökonferensen i Bergen den 30–31 augusti 2004</w:t>
      </w:r>
      <w:r w:rsidRPr="00A27C50">
        <w:tab/>
        <w:t>54</w:t>
      </w:r>
    </w:p>
    <w:p w:rsidR="000D6448" w:rsidRPr="00A27C50" w:rsidRDefault="000D6448">
      <w:pPr>
        <w:pStyle w:val="Innehll1"/>
        <w:rPr>
          <w:i/>
        </w:rPr>
      </w:pPr>
      <w:r w:rsidRPr="00A27C50">
        <w:rPr>
          <w:i/>
        </w:rPr>
        <w:t>Bilaga 5</w:t>
      </w:r>
    </w:p>
    <w:p w:rsidR="000D6448" w:rsidRPr="00A27C50" w:rsidRDefault="000D6448">
      <w:pPr>
        <w:pStyle w:val="Innehll1"/>
      </w:pPr>
      <w:r w:rsidRPr="00A27C50">
        <w:t>Resolution antagen vid den 6:e parlamentariska arktiska konferensen i Nuuk den 3–6 september 2004</w:t>
      </w:r>
      <w:r w:rsidRPr="00A27C50">
        <w:tab/>
        <w:t>57</w:t>
      </w:r>
    </w:p>
    <w:bookmarkEnd w:id="4"/>
    <w:p w:rsidR="000D6448" w:rsidRPr="00A27C50" w:rsidRDefault="000D6448">
      <w:pPr>
        <w:pStyle w:val="Innehll1"/>
      </w:pPr>
    </w:p>
    <w:p w:rsidR="000D6448" w:rsidRPr="00A27C50" w:rsidRDefault="000D6448">
      <w:pPr>
        <w:pStyle w:val="Innehll1"/>
      </w:pPr>
    </w:p>
    <w:p w:rsidR="000D6448" w:rsidRPr="00A27C50" w:rsidRDefault="000D6448">
      <w:pPr>
        <w:pStyle w:val="Innehll1"/>
      </w:pPr>
    </w:p>
    <w:p w:rsidR="000D6448" w:rsidRPr="00A27C50" w:rsidRDefault="000D6448">
      <w:pPr>
        <w:pStyle w:val="Innehll1"/>
      </w:pPr>
    </w:p>
    <w:p w:rsidR="000D6448" w:rsidRPr="00A27C50" w:rsidRDefault="000D6448">
      <w:pPr>
        <w:pStyle w:val="Normaltindrag"/>
        <w:ind w:firstLine="0"/>
        <w:sectPr w:rsidR="000D6448" w:rsidRPr="00A27C5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D6448" w:rsidRPr="00A27C50" w:rsidRDefault="000D6448">
      <w:pPr>
        <w:pStyle w:val="Rubrik1"/>
        <w:spacing w:after="0"/>
        <w:rPr>
          <w:noProof w:val="0"/>
        </w:rPr>
      </w:pPr>
      <w:bookmarkStart w:id="7" w:name="_Toc98294581"/>
      <w:r w:rsidRPr="00A27C50">
        <w:rPr>
          <w:noProof w:val="0"/>
        </w:rPr>
        <w:t>1 Inledning</w:t>
      </w:r>
      <w:bookmarkEnd w:id="7"/>
    </w:p>
    <w:p w:rsidR="000D6448" w:rsidRPr="00A27C50" w:rsidRDefault="000D6448">
      <w:pPr>
        <w:pStyle w:val="Rubrik2"/>
        <w:spacing w:before="375"/>
      </w:pPr>
      <w:r w:rsidRPr="00A27C50">
        <w:t>Det nordiska samarbetet</w:t>
      </w:r>
    </w:p>
    <w:p w:rsidR="000D6448" w:rsidRPr="00A27C50" w:rsidRDefault="000D6448">
      <w:r w:rsidRPr="00A27C50">
        <w:t>Det nordiska samarbetet är en av de äldsta och mest omfattande regionala samarbetsstrukturerna i världen. Samarbetet omfattar Danmark, Finland, Island, Norge och Sverige samt Färöarna, Grönland och Åland. Samarbetet har minst tre dimensioner: samarbete mellan regeringar, samarbete mellan parlament och samarbete i det civila samhället, mellan folkrörelser och frivi</w:t>
      </w:r>
      <w:r w:rsidRPr="00A27C50">
        <w:t>l</w:t>
      </w:r>
      <w:r w:rsidRPr="00A27C50">
        <w:t>ligorganisationer.</w:t>
      </w:r>
    </w:p>
    <w:p w:rsidR="000D6448" w:rsidRPr="00A27C50" w:rsidRDefault="000D6448">
      <w:pPr>
        <w:pStyle w:val="Normaltindrag"/>
      </w:pPr>
      <w:r w:rsidRPr="00A27C50">
        <w:t>Samarbetet stärker samhörigheten mellan de nordiska länderna men i</w:t>
      </w:r>
      <w:r w:rsidRPr="00A27C50">
        <w:t>n</w:t>
      </w:r>
      <w:r w:rsidRPr="00A27C50">
        <w:t>rymmer också respekt för nationella olikheter och särdrag. Samarbetet syftar till att öka gemenskapen mellan de nordiska länderna och deras befolkningar. Särkilt viktigt är att undanröja olika former av gränshinder som försvårar den fria rörligheten i Norden. Samarbetet syftar också till att öka möjligheterna för Norden att bidra till demokratiutvecklingen i vårt närområde och till att göra den nordiska stämman hörd i omvärlden.</w:t>
      </w:r>
    </w:p>
    <w:p w:rsidR="000D6448" w:rsidRPr="00A27C50" w:rsidRDefault="000D6448">
      <w:pPr>
        <w:pStyle w:val="Normaltindrag"/>
      </w:pPr>
      <w:r w:rsidRPr="00A27C50">
        <w:t>Det nordiska samarbetet formaliserades 1952 då Nordiska rådet upprätt</w:t>
      </w:r>
      <w:r w:rsidRPr="00A27C50">
        <w:t>a</w:t>
      </w:r>
      <w:r w:rsidRPr="00A27C50">
        <w:t>des som ett forum för parlamentariker och regeringar. Den grundläggande ramen för samarbetet är sedan 1962 Helsingforsavtalet. Nordiska rådets r</w:t>
      </w:r>
      <w:r w:rsidRPr="00A27C50">
        <w:t>e</w:t>
      </w:r>
      <w:r w:rsidRPr="00A27C50">
        <w:t>kommendationer riktar sig till Nordiska ministerrådet, upprättat år 1971, eller till de nordiska ländernas regeringar.</w:t>
      </w:r>
    </w:p>
    <w:p w:rsidR="000D6448" w:rsidRPr="00A27C50" w:rsidRDefault="000D6448">
      <w:pPr>
        <w:pStyle w:val="Normaltindrag"/>
      </w:pPr>
      <w:r w:rsidRPr="00A27C50">
        <w:t>Det nordiska samarbetet har en stark folklig förankring, vilket nyligen f</w:t>
      </w:r>
      <w:r w:rsidRPr="00A27C50">
        <w:t>ö</w:t>
      </w:r>
      <w:r w:rsidRPr="00A27C50">
        <w:t>retagna undersökningar i tre av våra länder visar. För att detta förtroende skall bestå måste vi visa att vi både kan och vill utveckla rådets arbete så att det tar hänsyn till förändringar i vår omvärld och att dess resultat får genomslag i våra nationella parlament.</w:t>
      </w:r>
    </w:p>
    <w:p w:rsidR="000D6448" w:rsidRPr="00A27C50" w:rsidRDefault="000D6448">
      <w:pPr>
        <w:pStyle w:val="Rubrik2"/>
      </w:pPr>
      <w:r w:rsidRPr="00A27C50">
        <w:t>Nya samarbetsformer</w:t>
      </w:r>
    </w:p>
    <w:p w:rsidR="000D6448" w:rsidRPr="00A27C50" w:rsidRDefault="000D6448">
      <w:r w:rsidRPr="00A27C50">
        <w:t>2004 har varit ett händelserikt år för det nordiska samarbetet. Den viktigaste förändringen i vår omvärld är naturligtvis Europeiska unionens utvidgning som innebär att alla stater omkring Östersjön utom Ryssland nu är anslutna till unionen. Detta påverkar vårt samarbete med Baltiska församlingen, men också vårt samarbete med nordvästra Ryssland och med övriga Östersjölä</w:t>
      </w:r>
      <w:r w:rsidRPr="00A27C50">
        <w:t>n</w:t>
      </w:r>
      <w:r w:rsidRPr="00A27C50">
        <w:t>der.</w:t>
      </w:r>
    </w:p>
    <w:p w:rsidR="000D6448" w:rsidRPr="00A27C50" w:rsidRDefault="000D6448">
      <w:pPr>
        <w:pStyle w:val="Normaltindrag"/>
      </w:pPr>
      <w:r w:rsidRPr="00A27C50">
        <w:t>Parlamentarikerna i Nordiska rådet har under året intensivt diskuterat nya samarbetsformer och då inte bara i Norden utan för hela norra Europa. Redan tidigt på året inleddes diskussioner med de baltiska länderna om hur samarb</w:t>
      </w:r>
      <w:r w:rsidRPr="00A27C50">
        <w:t>e</w:t>
      </w:r>
      <w:r w:rsidRPr="00A27C50">
        <w:t>tet skall utvecklas. Förhoppningen är att resultatet av dessa överväganden skall presenteras vid ett gemensamt möte mellan Baltiska församlingen och Nordiska rådet i Pärnu, Es</w:t>
      </w:r>
      <w:r w:rsidRPr="00A27C50">
        <w:t>t</w:t>
      </w:r>
      <w:r w:rsidRPr="00A27C50">
        <w:t>land, i april 2005.</w:t>
      </w:r>
    </w:p>
    <w:p w:rsidR="000D6448" w:rsidRPr="00A27C50" w:rsidRDefault="000D6448">
      <w:pPr>
        <w:pStyle w:val="Normaltindrag"/>
      </w:pPr>
      <w:r w:rsidRPr="00A27C50">
        <w:t>Samtidigt har också diskussioner förts om ett fastare parlamentariskt sa</w:t>
      </w:r>
      <w:r w:rsidRPr="00A27C50">
        <w:t>m</w:t>
      </w:r>
      <w:r w:rsidRPr="00A27C50">
        <w:t>arbete för alla Östersjöländer och om ett parlamentariskt partnerskap för norra Europa. För att behandla dessa frågor tillsatte rådet en särskild arbetsgrupp, den s.k. Framtidsgruppen, under ledning av rådets president.</w:t>
      </w:r>
    </w:p>
    <w:p w:rsidR="000D6448" w:rsidRPr="00A27C50" w:rsidRDefault="000D6448">
      <w:pPr>
        <w:pStyle w:val="Normaltindrag"/>
      </w:pPr>
      <w:r w:rsidRPr="00A27C50">
        <w:t>En dialog har också förts med de nordiska parlamentens talmän. Viktiga frågor har här varit hur arbetet i olika parlamentariska samarbetsorgan i vår del av världen skall kunna samordnas så att resurserna används effektivt, hur arbetet bättre kan förankras nationellt och hur de nationella parlamentens fackutskott kan involveras i det nordiska samarbetet.</w:t>
      </w:r>
    </w:p>
    <w:p w:rsidR="000D6448" w:rsidRPr="00A27C50" w:rsidRDefault="000D6448">
      <w:pPr>
        <w:pStyle w:val="Normaltindrag"/>
      </w:pPr>
      <w:r w:rsidRPr="00A27C50">
        <w:t>Framtidsgruppen presenterade ett förslag till nya samarbetsformer vid r</w:t>
      </w:r>
      <w:r w:rsidRPr="00A27C50">
        <w:t>å</w:t>
      </w:r>
      <w:r w:rsidRPr="00A27C50">
        <w:t>dets januarimöten 2005. Förslagen diskuteras nu i rådets partigrupper. U</w:t>
      </w:r>
      <w:r w:rsidRPr="00A27C50">
        <w:t>t</w:t>
      </w:r>
      <w:r w:rsidRPr="00A27C50">
        <w:t>gångspunkten är att Nordiska rådets huvuduppgift fortsatt skall vara att u</w:t>
      </w:r>
      <w:r w:rsidRPr="00A27C50">
        <w:t>t</w:t>
      </w:r>
      <w:r w:rsidRPr="00A27C50">
        <w:t>veckla och förstärka det nordiska samarbetet inom Helsingforsavtalets ram. Det nordiska samarbetets kärnfrågor är att driva på arbetet med att avskaffa gränshinder av olika slag. Vidare betonas vikten av koordinering av det pa</w:t>
      </w:r>
      <w:r w:rsidRPr="00A27C50">
        <w:t>r</w:t>
      </w:r>
      <w:r w:rsidRPr="00A27C50">
        <w:t>lamentariska samarbetet i regionen för att effektivisera och undvika dubbel</w:t>
      </w:r>
      <w:r w:rsidRPr="00A27C50">
        <w:softHyphen/>
        <w:t>arbete så att exist</w:t>
      </w:r>
      <w:r w:rsidRPr="00A27C50">
        <w:t>e</w:t>
      </w:r>
      <w:r w:rsidRPr="00A27C50">
        <w:t>rande resurser används på bästa sätt.</w:t>
      </w:r>
    </w:p>
    <w:p w:rsidR="000D6448" w:rsidRPr="00A27C50" w:rsidRDefault="000D6448">
      <w:pPr>
        <w:pStyle w:val="Normaltindrag"/>
      </w:pPr>
      <w:r w:rsidRPr="00A27C50">
        <w:t>Gruppen delar de nordiska talmännens uppfattning att samarbetet måste förankras och återkopplas till de nationella parlamenten, inte minst för att det nordiska samarbetet skall få det genomslag som motsvarar det starka folkliga stödet. Vi bör därför kräva att regeringsförslag och utskottsbetänkanden ger tillfredsställande information om förhållandena i de övriga nordiska länderna, som bakgrund till de förslag som framförs. Detta skulle också bidra till att involvera de nationella fackutskotten i arbetet, något som rådet aktivt vill verka för.</w:t>
      </w:r>
    </w:p>
    <w:p w:rsidR="000D6448" w:rsidRPr="00A27C50" w:rsidRDefault="000D6448">
      <w:pPr>
        <w:pStyle w:val="Rubrik2"/>
      </w:pPr>
      <w:r w:rsidRPr="00A27C50">
        <w:t>Norden en dynamisk region</w:t>
      </w:r>
    </w:p>
    <w:p w:rsidR="000D6448" w:rsidRPr="00A27C50" w:rsidRDefault="000D6448">
      <w:r w:rsidRPr="00A27C50">
        <w:t>Norden är en dynamisk region som står sig väl i konkurrensen, både i förhå</w:t>
      </w:r>
      <w:r w:rsidRPr="00A27C50">
        <w:t>l</w:t>
      </w:r>
      <w:r w:rsidRPr="00A27C50">
        <w:t>lande till EU-genomsnittet och mera globalt. Vi behöver dock en målinriktad insats för framtiden om vi vill behålla denna position. Viktiga framsteg har gjorts under 2004 inom forskning och innovation för att säkra de nordiska ländernas konkurrenskraft.</w:t>
      </w:r>
    </w:p>
    <w:p w:rsidR="000D6448" w:rsidRPr="00A27C50" w:rsidRDefault="000D6448">
      <w:pPr>
        <w:pStyle w:val="Normaltindrag"/>
      </w:pPr>
      <w:r w:rsidRPr="00A27C50">
        <w:t>Andra inomnordiska frågor som präglat är 2004 är naturligtvis åtgärder för att undanröja olika gränshinder. Den 1 november 2004 undertecknades en ny nordisk överenskommelse om folkbokföring. Det blir lättare att få ett perso</w:t>
      </w:r>
      <w:r w:rsidRPr="00A27C50">
        <w:t>n</w:t>
      </w:r>
      <w:r w:rsidRPr="00A27C50">
        <w:t>nummerbevis och man behöver inte längre flyttningsbevis när man flyttar mellan de nordiska länderna. Även om mycket har gjorts återstår mycket att göra och för närvarande pågår en kartläggning av gränshinder för företaga</w:t>
      </w:r>
      <w:r w:rsidRPr="00A27C50">
        <w:t>n</w:t>
      </w:r>
      <w:r w:rsidRPr="00A27C50">
        <w:t>det i Norden. Särskilt viktigt är att förändringar i den nationella lagstiftningen inte oavsiktligt leder till uppkomsten av nya gränshinder. Så har t.ex. de no</w:t>
      </w:r>
      <w:r w:rsidRPr="00A27C50">
        <w:t>r</w:t>
      </w:r>
      <w:r w:rsidRPr="00A27C50">
        <w:t>diska finansministrarna, i enlighet med en rekommendation från rådet år 2002, kommit överens om att information om skatteändringar så tidigt som möjligt skall förmedlas till övriga nordiska länder. Inom Nordiska rådet fö</w:t>
      </w:r>
      <w:r w:rsidRPr="00A27C50">
        <w:t>r</w:t>
      </w:r>
      <w:r w:rsidRPr="00A27C50">
        <w:t>bereds för närvarande ett förslag innebärande att ett sådant informationsutbyte bör gälla alla ministerråd.</w:t>
      </w:r>
    </w:p>
    <w:p w:rsidR="000D6448" w:rsidRPr="00A27C50" w:rsidRDefault="000D6448">
      <w:pPr>
        <w:pStyle w:val="Normaltindrag"/>
      </w:pPr>
      <w:r w:rsidRPr="00A27C50">
        <w:t>Bioetik är ett aktuellt samarbetsområde som diskuterats vid flera tillfällen. Organiserad brottslighet och terrorism samt människohandel i Östersjöregi</w:t>
      </w:r>
      <w:r w:rsidRPr="00A27C50">
        <w:t>o</w:t>
      </w:r>
      <w:r w:rsidRPr="00A27C50">
        <w:t>nen har också varit högt pri</w:t>
      </w:r>
      <w:r w:rsidRPr="00A27C50">
        <w:t>o</w:t>
      </w:r>
      <w:r w:rsidRPr="00A27C50">
        <w:t>riterade frågor på rådets dagordning.</w:t>
      </w:r>
    </w:p>
    <w:p w:rsidR="000D6448" w:rsidRPr="00A27C50" w:rsidRDefault="000D6448">
      <w:pPr>
        <w:pStyle w:val="Rubrik2"/>
      </w:pPr>
      <w:r w:rsidRPr="00A27C50">
        <w:t>Förändringar i vårt närområdessamarbete</w:t>
      </w:r>
    </w:p>
    <w:p w:rsidR="000D6448" w:rsidRPr="00A27C50" w:rsidRDefault="000D6448">
      <w:r w:rsidRPr="00A27C50">
        <w:t>Nordiska rådets kontakter med nordvästra Ryssland intensifierades under året och samarbetet med Baltiska församlingen konsoliderades. Förutom delt</w:t>
      </w:r>
      <w:r w:rsidRPr="00A27C50">
        <w:t>a</w:t>
      </w:r>
      <w:r w:rsidRPr="00A27C50">
        <w:t>gande i varandras sessioner och samråd mellan presidierna hölls möten på utskottsnivå. I december arrangerades t.ex. en konferens om energipolitik i Europa av fackutskotten i Nordiska rådet, Baltiska församlingen och Benelux parlamentariska församling.</w:t>
      </w:r>
    </w:p>
    <w:p w:rsidR="000D6448" w:rsidRPr="00A27C50" w:rsidRDefault="000D6448">
      <w:pPr>
        <w:pStyle w:val="Normaltindrag"/>
      </w:pPr>
      <w:r w:rsidRPr="00A27C50">
        <w:t>Den 1 januari 2005 blev de baltiska länderna medlemmar i Nordiska Inv</w:t>
      </w:r>
      <w:r w:rsidRPr="00A27C50">
        <w:t>e</w:t>
      </w:r>
      <w:r w:rsidRPr="00A27C50">
        <w:t>steringsbanken. Frågan om de baltiska ländernas deltagande i andra nordiska institutioner diskuteras fortgående. Under 2004 utarbetades också nya strat</w:t>
      </w:r>
      <w:r w:rsidRPr="00A27C50">
        <w:t>e</w:t>
      </w:r>
      <w:r w:rsidRPr="00A27C50">
        <w:t>gier för samarbetet med nordvästra Ryssland och med Estland, Lettland och Litauen, allt i syfte att anpassa samarbetet efter förändringar i omvärlden. Detta arbete kommer att fortsätta i takt med förändringarna i vår omvärld.</w:t>
      </w:r>
    </w:p>
    <w:p w:rsidR="000D6448" w:rsidRPr="00A27C50" w:rsidRDefault="000D6448">
      <w:pPr>
        <w:pStyle w:val="Normaltindrag"/>
      </w:pPr>
      <w:r w:rsidRPr="00A27C50">
        <w:t>Den Nordliga dimensionen, och särskilt parlamentarikernas roll i denna, var huvudtemat när politiker från Norden, Baltikum och Ryssland samlades till ett möte i Helsingfors i april 2004. Vikten av att ge den Nordliga dime</w:t>
      </w:r>
      <w:r w:rsidRPr="00A27C50">
        <w:t>n</w:t>
      </w:r>
      <w:r w:rsidRPr="00A27C50">
        <w:t>sionen politisk substans och ett konkret innehåll underströks. Vid mötet fra</w:t>
      </w:r>
      <w:r w:rsidRPr="00A27C50">
        <w:t>m</w:t>
      </w:r>
      <w:r w:rsidRPr="00A27C50">
        <w:t>ställdes också krav på en permanent finansiering för att stärka dimensionen. En konklusion från mötet var att ett samarbete med Ryssland är angeläget inom många områden, inte minst för en fortsatt positiv och demokratisk u</w:t>
      </w:r>
      <w:r w:rsidRPr="00A27C50">
        <w:t>t</w:t>
      </w:r>
      <w:r w:rsidRPr="00A27C50">
        <w:t>veckling.</w:t>
      </w:r>
    </w:p>
    <w:p w:rsidR="000D6448" w:rsidRPr="00A27C50" w:rsidRDefault="000D6448">
      <w:pPr>
        <w:pStyle w:val="Rubrik2"/>
      </w:pPr>
      <w:r w:rsidRPr="00A27C50">
        <w:t>Handfast nordisk politik</w:t>
      </w:r>
    </w:p>
    <w:p w:rsidR="000D6448" w:rsidRPr="00A27C50" w:rsidRDefault="000D6448">
      <w:r w:rsidRPr="00A27C50">
        <w:t>Miljöfrågorna kring Östersjön, Barentsregionen och Arktis är tunga frågor i Nordiska rådets framtida arbete liksom välfärdsfrågor och åtgärder mot alk</w:t>
      </w:r>
      <w:r w:rsidRPr="00A27C50">
        <w:t>o</w:t>
      </w:r>
      <w:r w:rsidRPr="00A27C50">
        <w:t>hol och drogmissbruk. Den nordiska välfärdsmodellen står inför betydande utmaningar. I en ny bok, ”Hur mår den nordiska välfärden”, har Nordiska rådet och Nordiska ministerrådet samlat nordisk kunskap och nordiskt nytä</w:t>
      </w:r>
      <w:r w:rsidRPr="00A27C50">
        <w:t>n</w:t>
      </w:r>
      <w:r w:rsidRPr="00A27C50">
        <w:t>kande kring hotet mot våra framtida välfärdssamhällen. Under det första halvåret 2005 kommer boken att presenteras vid en rad möten runtom i No</w:t>
      </w:r>
      <w:r w:rsidRPr="00A27C50">
        <w:t>r</w:t>
      </w:r>
      <w:r w:rsidRPr="00A27C50">
        <w:t>den och förhop</w:t>
      </w:r>
      <w:r w:rsidRPr="00A27C50">
        <w:t>p</w:t>
      </w:r>
      <w:r w:rsidRPr="00A27C50">
        <w:t>ningsvis väcka frågor och stimulera till debatt i länderna.</w:t>
      </w:r>
    </w:p>
    <w:p w:rsidR="000D6448" w:rsidRPr="00A27C50" w:rsidRDefault="000D6448">
      <w:pPr>
        <w:pStyle w:val="Normaltindrag"/>
      </w:pPr>
      <w:r w:rsidRPr="00A27C50">
        <w:t>Kampen mot alla former av gränshinder fortsätter under de kommande åren.</w:t>
      </w:r>
    </w:p>
    <w:p w:rsidR="000D6448" w:rsidRPr="00A27C50" w:rsidRDefault="000D6448">
      <w:pPr>
        <w:pStyle w:val="Normaltindrag"/>
      </w:pPr>
      <w:r w:rsidRPr="00A27C50">
        <w:t>De nordiska ländernas politik är inte längre en intern nordisk fråga utan i hög grad ett samspel med övriga Europa och EU, oavsett medlemskap eller inte, och det ligger i ländernas intresse att samarbeta. Partigruppernas sama</w:t>
      </w:r>
      <w:r w:rsidRPr="00A27C50">
        <w:t>r</w:t>
      </w:r>
      <w:r w:rsidRPr="00A27C50">
        <w:t>bete i rådet har blivit allt viktigare, politiken har blivit mer resultatinriktad och besluten bättre förberedda.</w:t>
      </w:r>
    </w:p>
    <w:p w:rsidR="000D6448" w:rsidRPr="00A27C50" w:rsidRDefault="000D6448">
      <w:pPr>
        <w:pStyle w:val="Rubrik1"/>
        <w:rPr>
          <w:noProof w:val="0"/>
        </w:rPr>
        <w:sectPr w:rsidR="000D6448" w:rsidRPr="00A27C5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0D6448" w:rsidRPr="00A27C50" w:rsidRDefault="000D6448">
      <w:pPr>
        <w:pStyle w:val="Rubrik1"/>
        <w:spacing w:after="0"/>
        <w:rPr>
          <w:noProof w:val="0"/>
        </w:rPr>
      </w:pPr>
      <w:bookmarkStart w:id="8" w:name="_Toc98294582"/>
      <w:r w:rsidRPr="00A27C50">
        <w:rPr>
          <w:noProof w:val="0"/>
        </w:rPr>
        <w:t>2 Sveriges delegation</w:t>
      </w:r>
      <w:bookmarkEnd w:id="8"/>
    </w:p>
    <w:p w:rsidR="000D6448" w:rsidRPr="00A27C50" w:rsidRDefault="000D6448">
      <w:pPr>
        <w:pStyle w:val="Rubrik2"/>
        <w:spacing w:before="375"/>
      </w:pPr>
      <w:r w:rsidRPr="00A27C50">
        <w:t>Delegationen och dess arbetsutskott</w:t>
      </w:r>
    </w:p>
    <w:p w:rsidR="000D6448" w:rsidRPr="00A27C50" w:rsidRDefault="000D6448">
      <w:r w:rsidRPr="00A27C50">
        <w:t>Nordiska rådets svenska delegation består av 20 medlemmar och 20 supplea</w:t>
      </w:r>
      <w:r w:rsidRPr="00A27C50">
        <w:t>n</w:t>
      </w:r>
      <w:r w:rsidRPr="00A27C50">
        <w:t xml:space="preserve">ter. Delegationens sammansättning framgår av </w:t>
      </w:r>
      <w:r w:rsidRPr="00A27C50">
        <w:rPr>
          <w:i/>
        </w:rPr>
        <w:t>bilaga 1</w:t>
      </w:r>
      <w:r w:rsidRPr="00A27C50">
        <w:t xml:space="preserve">.  </w:t>
      </w:r>
    </w:p>
    <w:p w:rsidR="000D6448" w:rsidRPr="00A27C50" w:rsidRDefault="000D6448">
      <w:pPr>
        <w:pStyle w:val="Normaltindrag"/>
      </w:pPr>
      <w:r w:rsidRPr="00A27C50">
        <w:t>Delegationens ordförande har under året varit Gabriel Romanus (fp), tillika Nordiska rådets president, och vice ordförande Anita Johansson (s), tillika Nordiska rådets vice president. I arbetsutskottet har, förutom ordförande och vice ordförande, Kent Olsson (m), Reynoldh Furustrand (s), Tuve Skånberg (kd) och Lennart Gustavsson (v) ingått. Delegationen har under verksamhet</w:t>
      </w:r>
      <w:r w:rsidRPr="00A27C50">
        <w:t>s</w:t>
      </w:r>
      <w:r w:rsidRPr="00A27C50">
        <w:t>året hållit sju möten och arbetsu</w:t>
      </w:r>
      <w:r w:rsidRPr="00A27C50">
        <w:t>t</w:t>
      </w:r>
      <w:r w:rsidRPr="00A27C50">
        <w:t xml:space="preserve">skottet sju möten. </w:t>
      </w:r>
    </w:p>
    <w:p w:rsidR="000D6448" w:rsidRPr="00A27C50" w:rsidRDefault="000D6448">
      <w:pPr>
        <w:pStyle w:val="Rubrik2"/>
      </w:pPr>
      <w:r w:rsidRPr="00A27C50">
        <w:t>Uppföljning och förankring av Nordiska rådets rekommendationer</w:t>
      </w:r>
    </w:p>
    <w:p w:rsidR="000D6448" w:rsidRPr="00A27C50" w:rsidRDefault="000D6448">
      <w:r w:rsidRPr="00A27C50">
        <w:t>Huvudfrågan vid delegationens möten har även detta år varit uppföljningen av Nordiska rådets rekommendationer och interna beslut samt förankringen av de nordiska frågorna i riksdagen. I enlighet med föregående år har delegati</w:t>
      </w:r>
      <w:r w:rsidRPr="00A27C50">
        <w:t>o</w:t>
      </w:r>
      <w:r w:rsidRPr="00A27C50">
        <w:t xml:space="preserve">nen som ett led i arbetet för att förankra det nordiska samarbetet i riksdagen och för att driva på genomförandet av rådets rekommendationer utsett särskilt ansvariga medlemmar i delegationen för varje rekommendation och internt beslut. Vid delegationens möte den 13 oktober lämnade ”rapportörerna” en redogörelse för initiativ som tagits med anledning av rekommendationerna. Delegationens ordförande och vice ordförande har även i brev erbjudit sig att för riksdagens utskott göra en föredragning om aktuella nordiska frågor. </w:t>
      </w:r>
    </w:p>
    <w:p w:rsidR="000D6448" w:rsidRPr="00A27C50" w:rsidRDefault="000D6448">
      <w:pPr>
        <w:pStyle w:val="Rubrik2"/>
      </w:pPr>
      <w:r w:rsidRPr="00A27C50">
        <w:t>Dialog med den nordiska samarbetsministern</w:t>
      </w:r>
    </w:p>
    <w:p w:rsidR="000D6448" w:rsidRPr="00A27C50" w:rsidRDefault="000D6448">
      <w:r w:rsidRPr="00A27C50">
        <w:t>Delegationen har under året följt samarbetet inom Nordiska ministerrådet genom en fortlöpande dialog med den nordiska samarbetsministern Berit Andnor och statssekreterare Stefan Noreén om aktuella frågor på regeringss</w:t>
      </w:r>
      <w:r w:rsidRPr="00A27C50">
        <w:t>i</w:t>
      </w:r>
      <w:r w:rsidRPr="00A27C50">
        <w:t>dan. Delegationen har även tillsammans med samarbetsministern diskuterat behovet av att minska antalet rekommendationer, vilket ställer krav på ”va</w:t>
      </w:r>
      <w:r w:rsidRPr="00A27C50">
        <w:t>s</w:t>
      </w:r>
      <w:r w:rsidRPr="00A27C50">
        <w:t>sare” rekommendationer och en bättre uppföljning och förankring av de r</w:t>
      </w:r>
      <w:r w:rsidRPr="00A27C50">
        <w:t>e</w:t>
      </w:r>
      <w:r w:rsidRPr="00A27C50">
        <w:t>kommendationer som antas. Detta gav ett tydligt utslag vid den 56:e sessi</w:t>
      </w:r>
      <w:r w:rsidRPr="00A27C50">
        <w:t>o</w:t>
      </w:r>
      <w:r w:rsidRPr="00A27C50">
        <w:t>nen med ett stort antal avskrivna gamla rekommendationer och ett begränsat antal nya rekommendationer. Delegationen har vid dialogen med samarbet</w:t>
      </w:r>
      <w:r w:rsidRPr="00A27C50">
        <w:t>s</w:t>
      </w:r>
      <w:r w:rsidRPr="00A27C50">
        <w:t xml:space="preserve">ministern understrukit att det minskade antalet rekommendationer förutsätter att rådets rekommendationer snabbt genomförs och att detta även avspeglar sig i den samnordiska budgeten. </w:t>
      </w:r>
    </w:p>
    <w:p w:rsidR="000D6448" w:rsidRPr="00A27C50" w:rsidRDefault="000D6448">
      <w:pPr>
        <w:pStyle w:val="Rubrik2"/>
      </w:pPr>
      <w:r w:rsidRPr="00A27C50">
        <w:t>Dialog med talmännen</w:t>
      </w:r>
    </w:p>
    <w:p w:rsidR="000D6448" w:rsidRPr="00A27C50" w:rsidRDefault="000D6448">
      <w:r w:rsidRPr="00A27C50">
        <w:t xml:space="preserve">Under året har delegationen fortlöpande informerats om de samtal som förts mellan stortingspresident Jørgen Kosmo, som företrädare för talmännen för de nordiska ländernas parlament, och Nordiska rådets president Gabriel Romanus, som företrädare för Nordiska rådets presidium, om förankringen av det nordiska samarbetet i de nationella parlamenten, kostnaderna för Nordiska rådet samt det framtida parlamentariska samarbetet i norra Europa.  </w:t>
      </w:r>
    </w:p>
    <w:p w:rsidR="000D6448" w:rsidRPr="00A27C50" w:rsidRDefault="000D6448">
      <w:pPr>
        <w:pStyle w:val="Normaltindrag"/>
      </w:pPr>
      <w:r w:rsidRPr="00A27C50">
        <w:t xml:space="preserve">En annan viktig fråga i dialogen med talmännen har varit de nationella fackutskottens deltagande i det nordiska samarbetet. En konferens om kvalitet i nordiska skolor i början av året är ett gott exempel på samarbete med de nationella fackutskotten, i detta fall utbildningsutskotten, och förankring av de nordiska frågorna i de nationella parlamenten. </w:t>
      </w:r>
    </w:p>
    <w:p w:rsidR="000D6448" w:rsidRPr="00A27C50" w:rsidRDefault="000D6448">
      <w:pPr>
        <w:pStyle w:val="Rubrik2"/>
      </w:pPr>
      <w:r w:rsidRPr="00A27C50">
        <w:t>Nordiskt patentinstitut</w:t>
      </w:r>
    </w:p>
    <w:p w:rsidR="000D6448" w:rsidRPr="00A27C50" w:rsidRDefault="000D6448">
      <w:r w:rsidRPr="00A27C50">
        <w:t>Delegationen har under året engagerat sig i frågan om inrättande av ett no</w:t>
      </w:r>
      <w:r w:rsidRPr="00A27C50">
        <w:t>r</w:t>
      </w:r>
      <w:r w:rsidRPr="00A27C50">
        <w:t>diskt patentinstitut med anledning av en föredragning av Patent- och registr</w:t>
      </w:r>
      <w:r w:rsidRPr="00A27C50">
        <w:t>e</w:t>
      </w:r>
      <w:r w:rsidRPr="00A27C50">
        <w:t>ringsverkets generaldirektör Gun Hellsvik. Delegationen väckte ett medlem</w:t>
      </w:r>
      <w:r w:rsidRPr="00A27C50">
        <w:t>s</w:t>
      </w:r>
      <w:r w:rsidRPr="00A27C50">
        <w:t>förslag i Nordiska rådet om inrättande av ett nordiskt patentinstitut som b</w:t>
      </w:r>
      <w:r w:rsidRPr="00A27C50">
        <w:t>e</w:t>
      </w:r>
      <w:r w:rsidRPr="00A27C50">
        <w:t>handlades av Nordiska rådets näringsutskott. Delegationen kunde med bekl</w:t>
      </w:r>
      <w:r w:rsidRPr="00A27C50">
        <w:t>a</w:t>
      </w:r>
      <w:r w:rsidRPr="00A27C50">
        <w:t xml:space="preserve">gande konstatera att förslaget inte utmynnade i någon rekommendation då Finland valde att ställa sig utanför ett sådant samarbete. </w:t>
      </w:r>
    </w:p>
    <w:p w:rsidR="000D6448" w:rsidRPr="00A27C50" w:rsidRDefault="000D6448">
      <w:pPr>
        <w:pStyle w:val="Rubrik2"/>
      </w:pPr>
      <w:r w:rsidRPr="00A27C50">
        <w:t>Människohandel för sexuellt utnyttjande</w:t>
      </w:r>
    </w:p>
    <w:p w:rsidR="000D6448" w:rsidRPr="00A27C50" w:rsidRDefault="000D6448">
      <w:r w:rsidRPr="00A27C50">
        <w:t>Mot bakgrund av ett initiativ från riksdagsledamöterna Lars U Granberg och Maria Öberg arrangerade svenska delegationen tillsammans med Nordiska rådets medborgar- och konsumentutskott ett seminarium för unga parlament</w:t>
      </w:r>
      <w:r w:rsidRPr="00A27C50">
        <w:t>a</w:t>
      </w:r>
      <w:r w:rsidRPr="00A27C50">
        <w:t>riker i Barentsregionen om människohandel för sexuellt utnyttjande den 23–25 mars 2004 i Piteå. Seminariet var ett arrangemang inom ramen för det nä</w:t>
      </w:r>
      <w:r w:rsidRPr="00A27C50">
        <w:t>t</w:t>
      </w:r>
      <w:r w:rsidRPr="00A27C50">
        <w:t>verk av unga parlamentariker i Barentsregionen som etablerades år 2001. Del</w:t>
      </w:r>
      <w:r w:rsidRPr="00A27C50">
        <w:softHyphen/>
        <w:t xml:space="preserve">tagarna i seminariet antog en deklaration vars innehåll framgår av </w:t>
      </w:r>
      <w:r w:rsidRPr="00A27C50">
        <w:rPr>
          <w:i/>
        </w:rPr>
        <w:t>bilaga 2</w:t>
      </w:r>
      <w:r w:rsidRPr="00A27C50">
        <w:t>. Som ett direkt resultat av detta seminarium, och det seminarium som No</w:t>
      </w:r>
      <w:r w:rsidRPr="00A27C50">
        <w:t>r</w:t>
      </w:r>
      <w:r w:rsidRPr="00A27C50">
        <w:t>diska rådets medborgar- och konsumentutskott arrangerade i samband med No</w:t>
      </w:r>
      <w:r w:rsidRPr="00A27C50">
        <w:t>r</w:t>
      </w:r>
      <w:r w:rsidRPr="00A27C50">
        <w:t>diska rådets temamöte om den nordliga dimensionen i ett utvidgat EU, bild</w:t>
      </w:r>
      <w:r w:rsidRPr="00A27C50">
        <w:t>a</w:t>
      </w:r>
      <w:r w:rsidRPr="00A27C50">
        <w:t>des på initiativ av Lars U Granberg och Lennart Gustavsson ett manligt nä</w:t>
      </w:r>
      <w:r w:rsidRPr="00A27C50">
        <w:t>t</w:t>
      </w:r>
      <w:r w:rsidRPr="00A27C50">
        <w:t xml:space="preserve">verk mot människohandel för sexuellt utnyttjande. Delegationen hälsade initiativet med glädje och har beslutat att stödja nätverkets vidare arbete. </w:t>
      </w:r>
    </w:p>
    <w:p w:rsidR="000D6448" w:rsidRPr="00A27C50" w:rsidRDefault="000D6448">
      <w:pPr>
        <w:pStyle w:val="Rubrik2"/>
      </w:pPr>
      <w:r w:rsidRPr="00A27C50">
        <w:t>Delegationens informationsverksamhet</w:t>
      </w:r>
    </w:p>
    <w:p w:rsidR="000D6448" w:rsidRPr="00A27C50" w:rsidRDefault="000D6448">
      <w:r w:rsidRPr="00A27C50">
        <w:rPr>
          <w:i/>
        </w:rPr>
        <w:t>Nordiska rådets journaliststipendium</w:t>
      </w:r>
      <w:r w:rsidRPr="00A27C50">
        <w:t xml:space="preserve"> som utdelas årligen har inrättats för att ge journalister möjlighet att undersöka och rapportera om förhållanden i de nordiska länderna och om det nordiska samarbetet. I enlighet med beslut av Nordiska rådets presidium hade Nordiska rådets journaliststipendium år 2004 som tema ”Regionernas Europa efter EU:s utvidgning – ur ett nordiskt pe</w:t>
      </w:r>
      <w:r w:rsidRPr="00A27C50">
        <w:t>r</w:t>
      </w:r>
      <w:r w:rsidRPr="00A27C50">
        <w:t>spektiv”. Stipendiesumman var för Sveriges del DKK 90 000 och den delades av sex journalister för report</w:t>
      </w:r>
      <w:r w:rsidRPr="00A27C50">
        <w:t>a</w:t>
      </w:r>
      <w:r w:rsidRPr="00A27C50">
        <w:t xml:space="preserve">ge eller studier knutna till detta tema. </w:t>
      </w:r>
    </w:p>
    <w:p w:rsidR="000D6448" w:rsidRPr="00A27C50" w:rsidRDefault="000D6448">
      <w:pPr>
        <w:pStyle w:val="Normaltindrag"/>
      </w:pPr>
      <w:r w:rsidRPr="00A27C50">
        <w:t>Svenska delegationen har under verksamhetsåret fortsatt sitt nära samarb</w:t>
      </w:r>
      <w:r w:rsidRPr="00A27C50">
        <w:t>e</w:t>
      </w:r>
      <w:r w:rsidRPr="00A27C50">
        <w:t xml:space="preserve">te med </w:t>
      </w:r>
      <w:r w:rsidRPr="00A27C50">
        <w:rPr>
          <w:i/>
        </w:rPr>
        <w:t>Norden i fokus</w:t>
      </w:r>
      <w:r w:rsidRPr="00A27C50">
        <w:t>, det nordiska informationsfönstret i Stockholm. I a</w:t>
      </w:r>
      <w:r w:rsidRPr="00A27C50">
        <w:t>n</w:t>
      </w:r>
      <w:r w:rsidRPr="00A27C50">
        <w:t>slutning till Nordiska rådets 56:e session i Stockholm arrangerades ”Norden i Stockholm” i samarbete mellan Norden i fokus, Nordiska rådets svenska delegation och Föreningen Norden. Under dessa dagar lyftes bl.a. de nordiska pristagarna fram vid seminarier och arrangemangen avslutades med den stora multietniska konserten ”Crossroads”.</w:t>
      </w:r>
    </w:p>
    <w:p w:rsidR="000D6448" w:rsidRPr="00A27C50" w:rsidRDefault="000D6448">
      <w:pPr>
        <w:pStyle w:val="Normaltindrag"/>
      </w:pPr>
      <w:r w:rsidRPr="00A27C50">
        <w:t xml:space="preserve">På informationssidan samverkar delegationen också med </w:t>
      </w:r>
      <w:r w:rsidRPr="00A27C50">
        <w:rPr>
          <w:i/>
        </w:rPr>
        <w:t>Föreningen No</w:t>
      </w:r>
      <w:r w:rsidRPr="00A27C50">
        <w:rPr>
          <w:i/>
        </w:rPr>
        <w:t>r</w:t>
      </w:r>
      <w:r w:rsidRPr="00A27C50">
        <w:rPr>
          <w:i/>
        </w:rPr>
        <w:t>den</w:t>
      </w:r>
      <w:r w:rsidRPr="00A27C50">
        <w:t xml:space="preserve"> genom ett särskilt samarbetsavtal. Det nordiska samarbetet har en stark folklig förankring och samarbetet med frivilligorganisationerna är en viktig del där För</w:t>
      </w:r>
      <w:r w:rsidRPr="00A27C50">
        <w:t>e</w:t>
      </w:r>
      <w:r w:rsidRPr="00A27C50">
        <w:t>ningen Norden av naturliga skäl intar en särställning.</w:t>
      </w:r>
    </w:p>
    <w:p w:rsidR="000D6448" w:rsidRPr="00A27C50" w:rsidRDefault="000D6448">
      <w:pPr>
        <w:pStyle w:val="Normaltindrag"/>
      </w:pPr>
      <w:r w:rsidRPr="00A27C50">
        <w:rPr>
          <w:i/>
        </w:rPr>
        <w:t>Hallå Norden</w:t>
      </w:r>
      <w:r w:rsidRPr="00A27C50">
        <w:t xml:space="preserve"> är en informationstjänst som hjälper människor som hamnat i kläm mellan de nordiska ländernas regelverk och som informerar om vad som gäller vid flyttning, studier eller arbete i ett annat nordiskt land. Genom regelbundna rapporter från Hallå Norden får delegationen information om de problem människor stöter på när de rör sig över de nordiska gränserna. Hallå Norden samarbetar även med de gränsregi</w:t>
      </w:r>
      <w:r w:rsidRPr="00A27C50">
        <w:t>o</w:t>
      </w:r>
      <w:r w:rsidRPr="00A27C50">
        <w:t xml:space="preserve">nala informationstjänsterna. </w:t>
      </w:r>
    </w:p>
    <w:p w:rsidR="000D6448" w:rsidRPr="00A27C50" w:rsidRDefault="000D6448">
      <w:pPr>
        <w:pStyle w:val="Rubrik2"/>
      </w:pPr>
      <w:r w:rsidRPr="00A27C50">
        <w:t>Övrigt</w:t>
      </w:r>
    </w:p>
    <w:p w:rsidR="000D6448" w:rsidRPr="00A27C50" w:rsidRDefault="000D6448">
      <w:r w:rsidRPr="00A27C50">
        <w:t>Delegationen har även under året mött representanter för de politiska un</w:t>
      </w:r>
      <w:r w:rsidRPr="00A27C50">
        <w:t>g</w:t>
      </w:r>
      <w:r w:rsidRPr="00A27C50">
        <w:t>domsförbunden för en dialog om viktiga nordiska samarbetsfrågor samt fått en fördragning från den i Stockholm stationerade nordiska institutionen Nor</w:t>
      </w:r>
      <w:r w:rsidRPr="00A27C50">
        <w:t>d</w:t>
      </w:r>
      <w:r w:rsidRPr="00A27C50">
        <w:t>regio om den socioekonomiska utvecklingen i Norden och Europa med pe</w:t>
      </w:r>
      <w:r w:rsidRPr="00A27C50">
        <w:t>r</w:t>
      </w:r>
      <w:r w:rsidRPr="00A27C50">
        <w:t>spektiv på utmaningarna efter EU/EES-utvidgningen.</w:t>
      </w:r>
    </w:p>
    <w:p w:rsidR="000D6448" w:rsidRPr="00A27C50" w:rsidRDefault="000D6448"/>
    <w:p w:rsidR="000D6448" w:rsidRPr="00A27C50" w:rsidRDefault="000D6448">
      <w:pPr>
        <w:pStyle w:val="Rubrik1"/>
        <w:rPr>
          <w:noProof w:val="0"/>
        </w:rPr>
        <w:sectPr w:rsidR="000D6448" w:rsidRPr="00A27C5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0D6448" w:rsidRPr="00A27C50" w:rsidRDefault="000D6448">
      <w:pPr>
        <w:pStyle w:val="Rubrik1"/>
        <w:rPr>
          <w:noProof w:val="0"/>
        </w:rPr>
      </w:pPr>
      <w:bookmarkStart w:id="9" w:name="_Toc98294583"/>
      <w:r w:rsidRPr="00A27C50">
        <w:rPr>
          <w:noProof w:val="0"/>
        </w:rPr>
        <w:t>3 Samarbetet i Norden och i norra Europa</w:t>
      </w:r>
      <w:bookmarkEnd w:id="9"/>
    </w:p>
    <w:p w:rsidR="000D6448" w:rsidRPr="00A27C50" w:rsidRDefault="000D6448">
      <w:r w:rsidRPr="00A27C50">
        <w:t>Inom Nordiska rådet råder stor enighet om att det nordiska samarbetet måste utvecklas med hänsyn till de förändringar som sker i Europa och de nya krav som ställs av den sociala, ekonomiska, tekniska och – inte minst – miljömä</w:t>
      </w:r>
      <w:r w:rsidRPr="00A27C50">
        <w:t>s</w:t>
      </w:r>
      <w:r w:rsidRPr="00A27C50">
        <w:t>siga utvecklingen i vår del av världen. Den viktigaste förändringen som har skett de senaste åren är utvidgningen av Europeiska unionen. Utvidgningen innebär att alla stater kring Östersjön utom Ryssland nu är anslutna till uni</w:t>
      </w:r>
      <w:r w:rsidRPr="00A27C50">
        <w:t>o</w:t>
      </w:r>
      <w:r w:rsidRPr="00A27C50">
        <w:t>nen. Detta påverkar vårt samarbete med Baltiska församlingen, men även sama</w:t>
      </w:r>
      <w:r w:rsidRPr="00A27C50">
        <w:t>r</w:t>
      </w:r>
      <w:r w:rsidRPr="00A27C50">
        <w:t xml:space="preserve">betet med nordvästra Ryssland och med övriga Östersjöstater. </w:t>
      </w:r>
    </w:p>
    <w:p w:rsidR="000D6448" w:rsidRPr="00A27C50" w:rsidRDefault="000D6448">
      <w:pPr>
        <w:pStyle w:val="Normaltindrag"/>
      </w:pPr>
      <w:r w:rsidRPr="00A27C50">
        <w:t>Under 2004 har diskussioner förts i olika forum för att starta en process för att anpassa Nordiska rådets arbete till förändrin</w:t>
      </w:r>
      <w:r w:rsidRPr="00A27C50">
        <w:t>g</w:t>
      </w:r>
      <w:r w:rsidRPr="00A27C50">
        <w:t>ar i omvärlden.</w:t>
      </w:r>
      <w:bookmarkStart w:id="10" w:name="Heading"/>
      <w:bookmarkStart w:id="11" w:name="Start"/>
      <w:bookmarkEnd w:id="10"/>
      <w:bookmarkEnd w:id="11"/>
    </w:p>
    <w:p w:rsidR="000D6448" w:rsidRPr="00A27C50" w:rsidRDefault="000D6448">
      <w:pPr>
        <w:pStyle w:val="Rubrik2"/>
      </w:pPr>
      <w:r w:rsidRPr="00A27C50">
        <w:t>Samarbetet med Baltiska församlingen</w:t>
      </w:r>
    </w:p>
    <w:p w:rsidR="000D6448" w:rsidRPr="00A27C50" w:rsidRDefault="000D6448">
      <w:r w:rsidRPr="00A27C50">
        <w:t>Sedan de baltiska staterna fick sitt oberoende har Nordiska rådet inlett ett nära samarbete med dem, syftande bl.a. till att stödja den demokratiska parlame</w:t>
      </w:r>
      <w:r w:rsidRPr="00A27C50">
        <w:t>n</w:t>
      </w:r>
      <w:r w:rsidRPr="00A27C50">
        <w:t>tariska utvecklingen i dessa länder. Genom bildandet av Baltiska församlin</w:t>
      </w:r>
      <w:r w:rsidRPr="00A27C50">
        <w:t>g</w:t>
      </w:r>
      <w:r w:rsidRPr="00A27C50">
        <w:t>en fick samarbetet fastare former, och efter EU-utvidgningen har rådet och Baltiska församlingen tillsatt en gemensam arbetsgrupp för att överväga hur samarbetet bäst bör utformas i det nya läget.</w:t>
      </w:r>
    </w:p>
    <w:p w:rsidR="000D6448" w:rsidRPr="00A27C50" w:rsidRDefault="000D6448">
      <w:pPr>
        <w:pStyle w:val="Normaltindrag"/>
      </w:pPr>
      <w:r w:rsidRPr="00A27C50">
        <w:t>I slutet av april 2005 kommer ett gemensamt möte mellan Baltiska försa</w:t>
      </w:r>
      <w:r w:rsidRPr="00A27C50">
        <w:t>m</w:t>
      </w:r>
      <w:r w:rsidRPr="00A27C50">
        <w:t>lingen och Nordiska rådet att hållas i Pärnu, Estland. Avsikten är att då ta ställning till de fortsatta samarbetsformerna. Redan nu står det klart att de bägge organisationerna önskar ett fördjupat samarbete mellan de bägge org</w:t>
      </w:r>
      <w:r w:rsidRPr="00A27C50">
        <w:t>a</w:t>
      </w:r>
      <w:r w:rsidRPr="00A27C50">
        <w:t>nisationernas fackutskott och också mellan nämnda fackutskott och de nati</w:t>
      </w:r>
      <w:r w:rsidRPr="00A27C50">
        <w:t>o</w:t>
      </w:r>
      <w:r w:rsidRPr="00A27C50">
        <w:t>nella parlamentens fackutskott i konkreta sakfrågor. Samarbetet med de ba</w:t>
      </w:r>
      <w:r w:rsidRPr="00A27C50">
        <w:t>l</w:t>
      </w:r>
      <w:r w:rsidRPr="00A27C50">
        <w:t>tiska staterna ingår naturligtvis också som en del i en strategi för utvecklingen av det parlamentariska samarbetet i norra Europa och Arktis i stort. Samarb</w:t>
      </w:r>
      <w:r w:rsidRPr="00A27C50">
        <w:t>e</w:t>
      </w:r>
      <w:r w:rsidRPr="00A27C50">
        <w:t>tet med nordvästra Ryssland ingår också i denna strategi.</w:t>
      </w:r>
    </w:p>
    <w:p w:rsidR="000D6448" w:rsidRPr="00A27C50" w:rsidRDefault="000D6448">
      <w:pPr>
        <w:pStyle w:val="Rubrik2"/>
      </w:pPr>
      <w:r w:rsidRPr="00A27C50">
        <w:t>Samarbetet med länderna kring Östersjön</w:t>
      </w:r>
    </w:p>
    <w:p w:rsidR="000D6448" w:rsidRPr="00A27C50" w:rsidRDefault="000D6448">
      <w:r w:rsidRPr="00A27C50">
        <w:t>Vid den parlamentariska Östersjökonferensen i Bergen i september 2004 uppdrogs åt konferensens permanenta kommitté att närmare utreda hur den parlamentariska dimensionen av Östersjösamarbetet bäst bör utformas i fra</w:t>
      </w:r>
      <w:r w:rsidRPr="00A27C50">
        <w:t>m</w:t>
      </w:r>
      <w:r w:rsidRPr="00A27C50">
        <w:t>tiden. Vid konferensen framfördes tanken på ett parlamentariskt partnerskap för norra Europa genom utveckling av Östersjösamarbetet.</w:t>
      </w:r>
    </w:p>
    <w:p w:rsidR="000D6448" w:rsidRPr="00A27C50" w:rsidRDefault="000D6448">
      <w:pPr>
        <w:pStyle w:val="Normaltindrag"/>
      </w:pPr>
      <w:r w:rsidRPr="00A27C50">
        <w:t>För att arbeta vidare med dessa frågor tillsattes en särskild arbetsgrupp i Nordiska rådet, den s.k. Framtidsgruppen. Frågorna diskuterades också vid en rundabordskonferens i samband med Nordiska rådets session den 1–3 n</w:t>
      </w:r>
      <w:r w:rsidRPr="00A27C50">
        <w:t>o</w:t>
      </w:r>
      <w:r w:rsidRPr="00A27C50">
        <w:t>vem</w:t>
      </w:r>
      <w:r w:rsidRPr="00A27C50">
        <w:softHyphen/>
        <w:t>ber 2004, vid vilken representanter för berörda organisationer och för Eur</w:t>
      </w:r>
      <w:r w:rsidRPr="00A27C50">
        <w:t>o</w:t>
      </w:r>
      <w:r w:rsidRPr="00A27C50">
        <w:t xml:space="preserve">paparlamentet deltog. Förhoppningen är att kunna presentera ett förslag under 2005. Utan att föregripa detta kan dock konstateras att det råder enighet om att Nordiska rådet, med utgångspunkt i Helsingforsavtalet, bör vara en motor när det gäller att driva på för ett ökat parlamentariskt inflytande både i </w:t>
      </w:r>
      <w:r w:rsidRPr="00A27C50">
        <w:rPr>
          <w:spacing w:val="-2"/>
        </w:rPr>
        <w:t>Öste</w:t>
      </w:r>
      <w:r w:rsidRPr="00A27C50">
        <w:rPr>
          <w:spacing w:val="-2"/>
        </w:rPr>
        <w:t>r</w:t>
      </w:r>
      <w:r w:rsidRPr="00A27C50">
        <w:rPr>
          <w:spacing w:val="-2"/>
        </w:rPr>
        <w:t>sjösamarbetet, i det arktiska samarbetet och i nordliga Europa över huvu</w:t>
      </w:r>
      <w:r w:rsidRPr="00A27C50">
        <w:rPr>
          <w:spacing w:val="-2"/>
        </w:rPr>
        <w:t>d</w:t>
      </w:r>
      <w:r w:rsidRPr="00A27C50">
        <w:rPr>
          <w:spacing w:val="-2"/>
        </w:rPr>
        <w:t xml:space="preserve"> taget.</w:t>
      </w:r>
    </w:p>
    <w:p w:rsidR="000D6448" w:rsidRPr="00A27C50" w:rsidRDefault="000D6448">
      <w:pPr>
        <w:pStyle w:val="Rubrik2"/>
      </w:pPr>
      <w:r w:rsidRPr="00A27C50">
        <w:t>Dialogen med parlamentspresidenterna</w:t>
      </w:r>
    </w:p>
    <w:p w:rsidR="000D6448" w:rsidRPr="00A27C50" w:rsidRDefault="000D6448">
      <w:r w:rsidRPr="00A27C50">
        <w:t>Nordiska rådets president och presidium har under 2004 fört en dialog med de nordiska parlamentens talmän. En viktig fråga har varit hur arbetet i olika samarbetsorgan i vår del av världen skall kunna samordnas så att våra resurser används effektivt.</w:t>
      </w:r>
    </w:p>
    <w:p w:rsidR="000D6448" w:rsidRPr="00A27C50" w:rsidRDefault="000D6448">
      <w:pPr>
        <w:pStyle w:val="Normaltindrag"/>
      </w:pPr>
      <w:r w:rsidRPr="00A27C50">
        <w:t>När det gäller Nordiska rådets interna arbete är det främst två krav som har framgått av diskussionen och dialogen med parlamentspresidenterna:</w:t>
      </w:r>
    </w:p>
    <w:p w:rsidR="000D6448" w:rsidRPr="00A27C50" w:rsidRDefault="000D6448">
      <w:pPr>
        <w:pStyle w:val="Normaltindrag"/>
      </w:pPr>
      <w:r w:rsidRPr="00A27C50">
        <w:t>1. En bättre förankring i de nationella parlamenten av det nordiska sama</w:t>
      </w:r>
      <w:r w:rsidRPr="00A27C50">
        <w:t>r</w:t>
      </w:r>
      <w:r w:rsidRPr="00A27C50">
        <w:t>betet, bl.a. genom ökat samarbete och informationsutbyte mellan Nordiska rådets fackutskott och rel</w:t>
      </w:r>
      <w:r w:rsidRPr="00A27C50">
        <w:t>e</w:t>
      </w:r>
      <w:r w:rsidRPr="00A27C50">
        <w:t>vanta utskott i de nationella parlamenten.</w:t>
      </w:r>
    </w:p>
    <w:p w:rsidR="000D6448" w:rsidRPr="00A27C50" w:rsidRDefault="000D6448">
      <w:pPr>
        <w:pStyle w:val="Normaltindrag"/>
      </w:pPr>
      <w:r w:rsidRPr="00A27C50">
        <w:t>2. En effektivisering av rådets arbete som frigör resurser för mer flexibla insatser, som tar hänsyn till den förändrade samarbetssituationen och som involverar de nationella parlamentens fackutskott i samarbete mellan de no</w:t>
      </w:r>
      <w:r w:rsidRPr="00A27C50">
        <w:t>r</w:t>
      </w:r>
      <w:r w:rsidRPr="00A27C50">
        <w:t>diska länderna och med övriga Östersjöstater.</w:t>
      </w:r>
    </w:p>
    <w:p w:rsidR="000D6448" w:rsidRPr="00A27C50" w:rsidRDefault="000D6448">
      <w:pPr>
        <w:pStyle w:val="Normaltindrag"/>
      </w:pPr>
      <w:r w:rsidRPr="00A27C50">
        <w:t>När det gäller den första punkten anser delegationen att det i första hand är en uppgift för Nordiska rådets medlemmar och suppleanter. Delegationen har också utvecklat, såsom tidigare nämnts, nya former för att bevaka att de no</w:t>
      </w:r>
      <w:r w:rsidRPr="00A27C50">
        <w:t>r</w:t>
      </w:r>
      <w:r w:rsidRPr="00A27C50">
        <w:t>diska frågorna får den plats i det nationella arbetet som borde vara självklar med tanke på deras betydelse för medborgarna och med tanke på det starka stöd som finns för nordiskt samarbete i befol</w:t>
      </w:r>
      <w:r w:rsidRPr="00A27C50">
        <w:t>k</w:t>
      </w:r>
      <w:r w:rsidRPr="00A27C50">
        <w:t xml:space="preserve">ningarna. </w:t>
      </w:r>
    </w:p>
    <w:p w:rsidR="000D6448" w:rsidRPr="00A27C50" w:rsidRDefault="000D6448">
      <w:pPr>
        <w:pStyle w:val="Normaltindrag"/>
        <w:rPr>
          <w:spacing w:val="-2"/>
        </w:rPr>
      </w:pPr>
      <w:r w:rsidRPr="00A27C50">
        <w:rPr>
          <w:spacing w:val="-2"/>
        </w:rPr>
        <w:t>Genom den reform av rådets utskottsorganisation som genomfördes för nå</w:t>
      </w:r>
      <w:r w:rsidRPr="00A27C50">
        <w:rPr>
          <w:spacing w:val="-2"/>
        </w:rPr>
        <w:t>g</w:t>
      </w:r>
      <w:r w:rsidRPr="00A27C50">
        <w:rPr>
          <w:spacing w:val="-2"/>
        </w:rPr>
        <w:t>ra år sedan har möjligheterna till personsamband mellan de nationella utskotten och rådets utskott ökat. Förhoppningen är att det skall leda till en bättre nati</w:t>
      </w:r>
      <w:r w:rsidRPr="00A27C50">
        <w:rPr>
          <w:spacing w:val="-2"/>
        </w:rPr>
        <w:t>o</w:t>
      </w:r>
      <w:r w:rsidRPr="00A27C50">
        <w:rPr>
          <w:spacing w:val="-2"/>
        </w:rPr>
        <w:t xml:space="preserve">nell förankring av rådets arbete. Värdet av samarbetet mellan fackutskotten i de </w:t>
      </w:r>
      <w:r w:rsidRPr="00A27C50">
        <w:t>nordiska länderna och Nordiska rådets utskott kan inte nog understrykas</w:t>
      </w:r>
      <w:r w:rsidRPr="00A27C50">
        <w:rPr>
          <w:spacing w:val="-2"/>
        </w:rPr>
        <w:t xml:space="preserve">. </w:t>
      </w:r>
      <w:r w:rsidRPr="00A27C50">
        <w:t>En genomgång av handlingarna visar dock att nordiska frågor behandlas oftare än vad som ibland sägs, t.ex. under hösten 2004 ett tjugotal gånger i kamma</w:t>
      </w:r>
      <w:r w:rsidRPr="00A27C50">
        <w:t>r</w:t>
      </w:r>
      <w:r w:rsidRPr="00A27C50">
        <w:t>debatter och frågor.</w:t>
      </w:r>
    </w:p>
    <w:p w:rsidR="000D6448" w:rsidRPr="00A27C50" w:rsidRDefault="000D6448">
      <w:pPr>
        <w:pStyle w:val="Rubrik2"/>
      </w:pPr>
      <w:r w:rsidRPr="00A27C50">
        <w:t>Årligt program</w:t>
      </w:r>
    </w:p>
    <w:p w:rsidR="000D6448" w:rsidRPr="00A27C50" w:rsidRDefault="000D6448">
      <w:r w:rsidRPr="00A27C50">
        <w:t>I samarbete med ministerrådet och regeringarna arbetas också med en starkare koncentration av rådets arbete. Därför utarbetas årliga program för Nordiska rådet som är vägledande för hela organisationen. Antalet rekommendationer har successivt minskat under de senaste sessionerna, samtidigt som politiskt tryck från rådet har bidragit till att ministerrådet och regeringarna lagt ökad vikt vid att föra arbetet med att avlägsna gränshinder framåt. Rådet strävar också efter att begränsa antalet stora möten till förmån för möten mellan utskott och arbetsgrupper som har att behandla konkreta sakfrågor. Vidare eftersträvas en bättre koordinering med arbetet i de nationella parlamenten för att möjliggöra för dem som är engagerade i det nordiska samarbetet att också göra en fullvärdig insats i sitt nationella parlament.</w:t>
      </w:r>
    </w:p>
    <w:p w:rsidR="000D6448" w:rsidRPr="00A27C50" w:rsidRDefault="000D6448">
      <w:pPr>
        <w:pStyle w:val="Rubrik1"/>
        <w:rPr>
          <w:noProof w:val="0"/>
        </w:rPr>
        <w:sectPr w:rsidR="000D6448" w:rsidRPr="00A27C5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0D6448" w:rsidRPr="00A27C50" w:rsidRDefault="000D6448">
      <w:pPr>
        <w:pStyle w:val="Rubrik1"/>
        <w:rPr>
          <w:noProof w:val="0"/>
        </w:rPr>
      </w:pPr>
      <w:bookmarkStart w:id="12" w:name="_Toc98294584"/>
      <w:r w:rsidRPr="00A27C50">
        <w:rPr>
          <w:noProof w:val="0"/>
        </w:rPr>
        <w:t>4 Gränshinder i Norden</w:t>
      </w:r>
      <w:bookmarkEnd w:id="12"/>
      <w:r w:rsidRPr="00A27C50">
        <w:rPr>
          <w:noProof w:val="0"/>
        </w:rPr>
        <w:t xml:space="preserve"> </w:t>
      </w:r>
    </w:p>
    <w:p w:rsidR="000D6448" w:rsidRPr="00A27C50" w:rsidRDefault="000D6448">
      <w:pPr>
        <w:spacing w:before="0"/>
      </w:pPr>
      <w:r w:rsidRPr="00A27C50">
        <w:t xml:space="preserve">Under flera år har Nordiska rådet uppmärksammat de gränshinder som trots de omfattande nordiska avtalen försvårar rörligheten mellan länderna. Inträde i EU respektive EES har inte, som många trott, alltid medfört lösningar på dessa problem. Varje år är det mer än 40 000 människor som flyttar eller pendlar mellan de nordiska länderna. Omkring 250 000 med medborgarskap i ett nordiskt land är bosatta i ett annat nordiskt land och det är många som kan vittna om att det finns byråkratiska hinder som borde vara möjliga att lösa så att vi lättare kan röra oss i Norden. </w:t>
      </w:r>
    </w:p>
    <w:p w:rsidR="000D6448" w:rsidRPr="00A27C50" w:rsidRDefault="000D6448">
      <w:pPr>
        <w:pStyle w:val="Rubrik2"/>
      </w:pPr>
      <w:r w:rsidRPr="00A27C50">
        <w:t>Norrbackrapporten – Nordbors rättigheter</w:t>
      </w:r>
    </w:p>
    <w:p w:rsidR="000D6448" w:rsidRPr="00A27C50" w:rsidRDefault="000D6448">
      <w:r w:rsidRPr="00A27C50">
        <w:t>1998 inrättades en informationstjänst, Hallå Norden, i huvudstäderna som ger råd och vägledning för nordbor som upplever sådana hinder. Men dess mö</w:t>
      </w:r>
      <w:r w:rsidRPr="00A27C50">
        <w:t>j</w:t>
      </w:r>
      <w:r w:rsidRPr="00A27C50">
        <w:t>ligheter att agera ansågs inte tillräckliga, och regeringarna tillsatte en särskild utredare, ambassadör Ole Norrback, tidigare nordisk samarbetsminister i Finland. Norrback presenterade sin rapport med rubriken ”Nordbors rättigh</w:t>
      </w:r>
      <w:r w:rsidRPr="00A27C50">
        <w:t>e</w:t>
      </w:r>
      <w:r w:rsidRPr="00A27C50">
        <w:t xml:space="preserve">ter”. Han drog slutsatsen att de flesta problemen har skapats av skillnader i beskattningen, i de sociala välfärdsstrukturerna, särskilt vad gäller pensioner och familjepolitik, samt inom utbildningsområdet. </w:t>
      </w:r>
    </w:p>
    <w:p w:rsidR="000D6448" w:rsidRPr="00A27C50" w:rsidRDefault="000D6448">
      <w:pPr>
        <w:pStyle w:val="Rubrik2"/>
      </w:pPr>
      <w:r w:rsidRPr="00A27C50">
        <w:t>Katalog över åtgärder</w:t>
      </w:r>
    </w:p>
    <w:p w:rsidR="000D6448" w:rsidRPr="00A27C50" w:rsidRDefault="000D6448">
      <w:r w:rsidRPr="00A27C50">
        <w:t>Ministerrådet presenterade till sessionen 2002 ett förslag med en katalog över de åtgärder man avsåg att vidta för att följa upp rapporten. Presidiet erinrade i sitt betänkande över ministerrådsförslaget om rådets tidigare rekommendation om ökad rörlighet över gränserna där vikt lades vid att myndigheternas b</w:t>
      </w:r>
      <w:r w:rsidRPr="00A27C50">
        <w:t>e</w:t>
      </w:r>
      <w:r w:rsidRPr="00A27C50">
        <w:t>sked till medborgarna måste bli bindande. De nordiska avtalens styrka och svaghet borde vara kända av myndigheterna och information härom vidaref</w:t>
      </w:r>
      <w:r w:rsidRPr="00A27C50">
        <w:t>ö</w:t>
      </w:r>
      <w:r w:rsidRPr="00A27C50">
        <w:t xml:space="preserve">ras till medborgarna. </w:t>
      </w:r>
    </w:p>
    <w:p w:rsidR="000D6448" w:rsidRPr="00A27C50" w:rsidRDefault="000D6448">
      <w:pPr>
        <w:pStyle w:val="Normaltindrag"/>
      </w:pPr>
      <w:r w:rsidRPr="00A27C50">
        <w:t>I debatten vid sessionen 2002 lovordades Norrbacks rapport och regerin</w:t>
      </w:r>
      <w:r w:rsidRPr="00A27C50">
        <w:t>g</w:t>
      </w:r>
      <w:r w:rsidRPr="00A27C50">
        <w:t>arna uppmanades att snabbt vidta åtgärder för att förverkliga de förslag som presenterats såsom mycket viktiga för medborgarna och för det nordiska samarbetets trovärdighet. I en rekommendation föreslogs att de nordiska avtalen på arbetsmarknadsområdet borde ändras så att icke-nordiska medbo</w:t>
      </w:r>
      <w:r w:rsidRPr="00A27C50">
        <w:t>r</w:t>
      </w:r>
      <w:r w:rsidRPr="00A27C50">
        <w:t>gare med permanent uppehållstillstånd i ett nordiskt land får samma rättigh</w:t>
      </w:r>
      <w:r w:rsidRPr="00A27C50">
        <w:t>e</w:t>
      </w:r>
      <w:r w:rsidRPr="00A27C50">
        <w:t>ter som nordiska medborgare samt att lagstiftningen om gränsöverskridande betalningar inom Norden borde ändras i syfte att nivån på avgifterna skall vara de</w:t>
      </w:r>
      <w:r w:rsidRPr="00A27C50">
        <w:t>n</w:t>
      </w:r>
      <w:r w:rsidRPr="00A27C50">
        <w:t xml:space="preserve">samma som inhemska betalningar. </w:t>
      </w:r>
    </w:p>
    <w:p w:rsidR="000D6448" w:rsidRPr="00A27C50" w:rsidRDefault="000D6448">
      <w:pPr>
        <w:pStyle w:val="Rubrik2"/>
      </w:pPr>
      <w:r w:rsidRPr="00A27C50">
        <w:t>Särskild representant för borttagandet av gränshinder</w:t>
      </w:r>
    </w:p>
    <w:p w:rsidR="000D6448" w:rsidRPr="00A27C50" w:rsidRDefault="000D6448">
      <w:r w:rsidRPr="00A27C50">
        <w:t>För att åstadkomma kraft i förändringsarbetet och sätta politisk fokus på konkreta juridiska och administrativa lösningar utsåg samarbetsminister Berit Andnor, ordförande i Nordiska ministerrådet för 2003, den förre danske statsministern Poul Schlüter som ordförandeskapets särskilde representant i arbetet med borttagande av gränshinder i Norden. Poul Schlüter presenterade sin med spänning emotsedda rapport ”Fjernelse af graensehindringer i No</w:t>
      </w:r>
      <w:r w:rsidRPr="00A27C50">
        <w:t>r</w:t>
      </w:r>
      <w:r w:rsidRPr="00A27C50">
        <w:t>den” vid 55:e sessionen. Hans arbete har fortsatt under det isländska ordf</w:t>
      </w:r>
      <w:r w:rsidRPr="00A27C50">
        <w:t>ö</w:t>
      </w:r>
      <w:r w:rsidRPr="00A27C50">
        <w:t>randeskapet 2004 och skall också fortsätta under det danska ordförandeskapet 2005.</w:t>
      </w:r>
    </w:p>
    <w:p w:rsidR="000D6448" w:rsidRPr="00A27C50" w:rsidRDefault="000D6448">
      <w:pPr>
        <w:pStyle w:val="Normaltindrag"/>
      </w:pPr>
      <w:r w:rsidRPr="00A27C50">
        <w:t>Till 56:e sessionen i Stockholm 2004 presenterade Schlüter en ny rapport som visade på åtskilliga framsteg jämfört med tidigare år. Näringsministrarna har gjort en katalog över konkreta gränshinder för det nordiska näringslivet och fortsatt att koncentrera sig på möjligheterna att skapa en nordisk riskkap</w:t>
      </w:r>
      <w:r w:rsidRPr="00A27C50">
        <w:t>i</w:t>
      </w:r>
      <w:r w:rsidRPr="00A27C50">
        <w:t>talmarknad. På detta område finns en lång rad svårigheter, t.ex. dubbelb</w:t>
      </w:r>
      <w:r w:rsidRPr="00A27C50">
        <w:t>e</w:t>
      </w:r>
      <w:r w:rsidRPr="00A27C50">
        <w:t>skattning av investeringar. Näringsministrarna föreslår ett nordiskt samarbete kring kompetensbevis för kranförare, auktorisation för sprängningsexperter samt även för elmontage så att godkännande i ett nordiskt land gäller i alla.</w:t>
      </w:r>
    </w:p>
    <w:p w:rsidR="000D6448" w:rsidRPr="00A27C50" w:rsidRDefault="000D6448">
      <w:pPr>
        <w:pStyle w:val="Rubrik2"/>
      </w:pPr>
      <w:r w:rsidRPr="00A27C50">
        <w:t>Uppnådda resultat</w:t>
      </w:r>
    </w:p>
    <w:p w:rsidR="000D6448" w:rsidRPr="00A27C50" w:rsidRDefault="000D6448">
      <w:r w:rsidRPr="00A27C50">
        <w:t>Ministrarna med ansvar för folkbokföring har undertecknat en överensko</w:t>
      </w:r>
      <w:r w:rsidRPr="00A27C50">
        <w:t>m</w:t>
      </w:r>
      <w:r w:rsidRPr="00A27C50">
        <w:t>melse som gör det lättare och snabbare för flyttande nordbor att få ett perso</w:t>
      </w:r>
      <w:r w:rsidRPr="00A27C50">
        <w:t>n</w:t>
      </w:r>
      <w:r w:rsidRPr="00A27C50">
        <w:t>nummer vid flyttning till annat nordiskt land. Undervisningsministrarna har undertecknat ett nytt gymnasieavtal och en ny nordisk deklaration om öms</w:t>
      </w:r>
      <w:r w:rsidRPr="00A27C50">
        <w:t>e</w:t>
      </w:r>
      <w:r w:rsidRPr="00A27C50">
        <w:t xml:space="preserve">sidigt erkännande av högre utbildningar. </w:t>
      </w:r>
    </w:p>
    <w:p w:rsidR="000D6448" w:rsidRPr="00A27C50" w:rsidRDefault="000D6448">
      <w:pPr>
        <w:pStyle w:val="Normaltindrag"/>
      </w:pPr>
      <w:r w:rsidRPr="00A27C50">
        <w:t>Som exempel på uppnådda resultat kan också nämnas en uppdaterad no</w:t>
      </w:r>
      <w:r w:rsidRPr="00A27C50">
        <w:t>r</w:t>
      </w:r>
      <w:r w:rsidRPr="00A27C50">
        <w:t>disk trygghetskonvention och att man arbetar med en uppdatering av konve</w:t>
      </w:r>
      <w:r w:rsidRPr="00A27C50">
        <w:t>n</w:t>
      </w:r>
      <w:r w:rsidRPr="00A27C50">
        <w:t>tionen om socialt bistånd och sociala tjänster. Ett nytt konventionsförslag väntas under det danska ordförandeskapet. Frågan om revision av reglerna för barnledighet skall också tas upp på nytt av de nordiska socialministrarna. Arbetsmarknadsministrarna har övervägt möjligheten att inkludera utomno</w:t>
      </w:r>
      <w:r w:rsidRPr="00A27C50">
        <w:t>r</w:t>
      </w:r>
      <w:r w:rsidRPr="00A27C50">
        <w:t>diska medborgare med permanent uppehålls- och arbetstillstånd i avtalet om den gemensamma nordiska arbetsmarknaden. Det rör sig om ett stort antal, 760 000, men dessvärre fann ministrarna inte grundlag att utvidga personkre</w:t>
      </w:r>
      <w:r w:rsidRPr="00A27C50">
        <w:t>t</w:t>
      </w:r>
      <w:r w:rsidRPr="00A27C50">
        <w:t>sen då de ansåg att det skulle innebära en mer liberal behandling av dem än medborgare i de nya EU-länderna så länge dessa var omfattade av övergång</w:t>
      </w:r>
      <w:r w:rsidRPr="00A27C50">
        <w:t>s</w:t>
      </w:r>
      <w:r w:rsidRPr="00A27C50">
        <w:t>regler i fyra nordiska länder. Internordisk arbetsförmedling på Internet har genomförts som en teknisk studie, och Öresundsområdet blir testområde. Försök att få till stånd en nordisk harmonisering av arbetslöshetsförsäkring</w:t>
      </w:r>
      <w:r w:rsidRPr="00A27C50">
        <w:t>s</w:t>
      </w:r>
      <w:r w:rsidRPr="00A27C50">
        <w:t xml:space="preserve">systemen har ännu inte lyckats, utan man har fått nöja sig med en förstärkning av informationstjänsten Hallå Norden i syfte att informera medborgarna om de olika systemen i våra länder. </w:t>
      </w:r>
    </w:p>
    <w:p w:rsidR="000D6448" w:rsidRPr="00A27C50" w:rsidRDefault="000D6448">
      <w:pPr>
        <w:pStyle w:val="Normaltindrag"/>
      </w:pPr>
      <w:r w:rsidRPr="00A27C50">
        <w:t>Ett bilateralt skatteavtal mellan Danmark och Sverige undertecknades av finansministrarna under förra sessionen och bör kunna undanröja ett viktigt gränshinder i Öresundsregionen. Avtalet fokuserar på och löser viktiga pr</w:t>
      </w:r>
      <w:r w:rsidRPr="00A27C50">
        <w:t>o</w:t>
      </w:r>
      <w:r w:rsidRPr="00A27C50">
        <w:t>blem för arbetskraftspendlarna, t.ex. att kostnaden för resan över Öresund</w:t>
      </w:r>
      <w:r w:rsidRPr="00A27C50">
        <w:t>s</w:t>
      </w:r>
      <w:r w:rsidRPr="00A27C50">
        <w:t>bron blir avdragsgill samt att pensionsförsäkringarna från hemla</w:t>
      </w:r>
      <w:r w:rsidRPr="00A27C50">
        <w:t>n</w:t>
      </w:r>
      <w:r w:rsidRPr="00A27C50">
        <w:t>det/bostadslandet kan tas med till arbetslandet och fortsatt vara avdragsgilla mot inkomsten. Finansministrarna har beslutat att upprätta ett s.k. nordiskt virtuellt skattekontor som ett kompetensorgan för internordiska skatteärenden och dessutom en skatteportal på Internet för att ge snabb och korrekt inform</w:t>
      </w:r>
      <w:r w:rsidRPr="00A27C50">
        <w:t>a</w:t>
      </w:r>
      <w:r w:rsidRPr="00A27C50">
        <w:t>tion om skatteförhållanden. Det bör noteras att Nordiska rådet ville gå längre och upprätta ett fysiskt skattekontor. Det kvarstår dock frågor som kräver ändring av själva skatteavtalen. En omfattande lista över problem med bl.a. inkomst- och pensionsbeskattning har förelagts finansministrarna som påbö</w:t>
      </w:r>
      <w:r w:rsidRPr="00A27C50">
        <w:t>r</w:t>
      </w:r>
      <w:r w:rsidRPr="00A27C50">
        <w:t>jat öve</w:t>
      </w:r>
      <w:r w:rsidRPr="00A27C50">
        <w:t>r</w:t>
      </w:r>
      <w:r w:rsidRPr="00A27C50">
        <w:t>läggningar därom.</w:t>
      </w:r>
    </w:p>
    <w:p w:rsidR="000D6448" w:rsidRPr="00A27C50" w:rsidRDefault="000D6448">
      <w:pPr>
        <w:pStyle w:val="Normaltindrag"/>
      </w:pPr>
      <w:r w:rsidRPr="00A27C50">
        <w:t>De höga bankavgifterna för överföringar mellan länderna har man inte lyckats hitta en lösning på, vilket är beklagansvärt med tanke på att det har stor betydelse både för enskilda och för små och medelstora företag. Minis</w:t>
      </w:r>
      <w:r w:rsidRPr="00A27C50">
        <w:t>t</w:t>
      </w:r>
      <w:r w:rsidRPr="00A27C50">
        <w:t xml:space="preserve">rarna har dock antagit en deklaration att överföring av pengar över nordiska gränser skall ta högst tre bankdagar att genomföra. </w:t>
      </w:r>
    </w:p>
    <w:p w:rsidR="000D6448" w:rsidRPr="00A27C50" w:rsidRDefault="000D6448">
      <w:pPr>
        <w:pStyle w:val="Normaltindrag"/>
      </w:pPr>
      <w:r w:rsidRPr="00A27C50">
        <w:t>Sedan 2003 kan isländskt namnskick kostnadsfritt användas i Sverige. I Danmark utreds frågan och förhoppningen är att man skall följa det svenska exemplet.</w:t>
      </w:r>
    </w:p>
    <w:p w:rsidR="000D6448" w:rsidRPr="00A27C50" w:rsidRDefault="000D6448">
      <w:pPr>
        <w:pStyle w:val="Normaltindrag"/>
      </w:pPr>
      <w:r w:rsidRPr="00A27C50">
        <w:t>Poul Schlüter framhåller i sin rapport att gränshinder inte kan avlägsnas en gång för alla. I moderna dynamiska samhällen kommer det att uppstå nya gränshinder. Därför måste arbetet föras vidare och gränshinder blir en perm</w:t>
      </w:r>
      <w:r w:rsidRPr="00A27C50">
        <w:t>a</w:t>
      </w:r>
      <w:r w:rsidRPr="00A27C50">
        <w:t>nent punkt på ministerrådets dagordning. Arbetet med att eliminera gränshi</w:t>
      </w:r>
      <w:r w:rsidRPr="00A27C50">
        <w:t>n</w:t>
      </w:r>
      <w:r w:rsidRPr="00A27C50">
        <w:t>der är viktigt både för medborgare och för företag mot bakgrund av den stä</w:t>
      </w:r>
      <w:r w:rsidRPr="00A27C50">
        <w:t>n</w:t>
      </w:r>
      <w:r w:rsidRPr="00A27C50">
        <w:t>digt ökande internationella konkurrensen. För Nordiska rådets del står därför avlägsnandet av gränshi</w:t>
      </w:r>
      <w:r w:rsidRPr="00A27C50">
        <w:t>n</w:t>
      </w:r>
      <w:r w:rsidRPr="00A27C50">
        <w:t>der i Norden fortsatt högt på dagordningen.</w:t>
      </w:r>
    </w:p>
    <w:p w:rsidR="000D6448" w:rsidRPr="00A27C50" w:rsidRDefault="000D6448">
      <w:pPr>
        <w:pStyle w:val="Rubrik2"/>
      </w:pPr>
      <w:r w:rsidRPr="00A27C50">
        <w:t>Särskild gränsregional enhet</w:t>
      </w:r>
    </w:p>
    <w:p w:rsidR="000D6448" w:rsidRPr="00A27C50" w:rsidRDefault="000D6448">
      <w:r w:rsidRPr="00A27C50">
        <w:t>För att samordna det vidare arbetet mellan Nordiska ministerrådet, Hallå Norden och de olika gränsregionala kommittéerna har en särskild gränsregi</w:t>
      </w:r>
      <w:r w:rsidRPr="00A27C50">
        <w:t>o</w:t>
      </w:r>
      <w:r w:rsidRPr="00A27C50">
        <w:t>nal enhet inrättats vid ministerrådets sekretariat. Denna skall nu enligt den danske samarbetsministern bli ett permanent gränspolitiskt sekretariat under generalsekreterarens direkta ledning. Samarbetsministern avser att utvidga avskaffandet av gränshinder till att gälla hela Östersjöområdet.</w:t>
      </w:r>
    </w:p>
    <w:p w:rsidR="000D6448" w:rsidRPr="00A27C50" w:rsidRDefault="000D6448">
      <w:pPr>
        <w:pStyle w:val="Rubrik2"/>
      </w:pPr>
      <w:r w:rsidRPr="00A27C50">
        <w:t>Gränshinderdebatten vid 56:e sessionen</w:t>
      </w:r>
    </w:p>
    <w:p w:rsidR="000D6448" w:rsidRPr="00A27C50" w:rsidRDefault="000D6448">
      <w:r w:rsidRPr="00A27C50">
        <w:t>I debatten om gränshinder under sessionen 2004 lovordades Poul Schlüters insatser av bl.a. samarbetsminister Berit Andnor, som framhöll att han genom sitt engagemang bidragit till att sätta dessa frågor högt på dagordningen. Skatteavtalet mellan Danmark och Sverige har redan förenklat och skapat större klarhet för många arbetspendlare. Men det finns skillnader i lagstif</w:t>
      </w:r>
      <w:r w:rsidRPr="00A27C50">
        <w:t>t</w:t>
      </w:r>
      <w:r w:rsidRPr="00A27C50">
        <w:t>ningen mellan de nordiska länderna som handlar om att man valt olika pol</w:t>
      </w:r>
      <w:r w:rsidRPr="00A27C50">
        <w:t>i</w:t>
      </w:r>
      <w:r w:rsidRPr="00A27C50">
        <w:t>tiska lösningar t.ex. när det gäller socialförsäkringarna. Något vi måste leva med eftersom vi inte har fullständig regelharmonisering. Regeringarna har dock ambitionen att förhindra att nya gränshinder uppstår genom samarbete inför beslut när det gäller EU-direktiv, men också när det gäller implement</w:t>
      </w:r>
      <w:r w:rsidRPr="00A27C50">
        <w:t>e</w:t>
      </w:r>
      <w:r w:rsidRPr="00A27C50">
        <w:t>ringen.</w:t>
      </w:r>
    </w:p>
    <w:p w:rsidR="000D6448" w:rsidRPr="00A27C50" w:rsidRDefault="000D6448">
      <w:pPr>
        <w:pStyle w:val="Normaltindrag"/>
      </w:pPr>
      <w:r w:rsidRPr="00A27C50">
        <w:t>Andra frågor som togs upp i debatten var teletaxorna i Norden utifrån en rapport från konkurrensmyndigheterna om de nationella telefonmarknaderna. Rapporten har visat att priserna på teletjänster saknar alla proportioner i fö</w:t>
      </w:r>
      <w:r w:rsidRPr="00A27C50">
        <w:t>r</w:t>
      </w:r>
      <w:r w:rsidRPr="00A27C50">
        <w:t>hållande till de kostnader bolagen har.</w:t>
      </w:r>
    </w:p>
    <w:p w:rsidR="000D6448" w:rsidRPr="00A27C50" w:rsidRDefault="000D6448">
      <w:pPr>
        <w:pStyle w:val="Normaltindrag"/>
      </w:pPr>
      <w:r w:rsidRPr="00A27C50">
        <w:t>Bolagen missbrukar sina partiella monopolställningar, som fortfarande existerar trots de liberaliseringar som ägt rum. Sålunda är ett 3-minuters sa</w:t>
      </w:r>
      <w:r w:rsidRPr="00A27C50">
        <w:t>m</w:t>
      </w:r>
      <w:r w:rsidRPr="00A27C50">
        <w:t>tal från Island till Sverige dubbelt så dyrt som motsvarande samtal från Sver</w:t>
      </w:r>
      <w:r w:rsidRPr="00A27C50">
        <w:t>i</w:t>
      </w:r>
      <w:r w:rsidRPr="00A27C50">
        <w:t>ge till Island. Visionen måste vara en integrerad telefonmarknad där priset är detsamma oavsett om man ringer till sin granne på nästa gata eller grannen i ett annat nordiskt land.</w:t>
      </w:r>
    </w:p>
    <w:p w:rsidR="000D6448" w:rsidRPr="00A27C50" w:rsidRDefault="000D6448">
      <w:pPr>
        <w:pStyle w:val="Rubrik2"/>
      </w:pPr>
      <w:r w:rsidRPr="00A27C50">
        <w:t>Informationsutbyte</w:t>
      </w:r>
    </w:p>
    <w:p w:rsidR="000D6448" w:rsidRPr="00A27C50" w:rsidRDefault="000D6448">
      <w:r w:rsidRPr="00A27C50">
        <w:t>De nordiska ekonomi- och finansministrarna har, i enlighet med ett förslag från Nordiska rådet, som det första ministerrådet ingått ett avtal med syftet att undgå skadlig skattekonkurrens. En av de viktigaste artiklarna i avtalet spec</w:t>
      </w:r>
      <w:r w:rsidRPr="00A27C50">
        <w:t>i</w:t>
      </w:r>
      <w:r w:rsidRPr="00A27C50">
        <w:t>ficerar att information om förestående skatteändringar förmedlas till de avt</w:t>
      </w:r>
      <w:r w:rsidRPr="00A27C50">
        <w:t>a</w:t>
      </w:r>
      <w:r w:rsidRPr="00A27C50">
        <w:t>lade personerna i de övriga nordiska länderna så tidigt som möjligt. Ett fö</w:t>
      </w:r>
      <w:r w:rsidRPr="00A27C50">
        <w:t>r</w:t>
      </w:r>
      <w:r w:rsidRPr="00A27C50">
        <w:t xml:space="preserve">slag har inlämnats till Nordiska rådets presidium om en rekommendation att ett motsvarande avtal om informationsutbyte ingås för alla ministerråd.   </w:t>
      </w:r>
    </w:p>
    <w:p w:rsidR="000D6448" w:rsidRPr="00A27C50" w:rsidRDefault="000D6448">
      <w:pPr>
        <w:rPr>
          <w:sz w:val="24"/>
        </w:rPr>
      </w:pPr>
    </w:p>
    <w:p w:rsidR="000D6448" w:rsidRPr="00A27C50" w:rsidRDefault="000D6448"/>
    <w:p w:rsidR="000D6448" w:rsidRPr="00A27C50" w:rsidRDefault="000D6448">
      <w:pPr>
        <w:pStyle w:val="Rubrik1"/>
        <w:rPr>
          <w:noProof w:val="0"/>
        </w:rPr>
        <w:sectPr w:rsidR="000D6448" w:rsidRPr="00A27C5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0D6448" w:rsidRPr="00A27C50" w:rsidRDefault="000D6448">
      <w:pPr>
        <w:pStyle w:val="Rubrik1"/>
        <w:rPr>
          <w:noProof w:val="0"/>
        </w:rPr>
      </w:pPr>
      <w:bookmarkStart w:id="13" w:name="_Toc98294585"/>
      <w:r w:rsidRPr="00A27C50">
        <w:rPr>
          <w:noProof w:val="0"/>
        </w:rPr>
        <w:t>5 Alkoholpolitik i Norden</w:t>
      </w:r>
      <w:bookmarkEnd w:id="13"/>
    </w:p>
    <w:p w:rsidR="000D6448" w:rsidRPr="00A27C50" w:rsidRDefault="000D6448">
      <w:r w:rsidRPr="00A27C50">
        <w:t>På initiativ av rådets vice president Anita Johansson anordnades en debatt om alkoholpolitik i Norden i samband med rådets 56:e session. Avsikten var bl.a. att understryka att alkoholfrågan i första hand är en folkhälsofråga. De no</w:t>
      </w:r>
      <w:r w:rsidRPr="00A27C50">
        <w:t>r</w:t>
      </w:r>
      <w:r w:rsidRPr="00A27C50">
        <w:t>diska s</w:t>
      </w:r>
      <w:r w:rsidRPr="00A27C50">
        <w:t>o</w:t>
      </w:r>
      <w:r w:rsidRPr="00A27C50">
        <w:t>cial- och hälsoministrarna var inbjudna att delta i debatten.</w:t>
      </w:r>
    </w:p>
    <w:p w:rsidR="000D6448" w:rsidRPr="00A27C50" w:rsidRDefault="000D6448">
      <w:pPr>
        <w:pStyle w:val="Rubrik2"/>
      </w:pPr>
      <w:r w:rsidRPr="00A27C50">
        <w:t>Sverige</w:t>
      </w:r>
    </w:p>
    <w:p w:rsidR="000D6448" w:rsidRPr="00A27C50" w:rsidRDefault="000D6448">
      <w:r w:rsidRPr="00A27C50">
        <w:t>Då den svenske ministern inte kunde närvara utsåg regeringen Margareta Israelsson som sin representant. Hon välkomnade den alkoholpolitiska strat</w:t>
      </w:r>
      <w:r w:rsidRPr="00A27C50">
        <w:t>e</w:t>
      </w:r>
      <w:r w:rsidRPr="00A27C50">
        <w:t>gi som de nordiska social- och hälsoministrarna enats om när det gällde de gemensamma nordiska insatserna samt åtgärderna för att höja minimiskatte</w:t>
      </w:r>
      <w:r w:rsidRPr="00A27C50">
        <w:t>r</w:t>
      </w:r>
      <w:r w:rsidRPr="00A27C50">
        <w:t>na och halvera införselkvoterna inom EU. Hon erinrade om att alkoholko</w:t>
      </w:r>
      <w:r w:rsidRPr="00A27C50">
        <w:t>n</w:t>
      </w:r>
      <w:r w:rsidRPr="00A27C50">
        <w:t>sumtionen i Sverige ökat med 30 % sedan 1996. Regeringen arbetade för att EU 2005 skall anta en gemensam strategi för att minska alkoholens skad</w:t>
      </w:r>
      <w:r w:rsidRPr="00A27C50">
        <w:t>e</w:t>
      </w:r>
      <w:r w:rsidRPr="00A27C50">
        <w:t>verkningar. I Sverige vill man ha förebyggande insatser, däribland ändrade attityder, minskade skatteskillnader, stopp på rattfylleriet, inklusive alkolås på nya bilar senast 2012, samt alkoholrelaterad brottsbekämpning, bl.a. skärpta straffskalor och särskilda tull- och polisgrupper.</w:t>
      </w:r>
    </w:p>
    <w:p w:rsidR="000D6448" w:rsidRPr="00A27C50" w:rsidRDefault="000D6448">
      <w:pPr>
        <w:pStyle w:val="Normaltindrag"/>
      </w:pPr>
      <w:r w:rsidRPr="00A27C50">
        <w:t>Gabriel Romanus erinrade om att de nuvarande problemen med alkoholi</w:t>
      </w:r>
      <w:r w:rsidRPr="00A27C50">
        <w:t>n</w:t>
      </w:r>
      <w:r w:rsidRPr="00A27C50">
        <w:t>förseln till stor del kunde förklaras av att det nordiska samarbetet inte fung</w:t>
      </w:r>
      <w:r w:rsidRPr="00A27C50">
        <w:t>e</w:t>
      </w:r>
      <w:r w:rsidRPr="00A27C50">
        <w:t>rade hösten 1996. Avsaknaden av ett gemensamt uppträdande i EU har påve</w:t>
      </w:r>
      <w:r w:rsidRPr="00A27C50">
        <w:t>r</w:t>
      </w:r>
      <w:r w:rsidRPr="00A27C50">
        <w:t>kat våra möjligheter att bedriva en mer restriktiv alkoholpolitik. Den omfa</w:t>
      </w:r>
      <w:r w:rsidRPr="00A27C50">
        <w:t>t</w:t>
      </w:r>
      <w:r w:rsidRPr="00A27C50">
        <w:t>tande gränshandeln är nyckelfrågan då den pressar ned skatterna och ökar konsumtionen och skadorna. En modern alkoholpolitik är enligt hans uppfat</w:t>
      </w:r>
      <w:r w:rsidRPr="00A27C50">
        <w:t>t</w:t>
      </w:r>
      <w:r w:rsidRPr="00A27C50">
        <w:t xml:space="preserve">ning en politik i samklang med modern forskning. Forskningen säger mycket tydligt att skatter, tillgänglighet och åldersgränser är de mest verksamma medlen generellt sett. </w:t>
      </w:r>
    </w:p>
    <w:p w:rsidR="000D6448" w:rsidRPr="00A27C50" w:rsidRDefault="000D6448">
      <w:pPr>
        <w:pStyle w:val="Rubrik2"/>
      </w:pPr>
      <w:r w:rsidRPr="00A27C50">
        <w:t>Island</w:t>
      </w:r>
    </w:p>
    <w:p w:rsidR="000D6448" w:rsidRPr="00A27C50" w:rsidRDefault="000D6448">
      <w:r w:rsidRPr="00A27C50">
        <w:t>Islands hälso- och socialminister utgick från de nordiska ministrarnas deklar</w:t>
      </w:r>
      <w:r w:rsidRPr="00A27C50">
        <w:t>a</w:t>
      </w:r>
      <w:r w:rsidRPr="00A27C50">
        <w:t>tion och noterade att man nu satt den ökande alkoholkonsumtionen på da</w:t>
      </w:r>
      <w:r w:rsidRPr="00A27C50">
        <w:t>g</w:t>
      </w:r>
      <w:r w:rsidRPr="00A27C50">
        <w:t>ordningen som en viktig punkt och enats om en deklaration. Därigenom har det nordiska samarbetet visat sin legitimitet på ett sätt som märks. Bara i Island har alkoholkonsumtionen ökat med gott och väl 40 % de senaste 10 åren. Marknadsföringen har blivit mer aggressiv och syftar till att göra alk</w:t>
      </w:r>
      <w:r w:rsidRPr="00A27C50">
        <w:t>o</w:t>
      </w:r>
      <w:r w:rsidRPr="00A27C50">
        <w:t>hol till en naturlig del av vardagslivet. Det ställs också krav på att alkohol skall kunna säljas i livsmedelsaffärer och att åldersgränsen skall sänkas. Myndigheterna har hamnat på defensiven. Men den restriktiva alkoholpolit</w:t>
      </w:r>
      <w:r w:rsidRPr="00A27C50">
        <w:t>i</w:t>
      </w:r>
      <w:r w:rsidRPr="00A27C50">
        <w:t>ken har gett resultat i de nordiska länderna och detta faktum bör vi göra andra länder och EU uppmärksamma på. Hittills har de registrerade hälsomässiga och sociala konsekvenserna av alkoholbruk varit mindre än på andra platser i Europa. Ökad alkoholkonsumtion kommer i framtiden att leda till ökade utgifter på hälsovårdsområdet och möjligtvis ökad beskattning för att finans</w:t>
      </w:r>
      <w:r w:rsidRPr="00A27C50">
        <w:t>i</w:t>
      </w:r>
      <w:r w:rsidRPr="00A27C50">
        <w:t>era hälsovården.</w:t>
      </w:r>
    </w:p>
    <w:p w:rsidR="000D6448" w:rsidRPr="00A27C50" w:rsidRDefault="000D6448">
      <w:pPr>
        <w:pStyle w:val="Rubrik2"/>
      </w:pPr>
      <w:r w:rsidRPr="00A27C50">
        <w:t>Danmark</w:t>
      </w:r>
    </w:p>
    <w:p w:rsidR="000D6448" w:rsidRPr="00A27C50" w:rsidRDefault="000D6448">
      <w:r w:rsidRPr="00A27C50">
        <w:t>Den danske trafikministern försvarade skattenedsättningen med önskan att minska den tysk-danska gränshandeln med alkohol, och det ansåg han att man lyckats med, även om 30 % av den alkohol som konsumeras i Danmark for</w:t>
      </w:r>
      <w:r w:rsidRPr="00A27C50">
        <w:t>t</w:t>
      </w:r>
      <w:r w:rsidRPr="00A27C50">
        <w:t>farande är köpt i utlandet. Danmark tillhör fortfarande de dyraste länderna när det gäller alkoholbeskattning. En hög avgiftsnivå kan bara upprätthållas g</w:t>
      </w:r>
      <w:r w:rsidRPr="00A27C50">
        <w:t>e</w:t>
      </w:r>
      <w:r w:rsidRPr="00A27C50">
        <w:t>nom ett gemensamt EU-initiativ. Danmarks liberala alkoholpolitik bygger på att man när det gäller vuxna människor tror mer på information och upply</w:t>
      </w:r>
      <w:r w:rsidRPr="00A27C50">
        <w:t>s</w:t>
      </w:r>
      <w:r w:rsidRPr="00A27C50">
        <w:t xml:space="preserve">ning än förbud och restriktioner. Danskarna skulle t.ex. inte kunna leva med ett systembolag eller vinmonopol. </w:t>
      </w:r>
    </w:p>
    <w:p w:rsidR="000D6448" w:rsidRPr="00A27C50" w:rsidRDefault="000D6448">
      <w:pPr>
        <w:pStyle w:val="Rubrik2"/>
      </w:pPr>
      <w:r w:rsidRPr="00A27C50">
        <w:t>Norge</w:t>
      </w:r>
    </w:p>
    <w:p w:rsidR="000D6448" w:rsidRPr="00A27C50" w:rsidRDefault="000D6448">
      <w:r w:rsidRPr="00A27C50">
        <w:t>Den norske ministern framhöll att ambitionen inte är att utveckla en geme</w:t>
      </w:r>
      <w:r w:rsidRPr="00A27C50">
        <w:t>n</w:t>
      </w:r>
      <w:r w:rsidRPr="00A27C50">
        <w:t>sam nordisk alkoholpolitik, men en nordisk framstöt för att påverka de inte</w:t>
      </w:r>
      <w:r w:rsidRPr="00A27C50">
        <w:t>r</w:t>
      </w:r>
      <w:r w:rsidRPr="00A27C50">
        <w:t>nationella ramvillkoren medverkar till att avgöra vilken politik man kan föra i Norden. Enligt WHO är alkohol den tredje största hälsoriskfaktorn i världen, och de nordiska länderna skall försöka få alkohol uppsatt på dagordningen i WHO:s generalförsamling. I EU behandlas alkohol enligt principen om den inre marknaden, där varor och tjänster kan röra sig utan onödiga handelshi</w:t>
      </w:r>
      <w:r w:rsidRPr="00A27C50">
        <w:t>n</w:t>
      </w:r>
      <w:r w:rsidRPr="00A27C50">
        <w:t>der. EU-rätten öppnar för att vi kan argumentera för behovet av alkoholpol</w:t>
      </w:r>
      <w:r w:rsidRPr="00A27C50">
        <w:t>i</w:t>
      </w:r>
      <w:r w:rsidRPr="00A27C50">
        <w:t>tiska åtgärder under hänvisning till folkhälsan. Enligt den nya EU-grundlagen skall EU:s kompetens på folkhälsoområdet utvidgas, och alkohol och tobak nämns särskilt. I debatten påpekades att en avsevärd attitydförändring fått framgångsrikt genomslag internationellt när det gäller tobak. Tobakspreve</w:t>
      </w:r>
      <w:r w:rsidRPr="00A27C50">
        <w:t>n</w:t>
      </w:r>
      <w:r w:rsidRPr="00A27C50">
        <w:t>tionen har lyckats tack vare ett tydligt folkhä</w:t>
      </w:r>
      <w:r w:rsidRPr="00A27C50">
        <w:t>l</w:t>
      </w:r>
      <w:r w:rsidRPr="00A27C50">
        <w:t>soperspektiv.</w:t>
      </w:r>
    </w:p>
    <w:p w:rsidR="000D6448" w:rsidRPr="00A27C50" w:rsidRDefault="000D6448">
      <w:pPr>
        <w:pStyle w:val="Rubrik2"/>
      </w:pPr>
      <w:r w:rsidRPr="00A27C50">
        <w:t>Finland</w:t>
      </w:r>
    </w:p>
    <w:p w:rsidR="000D6448" w:rsidRPr="00A27C50" w:rsidRDefault="000D6448">
      <w:r w:rsidRPr="00A27C50">
        <w:t>Finlands finansminister påpekade att de nordiska finansministrarna redan den 18 maj beslutat att agera gemensamt gentemot EU och kräva att nollskattesa</w:t>
      </w:r>
      <w:r w:rsidRPr="00A27C50">
        <w:t>t</w:t>
      </w:r>
      <w:r w:rsidRPr="00A27C50">
        <w:t>sen avskaffas och att minimiskatterna på alkohol höjs. Finland hade fattat sitt beslut om sänkning av alkoholskatten med ca 33 % i första hand för att fö</w:t>
      </w:r>
      <w:r w:rsidRPr="00A27C50">
        <w:t>r</w:t>
      </w:r>
      <w:r w:rsidRPr="00A27C50">
        <w:t xml:space="preserve">hindra en mycket stark och ökad reseinförsel och illegal handel. </w:t>
      </w:r>
    </w:p>
    <w:p w:rsidR="000D6448" w:rsidRPr="00A27C50" w:rsidRDefault="000D6448">
      <w:pPr>
        <w:pStyle w:val="Rubrik2"/>
      </w:pPr>
      <w:r w:rsidRPr="00A27C50">
        <w:t>Färöarna</w:t>
      </w:r>
    </w:p>
    <w:p w:rsidR="000D6448" w:rsidRPr="00A27C50" w:rsidRDefault="000D6448">
      <w:r w:rsidRPr="00A27C50">
        <w:t>Färöarnas socialminister uttryckte sin tillfredsställelse över att man lyckats ta ett första steg mot att formulera en samnordisk alkoholpolitisk strategi enligt vilken de nordiska länderna samlar sig kring en nordisk alkoholpolitik gru</w:t>
      </w:r>
      <w:r w:rsidRPr="00A27C50">
        <w:t>n</w:t>
      </w:r>
      <w:r w:rsidRPr="00A27C50">
        <w:t>dad på folkhälsa och socialpolitiska prioriteringar framför ensidiga marknad</w:t>
      </w:r>
      <w:r w:rsidRPr="00A27C50">
        <w:t>s</w:t>
      </w:r>
      <w:r w:rsidRPr="00A27C50">
        <w:t>synpunkter. På Färöarna är man i färd med att formulera en nationell folkhä</w:t>
      </w:r>
      <w:r w:rsidRPr="00A27C50">
        <w:t>l</w:t>
      </w:r>
      <w:r w:rsidRPr="00A27C50">
        <w:t>sopolitik och där ingår alkoholpolitiken som en av de centrala punkterna. EU:s utvidgning har medfört begränsat handlingsutrymme att bedriva en nationell alkoholpolitik. Färöarna har ett offentligt monopol med ett fåtal säljställen. Ingen alkohol distribueras i vanlig detaljhandel och ingen mar</w:t>
      </w:r>
      <w:r w:rsidRPr="00A27C50">
        <w:t>k</w:t>
      </w:r>
      <w:r w:rsidRPr="00A27C50">
        <w:t>nadsföring av alkohol är tillåten, inte ens av öl och vin. Åldersgränsen för att köpa alkohol är 18 år. Denna restriktiva lagstiftning är tillsammans med fr</w:t>
      </w:r>
      <w:r w:rsidRPr="00A27C50">
        <w:t>i</w:t>
      </w:r>
      <w:r w:rsidRPr="00A27C50">
        <w:t>villigorganisationernas upplysningsarbete en av huvudorsakerna till att Fä</w:t>
      </w:r>
      <w:r w:rsidRPr="00A27C50">
        <w:t>r</w:t>
      </w:r>
      <w:r w:rsidRPr="00A27C50">
        <w:t>öarna de senaste 12–14 åren inte haft någon nämnvärd ökning av alkoholko</w:t>
      </w:r>
      <w:r w:rsidRPr="00A27C50">
        <w:t>n</w:t>
      </w:r>
      <w:r w:rsidRPr="00A27C50">
        <w:t>sumtionen.</w:t>
      </w:r>
    </w:p>
    <w:p w:rsidR="000D6448" w:rsidRPr="00A27C50" w:rsidRDefault="000D6448">
      <w:pPr>
        <w:rPr>
          <w:i/>
        </w:rPr>
      </w:pPr>
      <w:r w:rsidRPr="00A27C50">
        <w:rPr>
          <w:i/>
        </w:rPr>
        <w:t>Debatten i sin helhet återfinns i det tryckta protokollet från sessionen.</w:t>
      </w:r>
    </w:p>
    <w:p w:rsidR="000D6448" w:rsidRPr="00A27C50" w:rsidRDefault="000D6448">
      <w:pPr>
        <w:rPr>
          <w:sz w:val="24"/>
        </w:rPr>
      </w:pPr>
    </w:p>
    <w:p w:rsidR="000D6448" w:rsidRPr="00A27C50" w:rsidRDefault="000D6448"/>
    <w:p w:rsidR="000D6448" w:rsidRPr="00A27C50" w:rsidRDefault="000D6448">
      <w:pPr>
        <w:pStyle w:val="Rubrik1"/>
        <w:rPr>
          <w:noProof w:val="0"/>
        </w:rPr>
        <w:sectPr w:rsidR="000D6448" w:rsidRPr="00A27C5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p>
    <w:p w:rsidR="000D6448" w:rsidRPr="00A27C50" w:rsidRDefault="000D6448">
      <w:pPr>
        <w:pStyle w:val="Rubrik1"/>
        <w:rPr>
          <w:noProof w:val="0"/>
        </w:rPr>
      </w:pPr>
      <w:bookmarkStart w:id="14" w:name="_Toc98294586"/>
      <w:r w:rsidRPr="00A27C50">
        <w:rPr>
          <w:noProof w:val="0"/>
        </w:rPr>
        <w:t>6 Den Nordliga dimensionen i ett utvidgat EU, temamöte</w:t>
      </w:r>
      <w:bookmarkEnd w:id="14"/>
    </w:p>
    <w:p w:rsidR="000D6448" w:rsidRPr="00A27C50" w:rsidRDefault="000D6448">
      <w:r w:rsidRPr="00A27C50">
        <w:t>Nordiska rådet arrangerade den 14–15 april 2004 i Helsingfors ett temamöte om den Nordliga dimensionen i ett utvidgat EU med deltagande av Nordiska rådets medlemmar, andra nordiska parlamentariker, parlamentariker från de baltiska länderna och Ryssland, Europaparlamentariker samt inbjudna gäster. Temamötet var fokuserat på parlamentar</w:t>
      </w:r>
      <w:r w:rsidRPr="00A27C50">
        <w:t>i</w:t>
      </w:r>
      <w:r w:rsidRPr="00A27C50">
        <w:t xml:space="preserve">kernas roll i detta samarbete. </w:t>
      </w:r>
    </w:p>
    <w:p w:rsidR="000D6448" w:rsidRPr="00A27C50" w:rsidRDefault="000D6448">
      <w:pPr>
        <w:pStyle w:val="Normaltindrag"/>
      </w:pPr>
      <w:r w:rsidRPr="00A27C50">
        <w:rPr>
          <w:spacing w:val="-2"/>
        </w:rPr>
        <w:t>Temamötet bestod dels av plenarmöten, dels av seminarier arrangerade av Nordiska rådets presidium och utskott om aktuella frågor inom ramen</w:t>
      </w:r>
      <w:r w:rsidRPr="00A27C50">
        <w:t xml:space="preserve"> för den </w:t>
      </w:r>
      <w:r w:rsidRPr="00A27C50">
        <w:rPr>
          <w:spacing w:val="-4"/>
        </w:rPr>
        <w:t>Nordliga dimensionen. Seminarierna intog en central roll vid temamötet och har följts upp med olika initiativ av presidiet och utskotten. Seminariernas teman var:</w:t>
      </w:r>
    </w:p>
    <w:p w:rsidR="000D6448" w:rsidRPr="00A27C50" w:rsidRDefault="000D6448">
      <w:pPr>
        <w:pStyle w:val="PunktlistaStreck"/>
        <w:tabs>
          <w:tab w:val="clear" w:pos="360"/>
        </w:tabs>
      </w:pPr>
      <w:r w:rsidRPr="00A27C50">
        <w:t xml:space="preserve">A Knowledge-based Region </w:t>
      </w:r>
    </w:p>
    <w:p w:rsidR="000D6448" w:rsidRPr="00A27C50" w:rsidRDefault="000D6448">
      <w:pPr>
        <w:pStyle w:val="PunktlistaStreck"/>
        <w:numPr>
          <w:ilvl w:val="0"/>
          <w:numId w:val="21"/>
        </w:numPr>
        <w:tabs>
          <w:tab w:val="clear" w:pos="360"/>
        </w:tabs>
        <w:spacing w:before="0"/>
      </w:pPr>
      <w:r w:rsidRPr="00A27C50">
        <w:t>The Conditions for Social and Economic Develo</w:t>
      </w:r>
      <w:r w:rsidRPr="00A27C50">
        <w:t>p</w:t>
      </w:r>
      <w:r w:rsidRPr="00A27C50">
        <w:t xml:space="preserve">ment </w:t>
      </w:r>
    </w:p>
    <w:p w:rsidR="000D6448" w:rsidRPr="00A27C50" w:rsidRDefault="000D6448">
      <w:pPr>
        <w:pStyle w:val="PunktlistaStreck"/>
        <w:numPr>
          <w:ilvl w:val="0"/>
          <w:numId w:val="14"/>
        </w:numPr>
        <w:tabs>
          <w:tab w:val="clear" w:pos="360"/>
        </w:tabs>
        <w:spacing w:before="0"/>
      </w:pPr>
      <w:r w:rsidRPr="00A27C50">
        <w:t>The Northern Dimension Partnership in Public Health and Social Wellb</w:t>
      </w:r>
      <w:r w:rsidRPr="00A27C50">
        <w:t>e</w:t>
      </w:r>
      <w:r w:rsidRPr="00A27C50">
        <w:t xml:space="preserve">ing </w:t>
      </w:r>
    </w:p>
    <w:p w:rsidR="000D6448" w:rsidRPr="00A27C50" w:rsidRDefault="000D6448">
      <w:pPr>
        <w:pStyle w:val="PunktlistaStreck"/>
        <w:numPr>
          <w:ilvl w:val="0"/>
          <w:numId w:val="14"/>
        </w:numPr>
        <w:tabs>
          <w:tab w:val="clear" w:pos="360"/>
        </w:tabs>
        <w:spacing w:before="0"/>
      </w:pPr>
      <w:r w:rsidRPr="00A27C50">
        <w:t xml:space="preserve">Industrial Development in the </w:t>
      </w:r>
      <w:smartTag w:uri="urn:schemas-microsoft-com:office:smarttags" w:element="place">
        <w:r w:rsidRPr="00A27C50">
          <w:t>Baltic Sea</w:t>
        </w:r>
      </w:smartTag>
      <w:r w:rsidRPr="00A27C50">
        <w:t xml:space="preserve"> Region</w:t>
      </w:r>
    </w:p>
    <w:p w:rsidR="000D6448" w:rsidRPr="00A27C50" w:rsidRDefault="000D6448">
      <w:pPr>
        <w:pStyle w:val="PunktlistaStreck"/>
        <w:numPr>
          <w:ilvl w:val="0"/>
          <w:numId w:val="14"/>
        </w:numPr>
        <w:tabs>
          <w:tab w:val="clear" w:pos="360"/>
        </w:tabs>
        <w:spacing w:before="0"/>
      </w:pPr>
      <w:r w:rsidRPr="00A27C50">
        <w:t>Cooperation on Environmental Projects including the Role of  NGO´s and Parliamentarians</w:t>
      </w:r>
    </w:p>
    <w:p w:rsidR="000D6448" w:rsidRPr="00A27C50" w:rsidRDefault="000D6448">
      <w:pPr>
        <w:pStyle w:val="PunktlistaStreck"/>
        <w:numPr>
          <w:ilvl w:val="0"/>
          <w:numId w:val="14"/>
        </w:numPr>
        <w:tabs>
          <w:tab w:val="clear" w:pos="360"/>
        </w:tabs>
        <w:spacing w:before="0"/>
      </w:pPr>
      <w:r w:rsidRPr="00A27C50">
        <w:t xml:space="preserve">Trafficking in Human Beings in an Enlarged EU.   </w:t>
      </w:r>
    </w:p>
    <w:p w:rsidR="000D6448" w:rsidRPr="00A27C50" w:rsidRDefault="000D6448">
      <w:pPr>
        <w:rPr>
          <w:spacing w:val="-2"/>
        </w:rPr>
      </w:pPr>
      <w:r w:rsidRPr="00A27C50">
        <w:t xml:space="preserve">Dagarna innan temamötet öppnades krävde tre av Nordiska rådets presidenter, </w:t>
      </w:r>
      <w:r w:rsidRPr="00A27C50">
        <w:rPr>
          <w:spacing w:val="-2"/>
        </w:rPr>
        <w:t>Gabriel Romanus, president år 2004, Inge Lønning, president år 2003 och Outi Ojala, president år 2002, i ett upprop som publicerades i nordiska dagstidningar att människohandel för sexuellt utnyttjande kraftfullt måste motverkas. Efter temamötet bildades riksdagens manliga nätverk mot människohandel för sex</w:t>
      </w:r>
      <w:r w:rsidRPr="00A27C50">
        <w:rPr>
          <w:spacing w:val="-2"/>
        </w:rPr>
        <w:t>u</w:t>
      </w:r>
      <w:r w:rsidRPr="00A27C50">
        <w:rPr>
          <w:spacing w:val="-2"/>
        </w:rPr>
        <w:t>ellt utnyttjande på initiativ av Lennart Gustavsson och Lars U Granberg.</w:t>
      </w:r>
    </w:p>
    <w:p w:rsidR="000D6448" w:rsidRPr="00A27C50" w:rsidRDefault="000D6448">
      <w:pPr>
        <w:pStyle w:val="Normaltindrag"/>
      </w:pPr>
      <w:r w:rsidRPr="00A27C50">
        <w:t>Vid temamötet underströks behovet att den nordliga dimensionen ges ett konkret politiskt innehåll och att samarbetet med Ryssland bör förstärkas. Det framfördes även krav på en permanent finansiering av den nordliga dimensi</w:t>
      </w:r>
      <w:r w:rsidRPr="00A27C50">
        <w:t>o</w:t>
      </w:r>
      <w:r w:rsidRPr="00A27C50">
        <w:t>nen. Från rysk sida uttalades vid mötets inledning att man dittills sett alltför få resultat och för liten effekt i Ryssland av handlingsplanen för den Nordliga dimensionen. Från ministerrådets sida framhölls att 20 % av ministerrådets budget gått till projekt i Baltikum och nordvästra Ryssland och att det fanns en tydlig politisk enighet om att öka insatserna i nordvästra Ryssland och förstärka det politiska samarbetet med de ba</w:t>
      </w:r>
      <w:r w:rsidRPr="00A27C50">
        <w:t>l</w:t>
      </w:r>
      <w:r w:rsidRPr="00A27C50">
        <w:t xml:space="preserve">tiska staterna. </w:t>
      </w:r>
    </w:p>
    <w:p w:rsidR="000D6448" w:rsidRPr="00A27C50" w:rsidRDefault="000D6448">
      <w:pPr>
        <w:pStyle w:val="Normaltindrag"/>
      </w:pPr>
      <w:r w:rsidRPr="00A27C50">
        <w:t>Vid temamötets avslutning lyftes frågan om grundandet av en parlament</w:t>
      </w:r>
      <w:r w:rsidRPr="00A27C50">
        <w:t>a</w:t>
      </w:r>
      <w:r w:rsidRPr="00A27C50">
        <w:t>risk dimension för den Nordliga dimensionen fram. Ett förslag var att vidar</w:t>
      </w:r>
      <w:r w:rsidRPr="00A27C50">
        <w:t>e</w:t>
      </w:r>
      <w:r w:rsidRPr="00A27C50">
        <w:t>utveckla den parlamentariska Östersjökonferensen (BSPC) till en parlament</w:t>
      </w:r>
      <w:r w:rsidRPr="00A27C50">
        <w:t>a</w:t>
      </w:r>
      <w:r w:rsidRPr="00A27C50">
        <w:t>risk dimension för den Nordliga dimensionen. ”En parlamentarisk dimension för den Nordliga dimensionen behövs såväl för att lyfta fram centrala projekt och samarbetsfrågor som för ett effektivisera uppföljningen av den geno</w:t>
      </w:r>
      <w:r w:rsidRPr="00A27C50">
        <w:t>m</w:t>
      </w:r>
      <w:r w:rsidRPr="00A27C50">
        <w:t xml:space="preserve">förda politiken.”  </w:t>
      </w:r>
    </w:p>
    <w:p w:rsidR="000D6448" w:rsidRPr="00A27C50" w:rsidRDefault="000D6448">
      <w:pPr>
        <w:rPr>
          <w:sz w:val="28"/>
        </w:rPr>
        <w:sectPr w:rsidR="000D6448" w:rsidRPr="00A27C5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D6448" w:rsidRPr="00A27C50" w:rsidRDefault="000D6448">
      <w:pPr>
        <w:pStyle w:val="Rubrik1"/>
        <w:rPr>
          <w:noProof w:val="0"/>
        </w:rPr>
      </w:pPr>
      <w:bookmarkStart w:id="15" w:name="_Toc98294587"/>
      <w:r w:rsidRPr="00A27C50">
        <w:rPr>
          <w:noProof w:val="0"/>
        </w:rPr>
        <w:t>7 Nordiska rådets 56:e session i Stockholm den 1–3 november 2004</w:t>
      </w:r>
      <w:bookmarkEnd w:id="15"/>
    </w:p>
    <w:p w:rsidR="000D6448" w:rsidRPr="00A27C50" w:rsidRDefault="000D6448">
      <w:pPr>
        <w:pStyle w:val="Rubrik2"/>
        <w:spacing w:before="0"/>
      </w:pPr>
      <w:r w:rsidRPr="00A27C50">
        <w:t>Session med nya arbetsformer</w:t>
      </w:r>
    </w:p>
    <w:p w:rsidR="000D6448" w:rsidRPr="00A27C50" w:rsidRDefault="000D6448">
      <w:r w:rsidRPr="00A27C50">
        <w:t>Den 56:e sessionen bjöd på flera nya inslag och arbetsformer. Såsom tidigare redogjorts för hölls en särskild debatt om alkoholen och dess skadeverkningar i vilken de nordiska hälso- och socialministrarna deltog. Internationella gä</w:t>
      </w:r>
      <w:r w:rsidRPr="00A27C50">
        <w:t>s</w:t>
      </w:r>
      <w:r w:rsidRPr="00A27C50">
        <w:t>ter, förutsatt att de var parlamentariker, gavs möjlighet att delta i såväl gen</w:t>
      </w:r>
      <w:r w:rsidRPr="00A27C50">
        <w:t>e</w:t>
      </w:r>
      <w:r w:rsidRPr="00A27C50">
        <w:t>raldebatten som i sakdebatterna. Tidigare har de inbjudna gästerna varit hä</w:t>
      </w:r>
      <w:r w:rsidRPr="00A27C50">
        <w:t>n</w:t>
      </w:r>
      <w:r w:rsidRPr="00A27C50">
        <w:t>visade till hälsningstal vid själva öppnandet av sessionen. Flera av de ryska gästerna och presidenten för Baltiska församlingen utnyttjade denna möjlighet att delta i sakdebatten.</w:t>
      </w:r>
    </w:p>
    <w:p w:rsidR="000D6448" w:rsidRPr="00A27C50" w:rsidRDefault="000D6448">
      <w:pPr>
        <w:pStyle w:val="Normaltindrag"/>
      </w:pPr>
      <w:r w:rsidRPr="00A27C50">
        <w:t>Förutom plenarförsamlingens möten äger ett stort antal formella och i</w:t>
      </w:r>
      <w:r w:rsidRPr="00A27C50">
        <w:t>n</w:t>
      </w:r>
      <w:r w:rsidRPr="00A27C50">
        <w:t>formella möten rum under en session. Kontakter skapas och nätverk bildas för framtida samarbete. Till de stående inslagen under en session hör presidiets möten med stats- och utrikesministrarna liksom utskottens möten med fac</w:t>
      </w:r>
      <w:r w:rsidRPr="00A27C50">
        <w:t>k</w:t>
      </w:r>
      <w:r w:rsidRPr="00A27C50">
        <w:t>ministrar.</w:t>
      </w:r>
    </w:p>
    <w:p w:rsidR="000D6448" w:rsidRPr="00A27C50" w:rsidRDefault="000D6448">
      <w:pPr>
        <w:pStyle w:val="Normaltindrag"/>
      </w:pPr>
      <w:r w:rsidRPr="00A27C50">
        <w:t>Diskussioner och samtal förs med de inbjudna gästerna om fortsatt framt</w:t>
      </w:r>
      <w:r w:rsidRPr="00A27C50">
        <w:t>i</w:t>
      </w:r>
      <w:r w:rsidRPr="00A27C50">
        <w:t>da samarbete. I möten med Federationsrådet, Statsduman och Nordvästrys</w:t>
      </w:r>
      <w:r w:rsidRPr="00A27C50">
        <w:t>s</w:t>
      </w:r>
      <w:r w:rsidRPr="00A27C50">
        <w:t>lands parlamentariska församling framfördes från rysk sida önskemål om konkret samarbete på olika politikområden. Nordiska rådets och Baltiska församlingens presidier kom överens om att försöka dra in de nationella pa</w:t>
      </w:r>
      <w:r w:rsidRPr="00A27C50">
        <w:t>r</w:t>
      </w:r>
      <w:r w:rsidRPr="00A27C50">
        <w:t xml:space="preserve">lamentens utskott i sitt samarbete.  </w:t>
      </w:r>
    </w:p>
    <w:p w:rsidR="000D6448" w:rsidRPr="00A27C50" w:rsidRDefault="000D6448">
      <w:pPr>
        <w:pStyle w:val="Rubrik2"/>
      </w:pPr>
      <w:r w:rsidRPr="00A27C50">
        <w:t>Generaldebatt – Statsministrarnas redogörelse</w:t>
      </w:r>
    </w:p>
    <w:p w:rsidR="000D6448" w:rsidRPr="00A27C50" w:rsidRDefault="000D6448">
      <w:r w:rsidRPr="00A27C50">
        <w:t>Generaldebatten med statsministrarnas redogörelser kom till stor del att ko</w:t>
      </w:r>
      <w:r w:rsidRPr="00A27C50">
        <w:t>n</w:t>
      </w:r>
      <w:r w:rsidRPr="00A27C50">
        <w:t xml:space="preserve">centreras kring EU:s utvidgning och den nya situation som uppstått sedan Estland, Lettland och Litauen inträtt som medlemmar i EU. </w:t>
      </w:r>
    </w:p>
    <w:p w:rsidR="000D6448" w:rsidRPr="00A27C50" w:rsidRDefault="000D6448">
      <w:pPr>
        <w:pStyle w:val="Normaltindrag"/>
      </w:pPr>
      <w:r w:rsidRPr="00A27C50">
        <w:t>Danmarks statsminister Anders Fogh Rasmussen erinrade om att Norden utan gränser är ett genomgående tema för det danska ordförandeskapet. Öp</w:t>
      </w:r>
      <w:r w:rsidRPr="00A27C50">
        <w:t>p</w:t>
      </w:r>
      <w:r w:rsidRPr="00A27C50">
        <w:t>ningen av Öresundsbron har visat att det fortfarande finns alltför många barr</w:t>
      </w:r>
      <w:r w:rsidRPr="00A27C50">
        <w:t>i</w:t>
      </w:r>
      <w:r w:rsidRPr="00A27C50">
        <w:t>ärer trots många års nordiskt samarbete och EU:s inre marknad. Han lovord</w:t>
      </w:r>
      <w:r w:rsidRPr="00A27C50">
        <w:t>a</w:t>
      </w:r>
      <w:r w:rsidRPr="00A27C50">
        <w:t>de Poul Schlüters arbete med att identifiera och bekämpa barriärer, vilket kommer att fortsätta under det danska ordförandeskapet med fokus på grän</w:t>
      </w:r>
      <w:r w:rsidRPr="00A27C50">
        <w:t>s</w:t>
      </w:r>
      <w:r w:rsidRPr="00A27C50">
        <w:t>hinder för små och medelstora företag. Statsministern betonade vikten av att bevara Nordens internationella konkurrensposition, som utvecklats positivt sedan mitten av 1990-talet. Det nordiska samarbetet måste vara resultatorie</w:t>
      </w:r>
      <w:r w:rsidRPr="00A27C50">
        <w:t>n</w:t>
      </w:r>
      <w:r w:rsidRPr="00A27C50">
        <w:t>terat och relevant. Slutligen ansåg han att vi borde undersöka om vi på ett bättre sätt än i dag kan dra in ett land som Vitryssland i ett samarbete, t.ex. genom stöd till demokratiutveckling.</w:t>
      </w:r>
    </w:p>
    <w:p w:rsidR="000D6448" w:rsidRPr="00A27C50" w:rsidRDefault="000D6448">
      <w:pPr>
        <w:pStyle w:val="Normaltindrag"/>
      </w:pPr>
      <w:r w:rsidRPr="00A27C50">
        <w:t>Statsminister Göran Persson underströk att Norden står sig väl vid en i</w:t>
      </w:r>
      <w:r w:rsidRPr="00A27C50">
        <w:t>n</w:t>
      </w:r>
      <w:r w:rsidRPr="00A27C50">
        <w:t>ternationell jämförelse. Vi har valt en samhällsmodell i Norden med rätt så höga skatter – för att inte säga mycket höga skatter – och en stor gemensam sektor. Trots kritik har modellen fungerat mycket väl. Men det går att göra mer, och det går att göra det på ett mer begåvat sätt.  Vår samhällsmodell skapar en trygghet i den förändring som pågår. Göran Persson förklarar sin säkerhet i sitt politiska arbete utanför Sverige med att han hämtar sin trygghet i sin kulturkrets och är hemma i Norden. Kanske blir det nordiska samarbetets viktigaste frågor framöver hur vi slår vakt om våra språk, om vår språkliga identitet och vår språkliga tradition, vår kultur och inte bara vår samhällsm</w:t>
      </w:r>
      <w:r w:rsidRPr="00A27C50">
        <w:t>o</w:t>
      </w:r>
      <w:r w:rsidRPr="00A27C50">
        <w:t xml:space="preserve">dell. Vi lever i en tid då vi får signaler om att läskunskapen minskar, inte därför att barn och ungdomar är mindre begåvade än tidigare utan därför att de använder mindre tid för detta. De använder Internet och håller på med sådant som ofta uttrycks på engelska. Våra språk och vår kulturella identitet är en uppgift som vi kommer att få ägna oss alltmer åt om vi ska hävda ett nordiskt samarbete framöver. Det nordiska samarbetet bärs av denna identitet. </w:t>
      </w:r>
    </w:p>
    <w:p w:rsidR="000D6448" w:rsidRPr="00A27C50" w:rsidRDefault="000D6448">
      <w:pPr>
        <w:pStyle w:val="Normaltindrag"/>
      </w:pPr>
      <w:r w:rsidRPr="00A27C50">
        <w:t>På en fråga om hur Nordiska rådet skall bli en ännu starkare kraft i norra Europa menade Göran Persson att det funnits en överdriven respekt för EU:s utveckling. Ju större EU blir, desto viktigare blir – paradoxalt nog – det no</w:t>
      </w:r>
      <w:r w:rsidRPr="00A27C50">
        <w:t>r</w:t>
      </w:r>
      <w:r w:rsidRPr="00A27C50">
        <w:t xml:space="preserve">diska samarbetet. Inom det utvidgade EU kommer det att växa fram olika typer av konstellationer. En sådan grupp kommer att vara den nordiska. Vi samarbetar med balterna, men de kommer inte att ha en nordisk identitet på samma sätt som vi. De har en baltisk identitet och vi samarbetar gärna med varandra. Men det är i den nordiska identiteten vi startar. </w:t>
      </w:r>
    </w:p>
    <w:p w:rsidR="000D6448" w:rsidRPr="00A27C50" w:rsidRDefault="000D6448">
      <w:pPr>
        <w:pStyle w:val="Normaltindrag"/>
      </w:pPr>
      <w:r w:rsidRPr="00A27C50">
        <w:t>Den norske statsministern instämde i att man med ett utvidgat EU och EES ser konturerna av en ökad regionalisering i Europa.  Den utvecklingen gör det nordiska och det nordisk-baltiska samarbetet mer relevant. Det är bara genom ett nära samarbete de nordiska länderna kan få politisk tyngd att gå framåt allteftersom det europeiska samarbetet utvidgas. Han tackade också Poul Schlüter för hans arbete för att ta bort gränshindren, särskilt på näringslivets område och uttryckte sin glädje över att det danska ordförandeskapet signal</w:t>
      </w:r>
      <w:r w:rsidRPr="00A27C50">
        <w:t>e</w:t>
      </w:r>
      <w:r w:rsidRPr="00A27C50">
        <w:t xml:space="preserve">rat att man skall prioritera frågor om kunskap, innovation och avlägsnandet av gränshinder.  </w:t>
      </w:r>
    </w:p>
    <w:p w:rsidR="000D6448" w:rsidRPr="00A27C50" w:rsidRDefault="000D6448">
      <w:pPr>
        <w:pStyle w:val="Normaltindrag"/>
        <w:rPr>
          <w:spacing w:val="-2"/>
        </w:rPr>
      </w:pPr>
      <w:r w:rsidRPr="00A27C50">
        <w:t>I debatten framfördes att det nordiska samarbetet ställs inför nya krav efter EU:s utvidgning. I ett utvidgat EU blir subregionalt samarbete som det no</w:t>
      </w:r>
      <w:r w:rsidRPr="00A27C50">
        <w:t>r</w:t>
      </w:r>
      <w:r w:rsidRPr="00A27C50">
        <w:t>diska ännu viktigare. Många parlamentariska samarbetsorgan i vårt geogr</w:t>
      </w:r>
      <w:r w:rsidRPr="00A27C50">
        <w:t>a</w:t>
      </w:r>
      <w:r w:rsidRPr="00A27C50">
        <w:t xml:space="preserve">fiska område arbetar med i stort sett samma uppgifter, och det finns ett behov av bättre samordning av deras verksamhet. Utan att man ändrar på dagens Nordiska rådet finns ett behov av att ta ett helhetsgrepp på det </w:t>
      </w:r>
      <w:r w:rsidRPr="00A27C50">
        <w:rPr>
          <w:spacing w:val="-2"/>
        </w:rPr>
        <w:t>parlamentariska samarbetet i norra Europa. Ett sätt att uppnå bättre samordning, samtidigt som man behåller Nordiska rådet som ryggraden, är att undersöka möjligheterna att skapa en parlamentarisk dimension för hela norra Europa. Man bör därför ta med sig det bästa i Nordiska rådet, men leta efter andra och bättre sätt att mar</w:t>
      </w:r>
      <w:r w:rsidRPr="00A27C50">
        <w:rPr>
          <w:spacing w:val="-2"/>
        </w:rPr>
        <w:t>k</w:t>
      </w:r>
      <w:r w:rsidRPr="00A27C50">
        <w:rPr>
          <w:spacing w:val="-2"/>
        </w:rPr>
        <w:t>nadsföra det gemensamma engagemanget för det nordliga Eur</w:t>
      </w:r>
      <w:r w:rsidRPr="00A27C50">
        <w:rPr>
          <w:spacing w:val="-2"/>
        </w:rPr>
        <w:t>o</w:t>
      </w:r>
      <w:r w:rsidRPr="00A27C50">
        <w:rPr>
          <w:spacing w:val="-2"/>
        </w:rPr>
        <w:t xml:space="preserve">pa. </w:t>
      </w:r>
    </w:p>
    <w:p w:rsidR="000D6448" w:rsidRPr="00A27C50" w:rsidRDefault="000D6448">
      <w:pPr>
        <w:pStyle w:val="Rubrik2"/>
      </w:pPr>
      <w:r w:rsidRPr="00A27C50">
        <w:t>Nordiskt samarbete i ett nytt Europa</w:t>
      </w:r>
    </w:p>
    <w:p w:rsidR="000D6448" w:rsidRPr="00A27C50" w:rsidRDefault="000D6448">
      <w:r w:rsidRPr="00A27C50">
        <w:t>Poul Nyrup Rasmussen, ordförande för den socialdemokratiska gruppen i Europaparlamentet, som inbjudits som gästtalare vid sessionen, erinrade om att Europa utvecklats i en takt som ingen förutsåg för 50 år sedan. EU är sedan den 1 maj 2004 världens mest omfattande regionala samarbete och utgör nu världens största ekonomi, 10 % större än USA:s ekonomi. Europ</w:t>
      </w:r>
      <w:r w:rsidRPr="00A27C50">
        <w:t>a</w:t>
      </w:r>
      <w:r w:rsidRPr="00A27C50">
        <w:t>parlamentet grupperar sig mer och mer medvetet i politiska grupperingar som man känner från Nordiska rådet. De nordiska socialdemokraterna har placerat sig i en särskild nordisk grupp, och andra partigrupper är i färd med detsa</w:t>
      </w:r>
      <w:r w:rsidRPr="00A27C50">
        <w:t>m</w:t>
      </w:r>
      <w:r w:rsidRPr="00A27C50">
        <w:t>ma. Han riktade en enträgen uppmaning till samarbete mellan grupperingarna i Europaparlamentet och Nordiska rådet. Tiden har nu kommit för Nordiska rådet att etablera sig tydligare i Bryssel med ett kontor eller annan form av permanent närvaro, som kan förstärka relationerna, transparensen och dyn</w:t>
      </w:r>
      <w:r w:rsidRPr="00A27C50">
        <w:t>a</w:t>
      </w:r>
      <w:r w:rsidRPr="00A27C50">
        <w:t>miken.</w:t>
      </w:r>
    </w:p>
    <w:p w:rsidR="000D6448" w:rsidRPr="00A27C50" w:rsidRDefault="000D6448">
      <w:pPr>
        <w:pStyle w:val="Rubrik2"/>
      </w:pPr>
      <w:r w:rsidRPr="00A27C50">
        <w:t>Utrikespolitisk redogörelse</w:t>
      </w:r>
    </w:p>
    <w:p w:rsidR="000D6448" w:rsidRPr="00A27C50" w:rsidRDefault="000D6448">
      <w:r w:rsidRPr="00A27C50">
        <w:t>Nordens internationella position behandlades också i utrikesministrarnas redogörelse, som gavs av den isländska finansministern i egenskap av fung</w:t>
      </w:r>
      <w:r w:rsidRPr="00A27C50">
        <w:t>e</w:t>
      </w:r>
      <w:r w:rsidRPr="00A27C50">
        <w:t>rande utrikesminister. För Islands del, som står utanför EU, var det särskilt viktigt med en samtidig utvidgning av EU och EES för att undgå en splittring av den inre marknaden, och genom EES-avtalet både bidrar Island till och drar nytta av den ekonomiska och politiska utvecklingen i de nya medlem</w:t>
      </w:r>
      <w:r w:rsidRPr="00A27C50">
        <w:t>s</w:t>
      </w:r>
      <w:r w:rsidRPr="00A27C50">
        <w:t>länderna och i övriga EU. Det nordiska samarbetet behövs och skall användas för att öka Nordens inflytande i EU/EES, FN och andra internationella org</w:t>
      </w:r>
      <w:r w:rsidRPr="00A27C50">
        <w:t>a</w:t>
      </w:r>
      <w:r w:rsidRPr="00A27C50">
        <w:t>nisationer, där man kan främja typiskt nordiska värderingar som jämställdhet, solidaritet, mänskliga rättigheter och social välfärd och även fredsforskning, medling och krishantering. Genom de baltiska ländernas medlemskap i EU flyttas tyngden i ministerrådets samarbetsprojekt från Baltikum till Nordväs</w:t>
      </w:r>
      <w:r w:rsidRPr="00A27C50">
        <w:t>t</w:t>
      </w:r>
      <w:r w:rsidRPr="00A27C50">
        <w:t>ryssland och EU:s nya grannländer i öst. Dessutom finns ett nordisk-baltiskt samarbete på ämbetsmannanivå med USA, e-PINE (Enhanced Partnership in Northern Europe), som huvudsakligen avser informationsutbyte för att finna nya samarbets- och biståndsmöjligheter, särskilt vad gäller demokratiska strukturer, säkerhetspolitik och öve</w:t>
      </w:r>
      <w:r w:rsidRPr="00A27C50">
        <w:t>r</w:t>
      </w:r>
      <w:r w:rsidRPr="00A27C50">
        <w:t xml:space="preserve">gången till marknadsekonomi. </w:t>
      </w:r>
    </w:p>
    <w:p w:rsidR="000D6448" w:rsidRPr="00A27C50" w:rsidRDefault="000D6448">
      <w:pPr>
        <w:pStyle w:val="Normaltindrag"/>
      </w:pPr>
      <w:r w:rsidRPr="00A27C50">
        <w:t xml:space="preserve">I anförandet berördes även frågor om internationell terrorism och spridning av massförstörelsevapen, och här framhölls FN:s centrala roll i kampen mot olika former av terrorism och till stöd för den internationella rättsordningen. Genom Danmarks medlemskap i säkerhetsrådet 2005–2006 har de nordiska länderna en värdefull möjlighet att påverka den internationella kampen mot terrorism. </w:t>
      </w:r>
    </w:p>
    <w:p w:rsidR="000D6448" w:rsidRPr="00A27C50" w:rsidRDefault="000D6448">
      <w:pPr>
        <w:pStyle w:val="Normaltindrag"/>
      </w:pPr>
      <w:r w:rsidRPr="00A27C50">
        <w:t>Samarbetet med de afrikanska länderna är ett centralt element i de nordiska ländernas biståndspolitik och är inriktat mot de fattigaste och bygger på att mänskliga rättigheter, jämställdhet och fungerande styrning är viktiga föru</w:t>
      </w:r>
      <w:r w:rsidRPr="00A27C50">
        <w:t>t</w:t>
      </w:r>
      <w:r w:rsidRPr="00A27C50">
        <w:t xml:space="preserve">sättningar för politisk, ekonomisk och social utveckling. </w:t>
      </w:r>
    </w:p>
    <w:p w:rsidR="000D6448" w:rsidRPr="00A27C50" w:rsidRDefault="000D6448">
      <w:pPr>
        <w:pStyle w:val="Rubrik2"/>
      </w:pPr>
      <w:r w:rsidRPr="00A27C50">
        <w:t>Försvarsministrarnas redogörelse</w:t>
      </w:r>
    </w:p>
    <w:p w:rsidR="000D6448" w:rsidRPr="00A27C50" w:rsidRDefault="000D6448">
      <w:r w:rsidRPr="00A27C50">
        <w:t xml:space="preserve">Det nordiska försvarssamarbetet kännetecknades av god, nära kontakt och mötesverksamhet på alla nivåer. 2004 har varit präglat av konflikterna i Irak, i Afghanistan, på Balkan och i Sudan, där de nordiska länderna är mycket </w:t>
      </w:r>
      <w:r w:rsidRPr="00A27C50">
        <w:rPr>
          <w:spacing w:val="-2"/>
        </w:rPr>
        <w:t>engagerade både militärt och civilt. Under det danska ordförandeskapet har försvarsministrarna mött sin ryske kollega Sergej Ivanov med vilken man dry</w:t>
      </w:r>
      <w:r w:rsidRPr="00A27C50">
        <w:rPr>
          <w:spacing w:val="-2"/>
        </w:rPr>
        <w:t>f</w:t>
      </w:r>
      <w:r w:rsidRPr="00A27C50">
        <w:rPr>
          <w:spacing w:val="-2"/>
        </w:rPr>
        <w:t>tat säkerhets- och försvarspolitiska ämnen, och senare den serbiske försvarsm</w:t>
      </w:r>
      <w:r w:rsidRPr="00A27C50">
        <w:rPr>
          <w:spacing w:val="-2"/>
        </w:rPr>
        <w:t>i</w:t>
      </w:r>
      <w:r w:rsidRPr="00A27C50">
        <w:rPr>
          <w:spacing w:val="-2"/>
        </w:rPr>
        <w:t>nistern för att dryfta situationen i Serbien och Montenegro, däribland Kosovo.</w:t>
      </w:r>
      <w:r w:rsidRPr="00A27C50">
        <w:t xml:space="preserve"> </w:t>
      </w:r>
    </w:p>
    <w:p w:rsidR="000D6448" w:rsidRPr="00A27C50" w:rsidRDefault="000D6448">
      <w:pPr>
        <w:pStyle w:val="Normaltindrag"/>
      </w:pPr>
      <w:r w:rsidRPr="00A27C50">
        <w:t>Inom försvarssamarbetet har man bl.a. diskuterat samplanering av civila och militära insatser i internationella operationer. Syftet är att stärka samor</w:t>
      </w:r>
      <w:r w:rsidRPr="00A27C50">
        <w:t>d</w:t>
      </w:r>
      <w:r w:rsidRPr="00A27C50">
        <w:t>ningen av de militära och civila insatserna i ett konfliktområde för att uppnå en synergieffekt där man satt in militära styrkor från de nordiska länderna. Exempel som Afghanistan, Irak och andra konfliktområden har visat att mil</w:t>
      </w:r>
      <w:r w:rsidRPr="00A27C50">
        <w:t>i</w:t>
      </w:r>
      <w:r w:rsidRPr="00A27C50">
        <w:t xml:space="preserve">tära insatser måste gå hand i hand med en parallell insats riktad mot det civila området för att förbättra livsvillkoren och säkerheten. </w:t>
      </w:r>
    </w:p>
    <w:p w:rsidR="000D6448" w:rsidRPr="00A27C50" w:rsidRDefault="000D6448">
      <w:pPr>
        <w:pStyle w:val="Normaltindrag"/>
      </w:pPr>
      <w:r w:rsidRPr="00A27C50">
        <w:t>Nordiskt försvarsmaterielssamarbete äger sedan tio år rum inom Nordac, Nordic Armament Cooperation, som anses ge deltagarländerna stora fördelar såväl ekonomiskt som teknologiskt och industriellt samt vad gäller inform</w:t>
      </w:r>
      <w:r w:rsidRPr="00A27C50">
        <w:t>a</w:t>
      </w:r>
      <w:r w:rsidRPr="00A27C50">
        <w:t>tionsutbyte. Under 2005 skall man hålla ett seminarium för försvarsmaterie</w:t>
      </w:r>
      <w:r w:rsidRPr="00A27C50">
        <w:t>l</w:t>
      </w:r>
      <w:r w:rsidRPr="00A27C50">
        <w:t>industrin för att orientera sig om ländernas materielanskaffningsplaner som resultat av de nya försvarsuppgörelserna. Sedan 1997 samarbetar de nordiska länderna om fredsbevarande operationer inom Nordcaps, Nordic Coordinated Arrangements for Peace Support. Ett gott exempel är operationen kring K</w:t>
      </w:r>
      <w:r w:rsidRPr="00A27C50">
        <w:t>a</w:t>
      </w:r>
      <w:r w:rsidRPr="00A27C50">
        <w:t>buls internationella flygplats, där Island påtagit sig en ledande roll. I Kosovo samarbetar Finland och Sverige i en multinationell brigad, och i Afghanistan arbetar Fi</w:t>
      </w:r>
      <w:r w:rsidRPr="00A27C50">
        <w:t>n</w:t>
      </w:r>
      <w:r w:rsidRPr="00A27C50">
        <w:t xml:space="preserve">land och Norge tillsammans under brittisk ledning. </w:t>
      </w:r>
    </w:p>
    <w:p w:rsidR="000D6448" w:rsidRPr="00A27C50" w:rsidRDefault="000D6448">
      <w:pPr>
        <w:pStyle w:val="Normaltindrag"/>
      </w:pPr>
      <w:r w:rsidRPr="00A27C50">
        <w:t>Slutligen erinrade den danske försvarsministern om ett initiativ från ett nordiskt försvarsministermöte i september då man beslöt om utveckling och samordning av samarbetet med Albanien, Bosnien och Hercegovina, Kroat</w:t>
      </w:r>
      <w:r w:rsidRPr="00A27C50">
        <w:t>i</w:t>
      </w:r>
      <w:r w:rsidRPr="00A27C50">
        <w:t>en, Makedonien samt Serbien och Montenegro. Sammanfattningsvis ansåg han att det nordiska försvarssamarbetet levde upp till begreppet ”nordisk nytta”, där man tillsa</w:t>
      </w:r>
      <w:r w:rsidRPr="00A27C50">
        <w:t>m</w:t>
      </w:r>
      <w:r w:rsidRPr="00A27C50">
        <w:t>mans uppnår mer än var för sig.</w:t>
      </w:r>
    </w:p>
    <w:p w:rsidR="000D6448" w:rsidRPr="00A27C50" w:rsidRDefault="000D6448">
      <w:pPr>
        <w:pStyle w:val="Rubrik2"/>
      </w:pPr>
      <w:r w:rsidRPr="00A27C50">
        <w:t xml:space="preserve">Frågestund med samarbetsministrarna   </w:t>
      </w:r>
    </w:p>
    <w:p w:rsidR="000D6448" w:rsidRPr="00A27C50" w:rsidRDefault="000D6448">
      <w:r w:rsidRPr="00A27C50">
        <w:t>Även vid 56:e sessionen fortsattes den praxis som grundlagts vid 48:e sessi</w:t>
      </w:r>
      <w:r w:rsidRPr="00A27C50">
        <w:t>o</w:t>
      </w:r>
      <w:r w:rsidRPr="00A27C50">
        <w:t>nen med spontana frågor enligt förebild från Sveriges riksdag. Frågorna b</w:t>
      </w:r>
      <w:r w:rsidRPr="00A27C50">
        <w:t>e</w:t>
      </w:r>
      <w:r w:rsidRPr="00A27C50">
        <w:t>svarades av samarbetsminis</w:t>
      </w:r>
      <w:r w:rsidRPr="00A27C50">
        <w:t>t</w:t>
      </w:r>
      <w:r w:rsidRPr="00A27C50">
        <w:t xml:space="preserve">rarna, för svensk del av Berit Andnor. </w:t>
      </w:r>
    </w:p>
    <w:p w:rsidR="000D6448" w:rsidRPr="00A27C50" w:rsidRDefault="000D6448">
      <w:pPr>
        <w:pStyle w:val="Normaltindrag"/>
      </w:pPr>
      <w:r w:rsidRPr="00A27C50">
        <w:t>Svenska rådsmedlemmar ställde frågor som berörde gränshinder mellan nordiska länder, bl.a. om dyra penningtransaktioner och penningöverföringar mellan de nordiska länderna – för andra året i följd till Danmarks regering – om gränshinder vid fordonsregistrering, om interna gränshinder i Danmark, dvs. gentemot Bornholm, om alkoholskatter och alkoholpolitik, om vägfö</w:t>
      </w:r>
      <w:r w:rsidRPr="00A27C50">
        <w:t>r</w:t>
      </w:r>
      <w:r w:rsidRPr="00A27C50">
        <w:t>bindelserna mellan Norge och Sverige, om lågt valdeltagande vid EU-val, om hotet mot den reglerade spelmarknaden och om hjälp till människor med spelberoende. Till samarbetsministern ställdes frågor om finska språkets ställning i Sverige och minimibestämmelser vad gäller minoritetsspråk samt om  pornografiseringen av det offentliga rummet.</w:t>
      </w:r>
    </w:p>
    <w:p w:rsidR="000D6448" w:rsidRPr="00A27C50" w:rsidRDefault="000D6448">
      <w:pPr>
        <w:pStyle w:val="Rubrik2"/>
      </w:pPr>
      <w:r w:rsidRPr="00A27C50">
        <w:t>Nordiska rådets priser</w:t>
      </w:r>
    </w:p>
    <w:p w:rsidR="000D6448" w:rsidRPr="00A27C50" w:rsidRDefault="000D6448">
      <w:r w:rsidRPr="00A27C50">
        <w:t>Den finske författaren Kari Hotakainen fick Nordiska rådets litteraturpris år 2004 för romanen ”Löpgravsvägen”. Han fick det med motiveringen att ”Löpgravsvägen” skildrar upplösningen av det nordiska välfärdssamhället, parodierar och ironiserar sin samtid och inte minst den traditionella mansro</w:t>
      </w:r>
      <w:r w:rsidRPr="00A27C50">
        <w:t>l</w:t>
      </w:r>
      <w:r w:rsidRPr="00A27C50">
        <w:t>len.</w:t>
      </w:r>
    </w:p>
    <w:p w:rsidR="000D6448" w:rsidRPr="00A27C50" w:rsidRDefault="000D6448">
      <w:pPr>
        <w:pStyle w:val="Normaltindrag"/>
      </w:pPr>
      <w:r w:rsidRPr="00A27C50">
        <w:t>Operakompositören Haukur Tómasson belönades med Nordiska rådets musikpris 2004 för operan ”Gudruns fjärde sång”. Operan om Gudrun är en berättelse hämtad ur den isländska sagoskatten Eddan.</w:t>
      </w:r>
    </w:p>
    <w:p w:rsidR="000D6448" w:rsidRPr="00A27C50" w:rsidRDefault="000D6448">
      <w:pPr>
        <w:pStyle w:val="Normaltindrag"/>
      </w:pPr>
      <w:r w:rsidRPr="00A27C50">
        <w:t>Coalition Clean Baltic fick Nordiska rådets natur- och miljöpris. Årets tema var beskydd av den nordiska havsmiljön. Motiveringen var att de på ett föredömligt sätt kopplat samman nordiska, baltiska och andra miljöorganis</w:t>
      </w:r>
      <w:r w:rsidRPr="00A27C50">
        <w:t>a</w:t>
      </w:r>
      <w:r w:rsidRPr="00A27C50">
        <w:t>tioner i ett nätverk. Därigenom har man kunnat väcka uppmärksamhet och skapa opinion kring en av Nordens största miljöfrågor, den hotade havsmiljön i Östersjön.</w:t>
      </w:r>
    </w:p>
    <w:p w:rsidR="000D6448" w:rsidRPr="00A27C50" w:rsidRDefault="000D6448">
      <w:pPr>
        <w:rPr>
          <w:i/>
        </w:rPr>
      </w:pPr>
      <w:r w:rsidRPr="00A27C50">
        <w:rPr>
          <w:i/>
        </w:rPr>
        <w:t>Den fullständiga texten till debatterna samt frågorna och svaren återfinns i det tryckta protokollet från sessionen.</w:t>
      </w:r>
    </w:p>
    <w:p w:rsidR="000D6448" w:rsidRPr="00A27C50" w:rsidRDefault="000D6448"/>
    <w:p w:rsidR="000D6448" w:rsidRPr="00A27C50" w:rsidRDefault="000D6448"/>
    <w:p w:rsidR="000D6448" w:rsidRPr="00A27C50" w:rsidRDefault="000D6448">
      <w:pPr>
        <w:rPr>
          <w:sz w:val="28"/>
        </w:rPr>
        <w:sectPr w:rsidR="000D6448" w:rsidRPr="00A27C5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0D6448" w:rsidRPr="00A27C50" w:rsidRDefault="000D6448">
      <w:pPr>
        <w:pStyle w:val="Rubrik1"/>
        <w:rPr>
          <w:noProof w:val="0"/>
        </w:rPr>
      </w:pPr>
      <w:bookmarkStart w:id="16" w:name="_Toc98294588"/>
      <w:r w:rsidRPr="00A27C50">
        <w:rPr>
          <w:noProof w:val="0"/>
        </w:rPr>
        <w:t>8 Presidiet, utskotten och kontrollkommittén</w:t>
      </w:r>
      <w:bookmarkEnd w:id="16"/>
    </w:p>
    <w:p w:rsidR="000D6448" w:rsidRPr="00A27C50" w:rsidRDefault="000D6448">
      <w:r w:rsidRPr="00A27C50">
        <w:t>I juni 2004 beslöts att etablera ett nordiskt forum för forskning och innov</w:t>
      </w:r>
      <w:r w:rsidRPr="00A27C50">
        <w:t>a</w:t>
      </w:r>
      <w:r w:rsidRPr="00A27C50">
        <w:t>tion. Målet är att genom samarbete göra de nordiska länderna mer konku</w:t>
      </w:r>
      <w:r w:rsidRPr="00A27C50">
        <w:t>r</w:t>
      </w:r>
      <w:r w:rsidRPr="00A27C50">
        <w:t>renskraftiga inom EU och globalt. Den 1 november undertecknades en ny nordisk överenskommelse om folkbokföring som underlättar för nordiska medborgare att flytta mellan länderna. En ny överenskommelse har också träffats när det gäller erkännande av varandras yrkesutbildning på gymnasi</w:t>
      </w:r>
      <w:r w:rsidRPr="00A27C50">
        <w:t>e</w:t>
      </w:r>
      <w:r w:rsidRPr="00A27C50">
        <w:t>nivå. En ny deklaration angående erkännande av högre utbildning har ant</w:t>
      </w:r>
      <w:r w:rsidRPr="00A27C50">
        <w:t>a</w:t>
      </w:r>
      <w:r w:rsidRPr="00A27C50">
        <w:t>gits. I Öresundsregionen har etablerats en elektronisk arbetsförmedling på Inte</w:t>
      </w:r>
      <w:r w:rsidRPr="00A27C50">
        <w:t>r</w:t>
      </w:r>
      <w:r w:rsidRPr="00A27C50">
        <w:t>net så att det blir lättare både att söka arbete och att få arbetskraft.</w:t>
      </w:r>
    </w:p>
    <w:p w:rsidR="000D6448" w:rsidRPr="00A27C50" w:rsidRDefault="000D6448">
      <w:pPr>
        <w:pStyle w:val="Normaltindrag"/>
      </w:pPr>
      <w:r w:rsidRPr="00A27C50">
        <w:t>Detta är några exempel på resultat av det nordiska samarbetet. Här nedan redovisas ytterligare åtgärder som vidtagits under året i rådets presidium, fem fackutskott och kontrol</w:t>
      </w:r>
      <w:r w:rsidRPr="00A27C50">
        <w:t>l</w:t>
      </w:r>
      <w:r w:rsidRPr="00A27C50">
        <w:t>kommittén för att främja det nordiska samarbetet.</w:t>
      </w:r>
    </w:p>
    <w:p w:rsidR="000D6448" w:rsidRPr="00A27C50" w:rsidRDefault="000D6448">
      <w:pPr>
        <w:pStyle w:val="Rubrik2"/>
      </w:pPr>
      <w:r w:rsidRPr="00A27C50">
        <w:t>Presidiet</w:t>
      </w:r>
    </w:p>
    <w:p w:rsidR="000D6448" w:rsidRPr="00A27C50" w:rsidRDefault="000D6448">
      <w:r w:rsidRPr="00A27C50">
        <w:t xml:space="preserve">Nordiska rådets presidium består av en president och högst tolv andra valda medlemmar som utses av plenarförsamlingen. Varje land och partigrupp bör vara representerade i presidiet. Presidiet är rådets högsta beslutande organ då plenarförsamlingen inte är samlad. </w:t>
      </w:r>
    </w:p>
    <w:p w:rsidR="000D6448" w:rsidRPr="00A27C50" w:rsidRDefault="000D6448">
      <w:pPr>
        <w:pStyle w:val="Normaltindrag"/>
      </w:pPr>
      <w:r w:rsidRPr="00A27C50">
        <w:t xml:space="preserve">Presidiet bereder övergripande politiska frågor, den allmänna inriktningen och utvecklingen av rådets verksamhet samt tillser att rådets verksamhet samordnas med verksamheten i de nationella parlamenten och internationella organisationer. Presidiet behandlar även budgeten för det nordiska samarbetet samt utrikes- och säkerhetspolitik. Svenska representanter i presidiet har varit Gabriel Romanus, som 2004 också var rådets president, Anita Johansson, som 2004 var rådets vice president, och Kent Olsson. </w:t>
      </w:r>
    </w:p>
    <w:p w:rsidR="000D6448" w:rsidRPr="00A27C50" w:rsidRDefault="000D6448">
      <w:pPr>
        <w:pStyle w:val="Normaltindrag"/>
      </w:pPr>
      <w:r w:rsidRPr="00A27C50">
        <w:t>Prioriteringar under året har varit avlägsnandet av gränshinder och min</w:t>
      </w:r>
      <w:r w:rsidRPr="00A27C50">
        <w:t>s</w:t>
      </w:r>
      <w:r w:rsidRPr="00A27C50">
        <w:t>kad friktion för den fria rörligheten, liksom en starkare förankring av det nordiska samarbetet i de nationella parlamenten. Samarbetet med Baltiska församlingen har också varit högt prioriterat liksom Nordens och det nordiska samarbetets roll i ett nytt Europa. Bättre samarbete för att förhindra männ</w:t>
      </w:r>
      <w:r w:rsidRPr="00A27C50">
        <w:t>i</w:t>
      </w:r>
      <w:r w:rsidRPr="00A27C50">
        <w:t>skohandel för sexuella ändamål har stått högt på dagordningen. Såsom tidig</w:t>
      </w:r>
      <w:r w:rsidRPr="00A27C50">
        <w:t>a</w:t>
      </w:r>
      <w:r w:rsidRPr="00A27C50">
        <w:t>re nämnts har presidiet också vid ett flertal tillfällen diskuterat det nordiska samarbetets roll i en förändrad omvärld och särskilt då tankarna på ett parl</w:t>
      </w:r>
      <w:r w:rsidRPr="00A27C50">
        <w:t>a</w:t>
      </w:r>
      <w:r w:rsidRPr="00A27C50">
        <w:t>mentariskt partnerskap för norra Europa.</w:t>
      </w:r>
    </w:p>
    <w:p w:rsidR="000D6448" w:rsidRPr="00A27C50" w:rsidRDefault="000D6448">
      <w:pPr>
        <w:pStyle w:val="Normaltindrag"/>
      </w:pPr>
      <w:r w:rsidRPr="00A27C50">
        <w:t>Medlemmar av presidiet har mött representanter för ryska federationsrådet och statsduman och Västnordiska rådet samt deltagit i Baltiska församlingens, Benelux interparlamentariska församling, OSSE:s och British-Irish Interparl</w:t>
      </w:r>
      <w:r w:rsidRPr="00A27C50">
        <w:t>i</w:t>
      </w:r>
      <w:r w:rsidRPr="00A27C50">
        <w:t>amentary Bodys (BIIPB) sessioner och hållit möten med dessa organisati</w:t>
      </w:r>
      <w:r w:rsidRPr="00A27C50">
        <w:t>o</w:t>
      </w:r>
      <w:r w:rsidRPr="00A27C50">
        <w:t xml:space="preserve">ners presidier. Presidiet har även mött representanter för Europaparlamentet och Europarådet. </w:t>
      </w:r>
    </w:p>
    <w:p w:rsidR="000D6448" w:rsidRPr="00A27C50" w:rsidRDefault="000D6448">
      <w:pPr>
        <w:pStyle w:val="Normaltindrag"/>
      </w:pPr>
      <w:r w:rsidRPr="00A27C50">
        <w:t>Nordiska rådets kontakter med nordvästra Ryssland intensifierades under året särskilt genom samarbete med North West Parliamentary Association (NWPA). Under rådets session i Stockholm framfördes från rysk sida önsk</w:t>
      </w:r>
      <w:r w:rsidRPr="00A27C50">
        <w:t>e</w:t>
      </w:r>
      <w:r w:rsidRPr="00A27C50">
        <w:t>mål om konkret samarbete inom bl.a. företagsamhet och lokalt självstyre samt bättre möjligheter för ryska ungdomar att studera i de nordiska länderna. I diskussioner mellan EU, Ryssland, Baltikum och Norden vid ett rundabord</w:t>
      </w:r>
      <w:r w:rsidRPr="00A27C50">
        <w:t>s</w:t>
      </w:r>
      <w:r w:rsidRPr="00A27C50">
        <w:t>samtal framkom förslag om ett parlamentariskt forum för den Nordliga d</w:t>
      </w:r>
      <w:r w:rsidRPr="00A27C50">
        <w:t>i</w:t>
      </w:r>
      <w:r w:rsidRPr="00A27C50">
        <w:t xml:space="preserve">mensionen.   </w:t>
      </w:r>
    </w:p>
    <w:p w:rsidR="000D6448" w:rsidRPr="00A27C50" w:rsidRDefault="000D6448">
      <w:pPr>
        <w:pStyle w:val="Normaltindrag"/>
      </w:pPr>
      <w:r w:rsidRPr="00A27C50">
        <w:t>Viktiga ärenden som presidiet förde fram till sessionen var ministerråd</w:t>
      </w:r>
      <w:r w:rsidRPr="00A27C50">
        <w:t>s</w:t>
      </w:r>
      <w:r w:rsidRPr="00A27C50">
        <w:t>förslaget om det nordiska samarbetets budget för 2005 samt redogörelsen för planerna för det nordiska samarbetet och två ministerrådsförslag om en str</w:t>
      </w:r>
      <w:r w:rsidRPr="00A27C50">
        <w:t>a</w:t>
      </w:r>
      <w:r w:rsidRPr="00A27C50">
        <w:t>tegi för</w:t>
      </w:r>
      <w:r w:rsidRPr="00A27C50">
        <w:rPr>
          <w:i/>
        </w:rPr>
        <w:t xml:space="preserve"> </w:t>
      </w:r>
      <w:r w:rsidRPr="00A27C50">
        <w:t>samarbetet med Estland, Lettland och Litauen 2006–2008 respektive samarbetet med nordvästra Ryssland 2006–2008.</w:t>
      </w:r>
    </w:p>
    <w:p w:rsidR="000D6448" w:rsidRPr="00A27C50" w:rsidRDefault="000D6448">
      <w:pPr>
        <w:pStyle w:val="Rubrik2"/>
      </w:pPr>
      <w:r w:rsidRPr="00A27C50">
        <w:t>Kultur- och utbildningsutskottet</w:t>
      </w:r>
    </w:p>
    <w:p w:rsidR="000D6448" w:rsidRPr="00A27C50" w:rsidRDefault="000D6448">
      <w:r w:rsidRPr="00A27C50">
        <w:t>Inom kultur- och utbildningsutskottets område behandlas frågor rörande kultur, dvs. allmän kultur och konst, ett mångkulturellt och multietniskt No</w:t>
      </w:r>
      <w:r w:rsidRPr="00A27C50">
        <w:t>r</w:t>
      </w:r>
      <w:r w:rsidRPr="00A27C50">
        <w:t>den, film och medier, språk, idrott, barn- och ungdomskultur samt frivilli</w:t>
      </w:r>
      <w:r w:rsidRPr="00A27C50">
        <w:t>g</w:t>
      </w:r>
      <w:r w:rsidRPr="00A27C50">
        <w:t>sektorn, och dessutom behandlas utbildning, undervisning och forskning. Svenska medlemmar har under året varit Lars Wegendal (ordförande), Heli Berg, Tuve Skånberg samt Nils-Erik S</w:t>
      </w:r>
      <w:r w:rsidRPr="00A27C50">
        <w:t>ö</w:t>
      </w:r>
      <w:r w:rsidRPr="00A27C50">
        <w:t>derqvist.</w:t>
      </w:r>
    </w:p>
    <w:p w:rsidR="000D6448" w:rsidRPr="00A27C50" w:rsidRDefault="000D6448">
      <w:pPr>
        <w:pStyle w:val="Normaltindrag"/>
      </w:pPr>
      <w:r w:rsidRPr="00A27C50">
        <w:t xml:space="preserve">I samband med utskottets februarimöte hölls en dialogkonferens om </w:t>
      </w:r>
      <w:r w:rsidRPr="00A27C50">
        <w:rPr>
          <w:i/>
        </w:rPr>
        <w:t>Kval</w:t>
      </w:r>
      <w:r w:rsidRPr="00A27C50">
        <w:rPr>
          <w:i/>
        </w:rPr>
        <w:t>i</w:t>
      </w:r>
      <w:r w:rsidRPr="00A27C50">
        <w:rPr>
          <w:i/>
        </w:rPr>
        <w:t>tet i skolan</w:t>
      </w:r>
      <w:r w:rsidRPr="00A27C50">
        <w:t xml:space="preserve"> med deltagare från de nationella parlamentens utbildningsu</w:t>
      </w:r>
      <w:r w:rsidRPr="00A27C50">
        <w:t>t</w:t>
      </w:r>
      <w:r w:rsidRPr="00A27C50">
        <w:t>skott, lärarföreningar, skolledarföreningar, forskare, elevorganisationer, fö</w:t>
      </w:r>
      <w:r w:rsidRPr="00A27C50">
        <w:t>r</w:t>
      </w:r>
      <w:r w:rsidRPr="00A27C50">
        <w:t>äldrar samt deltagare från Baltiska församlingen och Nordiska rådet. Konf</w:t>
      </w:r>
      <w:r w:rsidRPr="00A27C50">
        <w:t>e</w:t>
      </w:r>
      <w:r w:rsidRPr="00A27C50">
        <w:t>rensen behandlade det utvecklingsarbete som sker inom skolans område. Mot ba</w:t>
      </w:r>
      <w:r w:rsidRPr="00A27C50">
        <w:t>k</w:t>
      </w:r>
      <w:r w:rsidRPr="00A27C50">
        <w:t>grund av bl.a. OECD:s Pisaundersökningar diskuterades brister i skolsyst</w:t>
      </w:r>
      <w:r w:rsidRPr="00A27C50">
        <w:t>e</w:t>
      </w:r>
      <w:r w:rsidRPr="00A27C50">
        <w:t xml:space="preserve">men. En </w:t>
      </w:r>
      <w:r w:rsidRPr="00A27C50">
        <w:rPr>
          <w:i/>
        </w:rPr>
        <w:t>arbetsgrupp om kvalitet i skolan</w:t>
      </w:r>
      <w:r w:rsidRPr="00A27C50">
        <w:t xml:space="preserve">, ledd av Nils-Erik Söderqvist, hade arrangerat konferensen. Arbetet med detta ämne fortsatte under året i </w:t>
      </w:r>
      <w:r w:rsidRPr="00A27C50">
        <w:rPr>
          <w:i/>
        </w:rPr>
        <w:t>arbet</w:t>
      </w:r>
      <w:r w:rsidRPr="00A27C50">
        <w:rPr>
          <w:i/>
        </w:rPr>
        <w:t>s</w:t>
      </w:r>
      <w:r w:rsidRPr="00A27C50">
        <w:rPr>
          <w:i/>
        </w:rPr>
        <w:t xml:space="preserve">gruppen om Baltikum </w:t>
      </w:r>
      <w:r w:rsidRPr="00A27C50">
        <w:t>med studiebesök i skolor samt ett miniseminar</w:t>
      </w:r>
      <w:r w:rsidRPr="00A27C50">
        <w:t>i</w:t>
      </w:r>
      <w:r w:rsidRPr="00A27C50">
        <w:t xml:space="preserve">um i Litauen. </w:t>
      </w:r>
    </w:p>
    <w:p w:rsidR="000D6448" w:rsidRPr="00A27C50" w:rsidRDefault="000D6448">
      <w:pPr>
        <w:pStyle w:val="Normaltindrag"/>
      </w:pPr>
      <w:r w:rsidRPr="00A27C50">
        <w:t xml:space="preserve">Utskottet har under året fortsatt att utveckla samarbetet på </w:t>
      </w:r>
      <w:r w:rsidRPr="00A27C50">
        <w:rPr>
          <w:i/>
        </w:rPr>
        <w:t>forskningso</w:t>
      </w:r>
      <w:r w:rsidRPr="00A27C50">
        <w:rPr>
          <w:i/>
        </w:rPr>
        <w:t>m</w:t>
      </w:r>
      <w:r w:rsidRPr="00A27C50">
        <w:rPr>
          <w:i/>
        </w:rPr>
        <w:t>rådet</w:t>
      </w:r>
      <w:r w:rsidRPr="00A27C50">
        <w:t>. På ett möte under rådets session med Nordiska ministerrådet diskuter</w:t>
      </w:r>
      <w:r w:rsidRPr="00A27C50">
        <w:t>a</w:t>
      </w:r>
      <w:r w:rsidRPr="00A27C50">
        <w:t xml:space="preserve">des det framtida nordiska samarbetet kring forskning och innovation mot bakgrund av </w:t>
      </w:r>
      <w:r w:rsidRPr="00A27C50">
        <w:rPr>
          <w:i/>
        </w:rPr>
        <w:t>vitboken Noria</w:t>
      </w:r>
      <w:r w:rsidRPr="00A27C50">
        <w:t xml:space="preserve"> som rekommenderar att ett nordiskt rum för forskning och innovation upprättas i syfte att stärka Norden i den globala konkurrensen. Diskussionen hölls mot bakgrund av att de nordiska näring</w:t>
      </w:r>
      <w:r w:rsidRPr="00A27C50">
        <w:t>s</w:t>
      </w:r>
      <w:r w:rsidRPr="00A27C50">
        <w:t>ministrarna utvecklat ett nytt samarbetsprogram kring innovation som bas</w:t>
      </w:r>
      <w:r w:rsidRPr="00A27C50">
        <w:t>e</w:t>
      </w:r>
      <w:r w:rsidRPr="00A27C50">
        <w:t>rats på den innov</w:t>
      </w:r>
      <w:r w:rsidRPr="00A27C50">
        <w:t>a</w:t>
      </w:r>
      <w:r w:rsidRPr="00A27C50">
        <w:t xml:space="preserve">tionsbok som utarbetats under det gångna året. </w:t>
      </w:r>
    </w:p>
    <w:p w:rsidR="000D6448" w:rsidRPr="00A27C50" w:rsidRDefault="000D6448">
      <w:pPr>
        <w:pStyle w:val="Normaltindrag"/>
      </w:pPr>
      <w:r w:rsidRPr="00A27C50">
        <w:t xml:space="preserve">Ett medlemsförslag om </w:t>
      </w:r>
      <w:r w:rsidRPr="00A27C50">
        <w:rPr>
          <w:i/>
        </w:rPr>
        <w:t>folkbildning</w:t>
      </w:r>
      <w:r w:rsidRPr="00A27C50">
        <w:t xml:space="preserve"> lades fram mot bakgrund av Nordiska ministerrådets planer på en ny struktur för området och att den stödordning som varit målstyrd till de nordiska blockorganisationerna skulle ändras till att bli projektinriktad genom organisationen Nordiskt nätverk för vuxnas lärande. Planerna innebär även att Nordens folkliga akademi läggs ned. I medlemsfö</w:t>
      </w:r>
      <w:r w:rsidRPr="00A27C50">
        <w:t>r</w:t>
      </w:r>
      <w:r w:rsidRPr="00A27C50">
        <w:t xml:space="preserve">slaget föreslogs att blockstödet till nordiska frivilligorganisationer skulle bibehållas inom ramen för Nordiska ministerrådets budget och att det skulle tas initiativ till en kvalitetssäkrad utvärdering av Nordens folkliga akademi. </w:t>
      </w:r>
    </w:p>
    <w:p w:rsidR="000D6448" w:rsidRPr="00A27C50" w:rsidRDefault="000D6448">
      <w:pPr>
        <w:pStyle w:val="Normaltindrag"/>
      </w:pPr>
      <w:r w:rsidRPr="00A27C50">
        <w:t>Flertalet i utskottet gick emot medlemsförslaget och stödde i stället mini</w:t>
      </w:r>
      <w:r w:rsidRPr="00A27C50">
        <w:t>s</w:t>
      </w:r>
      <w:r w:rsidRPr="00A27C50">
        <w:t xml:space="preserve">terrådets planer. Mindretalet i utskottet reserverade sig mot beslutet. Vid sessionen enades dock de båda parterna om en </w:t>
      </w:r>
      <w:r w:rsidRPr="00A27C50">
        <w:rPr>
          <w:i/>
        </w:rPr>
        <w:t>kompromiss</w:t>
      </w:r>
      <w:r w:rsidRPr="00A27C50">
        <w:t xml:space="preserve"> i form av ett tillägg till utskottets förslag. Presidiet stödde kompromissen och församlingen antog en rekommendation till Nordiska ministerrådet om att de nordiska folkbildningsorganisationerna tilldelas ett verksamhetsbidrag på 1 miljon DKK under 2005 för att underlätta omställningen. En utvärdering skall ske efter ett år för att se om bidragen givit ett nordiskt mervärde. Även organis</w:t>
      </w:r>
      <w:r w:rsidRPr="00A27C50">
        <w:t>a</w:t>
      </w:r>
      <w:r w:rsidRPr="00A27C50">
        <w:t>tionen Nordiskt nätverk för vuxnas lärande skall evalueras efter ett år.</w:t>
      </w:r>
    </w:p>
    <w:p w:rsidR="000D6448" w:rsidRPr="00A27C50" w:rsidRDefault="000D6448">
      <w:pPr>
        <w:pStyle w:val="Normaltindrag"/>
      </w:pPr>
      <w:r w:rsidRPr="00A27C50">
        <w:t xml:space="preserve">Utskottets </w:t>
      </w:r>
      <w:r w:rsidRPr="00A27C50">
        <w:rPr>
          <w:i/>
        </w:rPr>
        <w:t>arbetsgrupp om en nordisk dimension i lagstiftningen om bi</w:t>
      </w:r>
      <w:r w:rsidRPr="00A27C50">
        <w:rPr>
          <w:i/>
        </w:rPr>
        <w:t>o</w:t>
      </w:r>
      <w:r w:rsidRPr="00A27C50">
        <w:rPr>
          <w:i/>
        </w:rPr>
        <w:t>teknologi och bioetik</w:t>
      </w:r>
      <w:r w:rsidRPr="00A27C50">
        <w:t xml:space="preserve"> har under året varit tvärfackligt sammansatt under le</w:t>
      </w:r>
      <w:r w:rsidRPr="00A27C50">
        <w:t>d</w:t>
      </w:r>
      <w:r w:rsidRPr="00A27C50">
        <w:t xml:space="preserve">ning av Britt Hildeng, Norge. Gruppen förberedde under året ett seminarium som hölls i januari 2005 i samarbete med Nordiska bioetiska kommittén och med deltagande av forskare på området. </w:t>
      </w:r>
    </w:p>
    <w:p w:rsidR="000D6448" w:rsidRPr="00A27C50" w:rsidRDefault="000D6448">
      <w:pPr>
        <w:pStyle w:val="Normaltindrag"/>
      </w:pPr>
      <w:r w:rsidRPr="00A27C50">
        <w:rPr>
          <w:i/>
        </w:rPr>
        <w:t>Arbetsgruppen om nordisk grannlands-TV</w:t>
      </w:r>
      <w:r w:rsidRPr="00A27C50">
        <w:t xml:space="preserve"> avslutade vid sessionen sitt a</w:t>
      </w:r>
      <w:r w:rsidRPr="00A27C50">
        <w:t>r</w:t>
      </w:r>
      <w:r w:rsidRPr="00A27C50">
        <w:t>bete med att lägga fram en redogörelse. Gruppen uppfordrade till ett starkare samarbete och ser möjlighet till detta speciellt inom nordisk text-TV och en eventuell barnkanal. Gruppens majoritet ansåg att etablerandet av en överor</w:t>
      </w:r>
      <w:r w:rsidRPr="00A27C50">
        <w:t>d</w:t>
      </w:r>
      <w:r w:rsidRPr="00A27C50">
        <w:t>nad nordisk TV-kanal var alltför kostnadskrävande och därför orealistiskt och bör därmed avslutas. Utskottet ställde sig bakom slutsatserna.</w:t>
      </w:r>
    </w:p>
    <w:p w:rsidR="000D6448" w:rsidRPr="00A27C50" w:rsidRDefault="000D6448">
      <w:pPr>
        <w:pStyle w:val="Normaltindrag"/>
      </w:pPr>
      <w:r w:rsidRPr="00A27C50">
        <w:t xml:space="preserve">Utskottet har under året diskuterat nordiskt samarbete på </w:t>
      </w:r>
      <w:r w:rsidRPr="00A27C50">
        <w:rPr>
          <w:i/>
        </w:rPr>
        <w:t>kulturområdet</w:t>
      </w:r>
      <w:r w:rsidRPr="00A27C50">
        <w:t xml:space="preserve"> mot bakgrund av förslaget till Nordiska ministerrådets nya handlingsplan på kulturområdet samt av Nordiska ministerrådets rapport ”Nordiska konstrådet – en ny aktör i Nordiska ministerrådets kultursamarbete” som utarbetats av Ann Sandelin på kulturministrarnas uppdrag. Rapporten, som innehåller förslag till strukturförändringar, bl.a. upprättande av ett nordiskt konstråd, diskuterades på ett möte mellan utskottet och de nordiska kulturministrarna under sessionen. </w:t>
      </w:r>
    </w:p>
    <w:p w:rsidR="000D6448" w:rsidRPr="00A27C50" w:rsidRDefault="000D6448">
      <w:pPr>
        <w:pStyle w:val="Normaltindrag"/>
        <w:rPr>
          <w:i/>
        </w:rPr>
      </w:pPr>
      <w:r w:rsidRPr="00A27C50">
        <w:t xml:space="preserve">Bland andra frågor som utskottet har behandlat under året återfinns </w:t>
      </w:r>
      <w:r w:rsidRPr="00A27C50">
        <w:rPr>
          <w:i/>
        </w:rPr>
        <w:t>sta</w:t>
      </w:r>
      <w:r w:rsidRPr="00A27C50">
        <w:rPr>
          <w:i/>
        </w:rPr>
        <w:t>d</w:t>
      </w:r>
      <w:r w:rsidRPr="00A27C50">
        <w:rPr>
          <w:i/>
        </w:rPr>
        <w:t>garna för nordiskt filmpris</w:t>
      </w:r>
      <w:r w:rsidRPr="00A27C50">
        <w:t xml:space="preserve"> och upprättandet av </w:t>
      </w:r>
      <w:r w:rsidRPr="00A27C50">
        <w:rPr>
          <w:i/>
        </w:rPr>
        <w:t>Östersjöns kulturfond</w:t>
      </w:r>
      <w:r w:rsidRPr="00A27C50">
        <w:t>. Vid sessionen antogs även en r</w:t>
      </w:r>
      <w:r w:rsidRPr="00A27C50">
        <w:t>e</w:t>
      </w:r>
      <w:r w:rsidRPr="00A27C50">
        <w:t xml:space="preserve">kommendation om inrättandet av en </w:t>
      </w:r>
      <w:r w:rsidRPr="00A27C50">
        <w:rPr>
          <w:i/>
        </w:rPr>
        <w:t>nordisk-baltisk MBA-utbildning inom</w:t>
      </w:r>
      <w:r w:rsidRPr="00A27C50">
        <w:t xml:space="preserve"> </w:t>
      </w:r>
      <w:r w:rsidRPr="00A27C50">
        <w:rPr>
          <w:i/>
        </w:rPr>
        <w:t>design.</w:t>
      </w:r>
      <w:r w:rsidRPr="00A27C50">
        <w:t xml:space="preserve"> </w:t>
      </w:r>
    </w:p>
    <w:p w:rsidR="000D6448" w:rsidRPr="00A27C50" w:rsidRDefault="000D6448">
      <w:pPr>
        <w:pStyle w:val="Rubrik2"/>
      </w:pPr>
      <w:r w:rsidRPr="00A27C50">
        <w:t>Välfärdsutskottet</w:t>
      </w:r>
    </w:p>
    <w:p w:rsidR="000D6448" w:rsidRPr="00A27C50" w:rsidRDefault="000D6448">
      <w:r w:rsidRPr="00A27C50">
        <w:t>Välfärdsutskottet svarar för ärenden som rör välfärds- och trygghetssystem, social- och hälsovård, handikapp, bostadspolitik, familj, barn och unga samt alkohol och narkotika. Margareta Israelsson har varit den enda svenska me</w:t>
      </w:r>
      <w:r w:rsidRPr="00A27C50">
        <w:t>d</w:t>
      </w:r>
      <w:r w:rsidRPr="00A27C50">
        <w:t>lemmen i utskottet.</w:t>
      </w:r>
    </w:p>
    <w:p w:rsidR="000D6448" w:rsidRPr="00A27C50" w:rsidRDefault="000D6448">
      <w:pPr>
        <w:pStyle w:val="Normaltindrag"/>
      </w:pPr>
      <w:r w:rsidRPr="00A27C50">
        <w:t>Välfärdsutskottet har under året främst arbetat med frågor som rör probl</w:t>
      </w:r>
      <w:r w:rsidRPr="00A27C50">
        <w:t>e</w:t>
      </w:r>
      <w:r w:rsidRPr="00A27C50">
        <w:t>matiken omkring den åldrande befolkningen samt hälsovårdssektorns och välfärdssamhällets struktur och finansiering. Detta har man gjort genom att arrangera utfrågningar, dels om äldreomsorgen i Norden, dels om sjukfrånv</w:t>
      </w:r>
      <w:r w:rsidRPr="00A27C50">
        <w:t>a</w:t>
      </w:r>
      <w:r w:rsidRPr="00A27C50">
        <w:t>ron i Norden. Utskottet informerade sig även på plats om den danska äldr</w:t>
      </w:r>
      <w:r w:rsidRPr="00A27C50">
        <w:t>e</w:t>
      </w:r>
      <w:r w:rsidRPr="00A27C50">
        <w:t xml:space="preserve">vården och den kommande danska kommunreformen. </w:t>
      </w:r>
    </w:p>
    <w:p w:rsidR="000D6448" w:rsidRPr="00A27C50" w:rsidRDefault="000D6448">
      <w:pPr>
        <w:pStyle w:val="Normaltindrag"/>
      </w:pPr>
      <w:r w:rsidRPr="00A27C50">
        <w:t>Utskottet har under året fortlöpande fört en dialog om sina arbetsformer där man uttalat att man i framtiden kommer att fördjupa sig i ett mindre antal frågor och driva dem på ett mera djuplodande sätt för att få bättre diskussi</w:t>
      </w:r>
      <w:r w:rsidRPr="00A27C50">
        <w:t>o</w:t>
      </w:r>
      <w:r w:rsidRPr="00A27C50">
        <w:t xml:space="preserve">ner och beslutsunderlag. Utskottet har även framfört kritik mot ministerrådets svar på de rekommendationer som lämnats på utskottets område, vilka man ansett vara svaga och inte svarat på rekommendationernas uppmaningar. </w:t>
      </w:r>
    </w:p>
    <w:p w:rsidR="000D6448" w:rsidRPr="00A27C50" w:rsidRDefault="000D6448">
      <w:pPr>
        <w:pStyle w:val="Normaltindrag"/>
      </w:pPr>
      <w:r w:rsidRPr="00A27C50">
        <w:t>Som en del av Nordiska rådets temamöte om den nordliga dimensionen a</w:t>
      </w:r>
      <w:r w:rsidRPr="00A27C50">
        <w:t>r</w:t>
      </w:r>
      <w:r w:rsidRPr="00A27C50">
        <w:t>rangerade välfärdsutskottet ett seminarium, The Northern Dimension Partne</w:t>
      </w:r>
      <w:r w:rsidRPr="00A27C50">
        <w:t>r</w:t>
      </w:r>
      <w:r w:rsidRPr="00A27C50">
        <w:t>ship in Public Health and Social Wellbeing. Under seminariet behandlades frågorna om spridningen av tuberkulos och hiv/aids i Ryssland – vilket är en angelägen fråga för de nordiska länderna då sjukdomar inte känner några landgränser – spridningen av välfärdssjukdomar som diabetes och överdö</w:t>
      </w:r>
      <w:r w:rsidRPr="00A27C50">
        <w:t>d</w:t>
      </w:r>
      <w:r w:rsidRPr="00A27C50">
        <w:t xml:space="preserve">ligheten i trafiken på grund av alkoholmissbruk.   </w:t>
      </w:r>
    </w:p>
    <w:p w:rsidR="000D6448" w:rsidRPr="00A27C50" w:rsidRDefault="000D6448">
      <w:pPr>
        <w:pStyle w:val="Normaltindrag"/>
      </w:pPr>
      <w:r w:rsidRPr="00A27C50">
        <w:t>I samband med utskottets behandling av ett medlemsförslag om att inbjuda de baltiska staterna att delta i Nordiska nämnden för alkohol- och drogfors</w:t>
      </w:r>
      <w:r w:rsidRPr="00A27C50">
        <w:t>k</w:t>
      </w:r>
      <w:r w:rsidRPr="00A27C50">
        <w:t>ning (NAD) hade utskottet bjudit in en representant för nämnden till sitt möte i Mariehamn för att höra dess syn på vilka konsekvenser ett baltiskt medle</w:t>
      </w:r>
      <w:r w:rsidRPr="00A27C50">
        <w:t>m</w:t>
      </w:r>
      <w:r w:rsidRPr="00A27C50">
        <w:t>skap skulle få för nämndens verksamhet. Mot bakgrund av denna information föreslog utskottet att rådet inte skulle företa sig något med anledning av fö</w:t>
      </w:r>
      <w:r w:rsidRPr="00A27C50">
        <w:t>r</w:t>
      </w:r>
      <w:r w:rsidRPr="00A27C50">
        <w:t xml:space="preserve">slaget eftersom det redan fanns ett väl fungerande samarbete med de baltiska länderna om dessa frågor och ett utvidgat medlemskap riskerade att innebära att en större andel av medlen skulle gå till administrativa kostnader.  </w:t>
      </w:r>
    </w:p>
    <w:p w:rsidR="000D6448" w:rsidRPr="00A27C50" w:rsidRDefault="000D6448">
      <w:pPr>
        <w:pStyle w:val="Normaltindrag"/>
      </w:pPr>
      <w:r w:rsidRPr="00A27C50">
        <w:t>Arbetsgruppen för barn och unga under ledning av Margareta Israelsson har, trots de ansträngningar som gjorts från gruppens sida, inte kunnat avlä</w:t>
      </w:r>
      <w:r w:rsidRPr="00A27C50">
        <w:t>m</w:t>
      </w:r>
      <w:r w:rsidRPr="00A27C50">
        <w:t>na sin slutrapport under året. Arbetet fortsätter under 2005. Margareta Israel</w:t>
      </w:r>
      <w:r w:rsidRPr="00A27C50">
        <w:t>s</w:t>
      </w:r>
      <w:r w:rsidRPr="00A27C50">
        <w:t>son har rest frågan om det lämpliga med arbetsgrupper som arbetsform på grund av svårigheterna att behålla kontinuiteten i gruppen och svårigheterna att hitta mötestidpunkt. Hon har framfört förslag om att i stället utse rapport</w:t>
      </w:r>
      <w:r w:rsidRPr="00A27C50">
        <w:t>ö</w:t>
      </w:r>
      <w:r w:rsidRPr="00A27C50">
        <w:t xml:space="preserve">rer för viktiga frågor. </w:t>
      </w:r>
    </w:p>
    <w:p w:rsidR="000D6448" w:rsidRPr="00A27C50" w:rsidRDefault="000D6448">
      <w:pPr>
        <w:pStyle w:val="Rubrik2"/>
      </w:pPr>
      <w:r w:rsidRPr="00A27C50">
        <w:t>Medborgar- och konsumentutskottet</w:t>
      </w:r>
    </w:p>
    <w:p w:rsidR="000D6448" w:rsidRPr="00A27C50" w:rsidRDefault="000D6448">
      <w:r w:rsidRPr="00A27C50">
        <w:t>Utskottet ansvarar för ärenden rörande demokrati, mänskliga och medborge</w:t>
      </w:r>
      <w:r w:rsidRPr="00A27C50">
        <w:t>r</w:t>
      </w:r>
      <w:r w:rsidRPr="00A27C50">
        <w:t>liga rättigheter, jämställdhet, konsumentfrågor, säkra livsmedel, kriminalitet (inklusive internationell brottslighet och terrorism), lagstiftning, invandring och flyktingar samt samarbete mot rasism. Svenska medlemmar har varit Maria</w:t>
      </w:r>
      <w:r w:rsidRPr="00A27C50">
        <w:t>n</w:t>
      </w:r>
      <w:r w:rsidRPr="00A27C50">
        <w:t>ne Carlström, Lennart Gustavsson, Inger René och Berndt Sköldestig.</w:t>
      </w:r>
    </w:p>
    <w:p w:rsidR="000D6448" w:rsidRPr="00A27C50" w:rsidRDefault="000D6448">
      <w:pPr>
        <w:pStyle w:val="Normaltindrag"/>
      </w:pPr>
      <w:r w:rsidRPr="00A27C50">
        <w:t>Prioriterade områden har under året varit jämställdhet, människohandel för sexuellt utnyttjande samt organiserad brottslighet. Även bioetik och biotekn</w:t>
      </w:r>
      <w:r w:rsidRPr="00A27C50">
        <w:t>o</w:t>
      </w:r>
      <w:r w:rsidRPr="00A27C50">
        <w:t>logi samt urfolkens situation i Barentsregionen har behandlats av utsko</w:t>
      </w:r>
      <w:r w:rsidRPr="00A27C50">
        <w:t>t</w:t>
      </w:r>
      <w:r w:rsidRPr="00A27C50">
        <w:t>tet.</w:t>
      </w:r>
    </w:p>
    <w:p w:rsidR="000D6448" w:rsidRPr="00A27C50" w:rsidRDefault="000D6448">
      <w:pPr>
        <w:pStyle w:val="Normaltindrag"/>
      </w:pPr>
      <w:r w:rsidRPr="00A27C50">
        <w:t>Utskottet anordnade, i samarbete med den svenska delegationen, ett sem</w:t>
      </w:r>
      <w:r w:rsidRPr="00A27C50">
        <w:t>i</w:t>
      </w:r>
      <w:r w:rsidRPr="00A27C50">
        <w:t xml:space="preserve">narium i Piteå den 23–25 mars på temat </w:t>
      </w:r>
      <w:r w:rsidRPr="00A27C50">
        <w:rPr>
          <w:i/>
        </w:rPr>
        <w:t>människohandel för sexuellt utnyt</w:t>
      </w:r>
      <w:r w:rsidRPr="00A27C50">
        <w:rPr>
          <w:i/>
        </w:rPr>
        <w:t>t</w:t>
      </w:r>
      <w:r w:rsidRPr="00A27C50">
        <w:rPr>
          <w:i/>
        </w:rPr>
        <w:t xml:space="preserve">jande. </w:t>
      </w:r>
      <w:r w:rsidRPr="00A27C50">
        <w:t xml:space="preserve">I seminariet deltog unga parlamentariker från Barentsregionen, och mötet resulterade i en gemensam deklaration mot människohandel. Ett möte om </w:t>
      </w:r>
      <w:r w:rsidRPr="00A27C50">
        <w:rPr>
          <w:i/>
        </w:rPr>
        <w:t>trafficking i ett utökat EU</w:t>
      </w:r>
      <w:r w:rsidRPr="00A27C50">
        <w:t xml:space="preserve"> arrangerades den 14–15 april i Helsingfors. Som en följd av dessa seminarier riktade Lennart Gustavsson tillsammans med Lars U. Granberg ett upprop till manliga riksdagsledamöter att bilda ett nätverk i syfte att verka för att motarbeta människohandel för sexuellt utnyt</w:t>
      </w:r>
      <w:r w:rsidRPr="00A27C50">
        <w:t>t</w:t>
      </w:r>
      <w:r w:rsidRPr="00A27C50">
        <w:t>jande.</w:t>
      </w:r>
    </w:p>
    <w:p w:rsidR="000D6448" w:rsidRPr="00A27C50" w:rsidRDefault="000D6448">
      <w:pPr>
        <w:pStyle w:val="Normaltindrag"/>
      </w:pPr>
      <w:r w:rsidRPr="00A27C50">
        <w:t xml:space="preserve">Den 30 juni anordnade utskottet ett seminarium om </w:t>
      </w:r>
      <w:r w:rsidRPr="00A27C50">
        <w:rPr>
          <w:i/>
        </w:rPr>
        <w:t xml:space="preserve">män och våld </w:t>
      </w:r>
      <w:r w:rsidRPr="00A27C50">
        <w:t>i Krist</w:t>
      </w:r>
      <w:r w:rsidRPr="00A27C50">
        <w:t>i</w:t>
      </w:r>
      <w:r w:rsidRPr="00A27C50">
        <w:t>ansand. Seminariet var ett led i utskottets jämställdhetsarbete. Ett medlem</w:t>
      </w:r>
      <w:r w:rsidRPr="00A27C50">
        <w:t>s</w:t>
      </w:r>
      <w:r w:rsidRPr="00A27C50">
        <w:t xml:space="preserve">förslag om </w:t>
      </w:r>
      <w:r w:rsidRPr="00A27C50">
        <w:rPr>
          <w:i/>
        </w:rPr>
        <w:t>jämställdhetsprinciper i Nordiska rådet</w:t>
      </w:r>
      <w:r w:rsidRPr="00A27C50">
        <w:t xml:space="preserve"> behandlades vid den 56:e sessionen. Resultatet blev ett beslut om att </w:t>
      </w:r>
      <w:r w:rsidRPr="00A27C50">
        <w:rPr>
          <w:i/>
        </w:rPr>
        <w:t>införa integrering av jämställ</w:t>
      </w:r>
      <w:r w:rsidRPr="00A27C50">
        <w:rPr>
          <w:i/>
        </w:rPr>
        <w:t>d</w:t>
      </w:r>
      <w:r w:rsidRPr="00A27C50">
        <w:rPr>
          <w:i/>
        </w:rPr>
        <w:t xml:space="preserve">hetsaspekten i Nordiska rådets arbete. </w:t>
      </w:r>
      <w:r w:rsidRPr="00A27C50">
        <w:t>En arbetsgrupp av ämbetsmän med uppgift att utarbeta riktlinjer för denna jämställdhetsaspekt i det nordiska samarbetet har som resultat av detta beslut utsetts.</w:t>
      </w:r>
    </w:p>
    <w:p w:rsidR="000D6448" w:rsidRPr="00A27C50" w:rsidRDefault="000D6448">
      <w:pPr>
        <w:pStyle w:val="Normaltindrag"/>
      </w:pPr>
      <w:r w:rsidRPr="00A27C50">
        <w:t xml:space="preserve">Internationell och organiserad brottslighet har också stått på utskottets agenda under året. Ett seminarium, </w:t>
      </w:r>
      <w:r w:rsidRPr="00A27C50">
        <w:rPr>
          <w:i/>
        </w:rPr>
        <w:t xml:space="preserve">Organiserad kriminalitet – utvecklingen och de viktigaste uppgifterna, </w:t>
      </w:r>
      <w:r w:rsidRPr="00A27C50">
        <w:t>arrangerades den 22 september i Mariehamn. Som en uppföljning av detta seminarium beslutade utskottet att ha en fortsatt dialog med berörda ministrar inom området. Beslutet innefattade bl.a. att de nordiska länderna bör etablera ett samarbete med Ryssland i kampen mot organiserad kriminalitet.</w:t>
      </w:r>
    </w:p>
    <w:p w:rsidR="000D6448" w:rsidRPr="00A27C50" w:rsidRDefault="000D6448">
      <w:pPr>
        <w:pStyle w:val="Normaltindrag"/>
      </w:pPr>
      <w:r w:rsidRPr="00A27C50">
        <w:t>Medborgar- och konsumentutskottet har, tillsammans med de övriga u</w:t>
      </w:r>
      <w:r w:rsidRPr="00A27C50">
        <w:t>t</w:t>
      </w:r>
      <w:r w:rsidRPr="00A27C50">
        <w:t xml:space="preserve">skotten, initierat en arbetsgrupp som behandlar bioetik och bioteknologi. Man vill därigenom ge en möjlighet att i den politiska miljön skapa en fördomsfri debatt om problemställningar på detta område. </w:t>
      </w:r>
    </w:p>
    <w:p w:rsidR="000D6448" w:rsidRPr="00A27C50" w:rsidRDefault="000D6448">
      <w:pPr>
        <w:pStyle w:val="Normaltindrag"/>
      </w:pPr>
      <w:r w:rsidRPr="00A27C50">
        <w:t>Arbetsguppen betraktar området bioetik och bioteknologi som mycket komplext och menar därför att en nordisk debatt skulle kunna bidra till att klarlä</w:t>
      </w:r>
      <w:r w:rsidRPr="00A27C50">
        <w:t>g</w:t>
      </w:r>
      <w:r w:rsidRPr="00A27C50">
        <w:t>ga de politiska centrala punkterna.</w:t>
      </w:r>
    </w:p>
    <w:p w:rsidR="000D6448" w:rsidRPr="00A27C50" w:rsidRDefault="000D6448">
      <w:pPr>
        <w:pStyle w:val="Normaltindrag"/>
      </w:pPr>
      <w:r w:rsidRPr="00A27C50">
        <w:t>Urfolkens situation i Barentsregionen uppmärksammades i utskottet. Detta ledde till att utskottet utsåg en rapportör, Bendiks H. Arnesen, som fick ma</w:t>
      </w:r>
      <w:r w:rsidRPr="00A27C50">
        <w:t>n</w:t>
      </w:r>
      <w:r w:rsidRPr="00A27C50">
        <w:t>dat att framföra förslag till hur samarbetet och dialogen med Samiskt parl</w:t>
      </w:r>
      <w:r w:rsidRPr="00A27C50">
        <w:t>a</w:t>
      </w:r>
      <w:r w:rsidRPr="00A27C50">
        <w:t>mentariskt råd skall vidareutvecklas, samt hur Nordiska rådet på egen hand, eller tillsammans med Samiskt parlamentariskt råd, kan arbeta för att förbättra livssituationen för urfolken i Nor</w:t>
      </w:r>
      <w:r w:rsidRPr="00A27C50">
        <w:t>d</w:t>
      </w:r>
      <w:r w:rsidRPr="00A27C50">
        <w:t xml:space="preserve">västryssland. </w:t>
      </w:r>
    </w:p>
    <w:p w:rsidR="000D6448" w:rsidRPr="00A27C50" w:rsidRDefault="000D6448">
      <w:pPr>
        <w:pStyle w:val="Normaltindrag"/>
      </w:pPr>
      <w:r w:rsidRPr="00A27C50">
        <w:t xml:space="preserve">Ett utskottsförslag om </w:t>
      </w:r>
      <w:r w:rsidRPr="00A27C50">
        <w:rPr>
          <w:i/>
        </w:rPr>
        <w:t>samarbete med urfolken i Barentsregionen</w:t>
      </w:r>
      <w:r w:rsidRPr="00A27C50">
        <w:t xml:space="preserve"> väcktes på grundval av rapportörens arbete, och förslaget resulterade i en rekomme</w:t>
      </w:r>
      <w:r w:rsidRPr="00A27C50">
        <w:t>n</w:t>
      </w:r>
      <w:r w:rsidRPr="00A27C50">
        <w:t>dation.</w:t>
      </w:r>
    </w:p>
    <w:p w:rsidR="000D6448" w:rsidRPr="00A27C50" w:rsidRDefault="000D6448">
      <w:pPr>
        <w:pStyle w:val="Rubrik2"/>
      </w:pPr>
      <w:r w:rsidRPr="00A27C50">
        <w:t>Miljö- och naturresursutskottet</w:t>
      </w:r>
    </w:p>
    <w:p w:rsidR="000D6448" w:rsidRPr="00A27C50" w:rsidRDefault="000D6448">
      <w:r w:rsidRPr="00A27C50">
        <w:t xml:space="preserve">Enligt den sedan några år gällande utskottsindelningen svarar miljö- och naturresursutskottet för ärenden inom miljö- och skogsbruk, fiske, hållbar utveckling samt energi. Svenska medlemmar har från början av året varit Sinikka Bohlin, Barbro Feltzing, Agne Hansson och Gunilla Tjernberg. </w:t>
      </w:r>
    </w:p>
    <w:p w:rsidR="000D6448" w:rsidRPr="00A27C50" w:rsidRDefault="000D6448">
      <w:pPr>
        <w:pStyle w:val="Normaltindrag"/>
        <w:rPr>
          <w:i/>
        </w:rPr>
      </w:pPr>
      <w:r w:rsidRPr="00A27C50">
        <w:t>Utskottet gav samarbetet med Baltiska församlingens motsvarande utskott hög prioritet under 2004. Den 13 februari hölls ett möte i Riga mellan repr</w:t>
      </w:r>
      <w:r w:rsidRPr="00A27C50">
        <w:t>e</w:t>
      </w:r>
      <w:r w:rsidRPr="00A27C50">
        <w:t>sentanter för utskottet och Baltiska församlingens naturskydds- och energiu</w:t>
      </w:r>
      <w:r w:rsidRPr="00A27C50">
        <w:t>t</w:t>
      </w:r>
      <w:r w:rsidRPr="00A27C50">
        <w:t>skott samt kommunikations- och informationsutskott, delvis som en uppföl</w:t>
      </w:r>
      <w:r w:rsidRPr="00A27C50">
        <w:t>j</w:t>
      </w:r>
      <w:r w:rsidRPr="00A27C50">
        <w:t>ning av ett trilateralt parlamentariskt symposium i Bryssel i april 2001 mellan Nordiska rådet, Baltiska församlingen och Benelux interparlamentariska församling. Detta symposium hade bl.a. utmynnat i en uppmaning till rege</w:t>
      </w:r>
      <w:r w:rsidRPr="00A27C50">
        <w:t>r</w:t>
      </w:r>
      <w:r w:rsidRPr="00A27C50">
        <w:t>ingarna och Europeiska kommissionen att omedelbart ratificera Kyotoprot</w:t>
      </w:r>
      <w:r w:rsidRPr="00A27C50">
        <w:t>o</w:t>
      </w:r>
      <w:r w:rsidRPr="00A27C50">
        <w:t>kollet samt snabbt samordna de politiska beslut som uppfyller de skyldigheter som fastslås i protokollet. Mötet i Riga i februari 2004 behandlade energi och miljö, särskilt energibesparing – isolering av byggnader – och centraliserade och decentraliserade värmeanläggningar. Den 10–11 december hölls en tril</w:t>
      </w:r>
      <w:r w:rsidRPr="00A27C50">
        <w:t>a</w:t>
      </w:r>
      <w:r w:rsidRPr="00A27C50">
        <w:t>teral energikonferens i Oslo med representanter för miljö- och naturresursu</w:t>
      </w:r>
      <w:r w:rsidRPr="00A27C50">
        <w:t>t</w:t>
      </w:r>
      <w:r w:rsidRPr="00A27C50">
        <w:t xml:space="preserve">skottet, Baltiska församlingens samt Benelux respektive utskott på temat </w:t>
      </w:r>
      <w:r w:rsidRPr="00A27C50">
        <w:rPr>
          <w:i/>
        </w:rPr>
        <w:t xml:space="preserve">politiska och finansiella instrument för att </w:t>
      </w:r>
      <w:r w:rsidRPr="00A27C50">
        <w:t xml:space="preserve"> </w:t>
      </w:r>
      <w:r w:rsidRPr="00A27C50">
        <w:rPr>
          <w:i/>
        </w:rPr>
        <w:t xml:space="preserve">främja användningen av hållbara och säkra energikällor. </w:t>
      </w:r>
      <w:r w:rsidRPr="00A27C50">
        <w:t>Underteman var förnybar energi, högre energieffekt</w:t>
      </w:r>
      <w:r w:rsidRPr="00A27C50">
        <w:t>i</w:t>
      </w:r>
      <w:r w:rsidRPr="00A27C50">
        <w:t>vitet, den öppna energimarknaden och kärnenergi i europeisk energipolitik.</w:t>
      </w:r>
      <w:r w:rsidRPr="00A27C50">
        <w:rPr>
          <w:i/>
        </w:rPr>
        <w:t xml:space="preserve"> </w:t>
      </w:r>
    </w:p>
    <w:p w:rsidR="000D6448" w:rsidRPr="00A27C50" w:rsidRDefault="000D6448">
      <w:pPr>
        <w:pStyle w:val="Normaltindrag"/>
      </w:pPr>
      <w:r w:rsidRPr="00A27C50">
        <w:t>Vid 56:e sessionen antogs två rekommendationer mot bakgrund av betä</w:t>
      </w:r>
      <w:r w:rsidRPr="00A27C50">
        <w:t>n</w:t>
      </w:r>
      <w:r w:rsidRPr="00A27C50">
        <w:t xml:space="preserve">kanden av miljö- och naturresursutskottet. Den ena avsåg en </w:t>
      </w:r>
      <w:r w:rsidRPr="00A27C50">
        <w:rPr>
          <w:i/>
        </w:rPr>
        <w:t>framtidskonf</w:t>
      </w:r>
      <w:r w:rsidRPr="00A27C50">
        <w:rPr>
          <w:i/>
        </w:rPr>
        <w:t>e</w:t>
      </w:r>
      <w:r w:rsidRPr="00A27C50">
        <w:rPr>
          <w:i/>
        </w:rPr>
        <w:t>rens för kustfisket i Norden.</w:t>
      </w:r>
    </w:p>
    <w:p w:rsidR="000D6448" w:rsidRPr="00A27C50" w:rsidRDefault="000D6448">
      <w:pPr>
        <w:pStyle w:val="Normaltindrag"/>
        <w:rPr>
          <w:i/>
        </w:rPr>
      </w:pPr>
      <w:r w:rsidRPr="00A27C50">
        <w:t>Utskottet tillsatte tre representanter i en arbetsgrupp, som tillsammans med Nordiska ministerrådet och relevanta organisationer skall förbereda konfere</w:t>
      </w:r>
      <w:r w:rsidRPr="00A27C50">
        <w:t>n</w:t>
      </w:r>
      <w:r w:rsidRPr="00A27C50">
        <w:t xml:space="preserve">sen, som förutsätts äga rum under 2005. Den andra rekommendationen avser </w:t>
      </w:r>
      <w:r w:rsidRPr="00A27C50">
        <w:rPr>
          <w:i/>
        </w:rPr>
        <w:t>ekol</w:t>
      </w:r>
      <w:r w:rsidRPr="00A27C50">
        <w:rPr>
          <w:i/>
        </w:rPr>
        <w:t>o</w:t>
      </w:r>
      <w:r w:rsidRPr="00A27C50">
        <w:rPr>
          <w:i/>
        </w:rPr>
        <w:t>giska lantbruksvaror i Norden.</w:t>
      </w:r>
    </w:p>
    <w:p w:rsidR="000D6448" w:rsidRPr="00A27C50" w:rsidRDefault="000D6448">
      <w:pPr>
        <w:pStyle w:val="Normaltindrag"/>
      </w:pPr>
      <w:r w:rsidRPr="00A27C50">
        <w:t>Under hösten presenterade Nordiska ministerrådet ett förslagspaket, Mini</w:t>
      </w:r>
      <w:r w:rsidRPr="00A27C50">
        <w:t>s</w:t>
      </w:r>
      <w:r w:rsidRPr="00A27C50">
        <w:t>terrådsförslag om en reviderad strategi för bärkraftig utveckling i Norden – ”Hållbar utveckling – en ny kurs för Norden, reviderad utgåva med mål och insatser 2005–2008”. I detta paket ingår förslag om en reviderad strategi för genetiska resurser i Norden, ett handlingsprogram för det nordiska miljösa</w:t>
      </w:r>
      <w:r w:rsidRPr="00A27C50">
        <w:t>m</w:t>
      </w:r>
      <w:r w:rsidRPr="00A27C50">
        <w:t>arbetet 2005–2008, ett förslag om handlingsprogram för nordiskt fiske-, jord- och skogsbruks- samt livsmedelssamarbete 2005–2008 samt slutligen ”ett nordiskt lyft för värdeskapande och livskvalitet”.</w:t>
      </w:r>
    </w:p>
    <w:p w:rsidR="000D6448" w:rsidRPr="00A27C50" w:rsidRDefault="000D6448">
      <w:pPr>
        <w:pStyle w:val="Normaltindrag"/>
      </w:pPr>
      <w:r w:rsidRPr="00A27C50">
        <w:t>Utskottet fann att dessa förslag var så omfattande att de ej kunde färdigb</w:t>
      </w:r>
      <w:r w:rsidRPr="00A27C50">
        <w:t>e</w:t>
      </w:r>
      <w:r w:rsidRPr="00A27C50">
        <w:t>handlas före sessionen, och dialogen med m</w:t>
      </w:r>
      <w:r w:rsidRPr="00A27C50">
        <w:t>i</w:t>
      </w:r>
      <w:r w:rsidRPr="00A27C50">
        <w:t>nisterrådet fortsätter.</w:t>
      </w:r>
    </w:p>
    <w:p w:rsidR="000D6448" w:rsidRPr="00A27C50" w:rsidRDefault="000D6448">
      <w:pPr>
        <w:pStyle w:val="Rubrik2"/>
      </w:pPr>
      <w:r w:rsidRPr="00A27C50">
        <w:t>Näringsutskottet</w:t>
      </w:r>
    </w:p>
    <w:p w:rsidR="000D6448" w:rsidRPr="00A27C50" w:rsidRDefault="000D6448">
      <w:r w:rsidRPr="00A27C50">
        <w:t>Utskottet ansvarar för ärenden som rör villkoren för ekonomi och produktion, näring/industri, inre marknad, handel, fri rörlighet, borttagande av gränshi</w:t>
      </w:r>
      <w:r w:rsidRPr="00A27C50">
        <w:t>n</w:t>
      </w:r>
      <w:r w:rsidRPr="00A27C50">
        <w:t xml:space="preserve">der, regioner och strukturstöd, sysselsättning och arbetsmarknad, arbetsmiljö, infrastruktur, transport och kommunikation samt IT. Svenska medlemmar i utskottet har varit Reynoldh Furustrand, Per Erik Granström, Ola Sundell och Runar Patriksson. I oktober ersattes Per Erik Granström av Lennart Axelsson och Ola Sundell ersattes av Rolf Gunnarsson. </w:t>
      </w:r>
    </w:p>
    <w:p w:rsidR="000D6448" w:rsidRPr="00A27C50" w:rsidRDefault="000D6448">
      <w:pPr>
        <w:pStyle w:val="Normaltindrag"/>
      </w:pPr>
      <w:r w:rsidRPr="00A27C50">
        <w:t>I januari överlämnade näringsutskottet två förslag till presidiet som utsko</w:t>
      </w:r>
      <w:r w:rsidRPr="00A27C50">
        <w:t>t</w:t>
      </w:r>
      <w:r w:rsidRPr="00A27C50">
        <w:t xml:space="preserve">tet behandlat under år 2003. Presidiet antog i enlighet med utskottets förslag en framställning om ett </w:t>
      </w:r>
      <w:r w:rsidRPr="00A27C50">
        <w:rPr>
          <w:i/>
        </w:rPr>
        <w:t>nordiskt skattekontor</w:t>
      </w:r>
      <w:r w:rsidRPr="00A27C50">
        <w:t xml:space="preserve"> samt två framställningar om </w:t>
      </w:r>
      <w:r w:rsidRPr="00A27C50">
        <w:rPr>
          <w:i/>
        </w:rPr>
        <w:t>Open Source Software</w:t>
      </w:r>
      <w:r w:rsidRPr="00A27C50">
        <w:t xml:space="preserve"> (OSS), dels till Nordiska ministerrådet om att etablera ett Open Source Software-kompetenscentrum med i huvudsak rådg</w:t>
      </w:r>
      <w:r w:rsidRPr="00A27C50">
        <w:t>i</w:t>
      </w:r>
      <w:r w:rsidRPr="00A27C50">
        <w:t>vande och vägledande uppgifter, att utveckla ett nätverk i den icke-kommersiella sfären som kan bidra till den fortsatta utvecklingen av OSS samt att nordiska instit</w:t>
      </w:r>
      <w:r w:rsidRPr="00A27C50">
        <w:t>u</w:t>
      </w:r>
      <w:r w:rsidRPr="00A27C50">
        <w:t>tioner använder mjukvara som understöder öppna källkoder, dels till de no</w:t>
      </w:r>
      <w:r w:rsidRPr="00A27C50">
        <w:t>r</w:t>
      </w:r>
      <w:r w:rsidRPr="00A27C50">
        <w:t xml:space="preserve">diska ländernas regeringar om </w:t>
      </w:r>
      <w:r w:rsidRPr="00A27C50">
        <w:rPr>
          <w:i/>
        </w:rPr>
        <w:t>öppna källkoder/Open Source Software i n</w:t>
      </w:r>
      <w:r w:rsidRPr="00A27C50">
        <w:rPr>
          <w:i/>
        </w:rPr>
        <w:t>a</w:t>
      </w:r>
      <w:r w:rsidRPr="00A27C50">
        <w:rPr>
          <w:i/>
        </w:rPr>
        <w:t>tionella IT-strategier</w:t>
      </w:r>
      <w:r w:rsidRPr="00A27C50">
        <w:t xml:space="preserve">. </w:t>
      </w:r>
    </w:p>
    <w:p w:rsidR="000D6448" w:rsidRPr="00A27C50" w:rsidRDefault="000D6448">
      <w:pPr>
        <w:pStyle w:val="Normaltindrag"/>
      </w:pPr>
      <w:r w:rsidRPr="00A27C50">
        <w:t>Redan vid den 56:e sessionen i Stockholm avskrevs framställningen om ett nordiskt skattekontor mot bakgrund av att den av finansministrarna tillsatta nordiska skattegruppen lämnat förslag om upprättande av en samnordisk skatteportal och ett samnordiskt virtuellt skattekontor. Utskottet bedömde det inte som realistiskt att de nordiska länderna skulle tillmötesgå rådets önsk</w:t>
      </w:r>
      <w:r w:rsidRPr="00A27C50">
        <w:t>e</w:t>
      </w:r>
      <w:r w:rsidRPr="00A27C50">
        <w:t xml:space="preserve">mål om ett fysiskt skattekontor. </w:t>
      </w:r>
    </w:p>
    <w:p w:rsidR="000D6448" w:rsidRPr="00A27C50" w:rsidRDefault="000D6448">
      <w:pPr>
        <w:pStyle w:val="Normaltindrag"/>
      </w:pPr>
      <w:r w:rsidRPr="00A27C50">
        <w:t>Som en del av Nordiska rådets temamöte om den nordliga dimensionen a</w:t>
      </w:r>
      <w:r w:rsidRPr="00A27C50">
        <w:t>r</w:t>
      </w:r>
      <w:r w:rsidRPr="00A27C50">
        <w:t>rangerade näringsutskottet ett seminarium, Industrial Development in the Baltic Sea Region. Utskottets konklusioner efter seminariet var att Norden inte längre kan basera sin konkurrenskraft på de kunskapsmässiga och organ</w:t>
      </w:r>
      <w:r w:rsidRPr="00A27C50">
        <w:t>i</w:t>
      </w:r>
      <w:r w:rsidRPr="00A27C50">
        <w:t>satoriska resurserna utan måste hitta andra sätt att möta utmaningarna i form av utflyttning av arbeten till länder med lägre kostnader för arbetskraften. Utskottet beslöt att ta initiativ till att arrangera ett seminarium om Nordens konkurrenskraft och de strukturella förändringarna inom industrin. Detta seminarium kommer att äga rum i maj 2005 och arrangeras i samarbete med Nordiska ministerrådet och Nordiska innov</w:t>
      </w:r>
      <w:r w:rsidRPr="00A27C50">
        <w:t>a</w:t>
      </w:r>
      <w:r w:rsidRPr="00A27C50">
        <w:t xml:space="preserve">tionscentret. </w:t>
      </w:r>
    </w:p>
    <w:p w:rsidR="000D6448" w:rsidRPr="00A27C50" w:rsidRDefault="000D6448">
      <w:pPr>
        <w:pStyle w:val="Normaltindrag"/>
      </w:pPr>
      <w:r w:rsidRPr="00A27C50">
        <w:t>I samband med septembermötena väcktes ett medlemsförslag om en</w:t>
      </w:r>
      <w:r w:rsidRPr="00A27C50">
        <w:rPr>
          <w:i/>
        </w:rPr>
        <w:t xml:space="preserve"> no</w:t>
      </w:r>
      <w:r w:rsidRPr="00A27C50">
        <w:rPr>
          <w:i/>
        </w:rPr>
        <w:t>r</w:t>
      </w:r>
      <w:r w:rsidRPr="00A27C50">
        <w:rPr>
          <w:i/>
        </w:rPr>
        <w:t>disk skattekonferens</w:t>
      </w:r>
      <w:r w:rsidRPr="00A27C50">
        <w:t xml:space="preserve"> som skulle fokusera på att lösa problem som uppstått på grund av de nordiska ländernas olika system för beskattning för medborgare och företag som rört sig över gränserna. Näringsutskottet överlämnade försl</w:t>
      </w:r>
      <w:r w:rsidRPr="00A27C50">
        <w:t>a</w:t>
      </w:r>
      <w:r w:rsidRPr="00A27C50">
        <w:t>get till presidiet som antog en framställning i enlighet med u</w:t>
      </w:r>
      <w:r w:rsidRPr="00A27C50">
        <w:t>t</w:t>
      </w:r>
      <w:r w:rsidRPr="00A27C50">
        <w:t xml:space="preserve">skottets förslag. </w:t>
      </w:r>
    </w:p>
    <w:p w:rsidR="000D6448" w:rsidRPr="00A27C50" w:rsidRDefault="000D6448">
      <w:pPr>
        <w:pStyle w:val="Normaltindrag"/>
      </w:pPr>
      <w:r w:rsidRPr="00A27C50">
        <w:t>Det medlemsförslag som den svenska delegationen väckt om ett nordiskt patentinstitut hänvisades till näringsutskottet för behandling. Efter att me</w:t>
      </w:r>
      <w:r w:rsidRPr="00A27C50">
        <w:t>d</w:t>
      </w:r>
      <w:r w:rsidRPr="00A27C50">
        <w:t>lemsförslaget väckts ingick Danmark, Sverige, Norge och Island ett avtal om ett gemensamt nordiskt patentinstitut, medan Finland valde att ställa sig uta</w:t>
      </w:r>
      <w:r w:rsidRPr="00A27C50">
        <w:t>n</w:t>
      </w:r>
      <w:r w:rsidRPr="00A27C50">
        <w:t>för detta med hänvisning till att man i stället önskade ett begränsat samarbete baserat på kontakter mellan länderna. Näringsutskottet konstaterade med beklagande att det inte varit möjligt att nå enighet om ett nordiskt patentinst</w:t>
      </w:r>
      <w:r w:rsidRPr="00A27C50">
        <w:t>i</w:t>
      </w:r>
      <w:r w:rsidRPr="00A27C50">
        <w:t>tut.</w:t>
      </w:r>
    </w:p>
    <w:p w:rsidR="000D6448" w:rsidRPr="00A27C50" w:rsidRDefault="000D6448">
      <w:pPr>
        <w:pStyle w:val="Normaltindrag"/>
        <w:rPr>
          <w:i/>
        </w:rPr>
      </w:pPr>
      <w:r w:rsidRPr="00A27C50">
        <w:t xml:space="preserve">Utskottet har därutöver behandlat två ministerrådsförslag, ett om </w:t>
      </w:r>
      <w:r w:rsidRPr="00A27C50">
        <w:rPr>
          <w:i/>
        </w:rPr>
        <w:t>program för Nordiska ministerrådets samarbete på arbetsmarknads- och arbetsmilj</w:t>
      </w:r>
      <w:r w:rsidRPr="00A27C50">
        <w:rPr>
          <w:i/>
        </w:rPr>
        <w:t>ö</w:t>
      </w:r>
      <w:r w:rsidRPr="00A27C50">
        <w:rPr>
          <w:i/>
        </w:rPr>
        <w:t xml:space="preserve">området 2005–2008 </w:t>
      </w:r>
      <w:r w:rsidRPr="00A27C50">
        <w:t xml:space="preserve">och ett om </w:t>
      </w:r>
      <w:r w:rsidRPr="00A27C50">
        <w:rPr>
          <w:i/>
        </w:rPr>
        <w:t>nordiskt innovationspolitiskt samarbetspr</w:t>
      </w:r>
      <w:r w:rsidRPr="00A27C50">
        <w:rPr>
          <w:i/>
        </w:rPr>
        <w:t>o</w:t>
      </w:r>
      <w:r w:rsidRPr="00A27C50">
        <w:rPr>
          <w:i/>
        </w:rPr>
        <w:t xml:space="preserve">gram 2005–2010. </w:t>
      </w:r>
    </w:p>
    <w:p w:rsidR="000D6448" w:rsidRPr="00A27C50" w:rsidRDefault="000D6448">
      <w:pPr>
        <w:pStyle w:val="Normaltindrag"/>
      </w:pPr>
      <w:r w:rsidRPr="00A27C50">
        <w:t>Näringsutskottet hälsade med tillfredsställelse att samarbetsministrarnas särskilde representant Poul Schlüters arbete med att avlägsna gränshinder i fortsättningen även skulle komma att omfatta gränshinder för näringslivet. Utskottet kommer att noga följa resultatet av detta arbete.</w:t>
      </w:r>
    </w:p>
    <w:p w:rsidR="000D6448" w:rsidRPr="00A27C50" w:rsidRDefault="000D6448">
      <w:pPr>
        <w:pStyle w:val="Rubrik2"/>
      </w:pPr>
      <w:r w:rsidRPr="00A27C50">
        <w:t>Kontrollkommittén</w:t>
      </w:r>
    </w:p>
    <w:p w:rsidR="000D6448" w:rsidRPr="00A27C50" w:rsidRDefault="000D6448">
      <w:r w:rsidRPr="00A27C50">
        <w:t>Kontrollkommittén utövar den parlamentariska kontrollen över verksamhet som finansieras över Nordiska ministerrådets budget inklusive de nordiska institutionerna och svarar för kontrollverksamheten av det nordiska samarbete som plenarförsamlingen beslutar om samt även ärenden i samband med no</w:t>
      </w:r>
      <w:r w:rsidRPr="00A27C50">
        <w:t>r</w:t>
      </w:r>
      <w:r w:rsidRPr="00A27C50">
        <w:t>diska samarbetsavtal, rådets arbetsordning och interna stadganden. Medlem av presidiet kan inte ingå i Kontrollkommittén. Svenska medlemmar i Ko</w:t>
      </w:r>
      <w:r w:rsidRPr="00A27C50">
        <w:t>n</w:t>
      </w:r>
      <w:r w:rsidRPr="00A27C50">
        <w:t xml:space="preserve">trollkommittén har under året varit Berndt Sköldestig och Tuve Skånberg. </w:t>
      </w:r>
    </w:p>
    <w:p w:rsidR="000D6448" w:rsidRPr="00A27C50" w:rsidRDefault="000D6448">
      <w:pPr>
        <w:pStyle w:val="Normaltindrag"/>
      </w:pPr>
      <w:r w:rsidRPr="00A27C50">
        <w:t>Kontrollkommittén har som årets kontrolluppgift granskat det nordiska gränsregionala samarbetet och de gränsregionala samarbetsorganisationerna. Kommittén uppdrog åt Nordisk institutt for by- og regionforskning (NIBR) att utföra granskningsuppgiften i enlighet med kommitténs direktiv. På grundval av den rapport som utarbetades av NIBR föreslog kommittén en rekomme</w:t>
      </w:r>
      <w:r w:rsidRPr="00A27C50">
        <w:t>n</w:t>
      </w:r>
      <w:r w:rsidRPr="00A27C50">
        <w:t xml:space="preserve">dation om </w:t>
      </w:r>
      <w:r w:rsidRPr="00A27C50">
        <w:rPr>
          <w:i/>
        </w:rPr>
        <w:t>nordiskt gränsregionalt samarbete</w:t>
      </w:r>
      <w:r w:rsidRPr="00A27C50">
        <w:t xml:space="preserve">. </w:t>
      </w:r>
    </w:p>
    <w:p w:rsidR="000D6448" w:rsidRPr="00A27C50" w:rsidRDefault="000D6448">
      <w:pPr>
        <w:rPr>
          <w:i/>
        </w:rPr>
      </w:pPr>
      <w:r w:rsidRPr="00A27C50">
        <w:rPr>
          <w:i/>
        </w:rPr>
        <w:t>Texten till framställningar, rekommendationer och interna beslut finns i bil</w:t>
      </w:r>
      <w:r w:rsidRPr="00A27C50">
        <w:rPr>
          <w:i/>
        </w:rPr>
        <w:t>a</w:t>
      </w:r>
      <w:r w:rsidRPr="00A27C50">
        <w:rPr>
          <w:i/>
        </w:rPr>
        <w:t>ga 3.</w:t>
      </w:r>
    </w:p>
    <w:p w:rsidR="000D6448" w:rsidRPr="00A27C50" w:rsidRDefault="000D6448">
      <w:pPr>
        <w:rPr>
          <w:i/>
        </w:rPr>
      </w:pPr>
    </w:p>
    <w:p w:rsidR="000D6448" w:rsidRPr="00A27C50" w:rsidRDefault="000D6448">
      <w:pPr>
        <w:rPr>
          <w:sz w:val="28"/>
        </w:rPr>
        <w:sectPr w:rsidR="000D6448" w:rsidRPr="00A27C5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0D6448" w:rsidRPr="00A27C50" w:rsidRDefault="000D6448">
      <w:pPr>
        <w:pStyle w:val="Rubrik1"/>
        <w:rPr>
          <w:b/>
          <w:noProof w:val="0"/>
          <w:sz w:val="24"/>
        </w:rPr>
      </w:pPr>
      <w:bookmarkStart w:id="17" w:name="_Toc98294589"/>
      <w:r w:rsidRPr="00A27C50">
        <w:rPr>
          <w:noProof w:val="0"/>
        </w:rPr>
        <w:t>9 Östersjösamarbetet</w:t>
      </w:r>
      <w:bookmarkEnd w:id="17"/>
    </w:p>
    <w:p w:rsidR="000D6448" w:rsidRPr="00A27C50" w:rsidRDefault="000D6448">
      <w:r w:rsidRPr="00A27C50">
        <w:t>Det parlamentariska Östersjösamarbetet syftar till att främja den parlament</w:t>
      </w:r>
      <w:r w:rsidRPr="00A27C50">
        <w:t>a</w:t>
      </w:r>
      <w:r w:rsidRPr="00A27C50">
        <w:t>riska dialogen i Östersjöregionen samt att påverka regeringarna i utvecklingen av Östersjösamarbetet.</w:t>
      </w:r>
    </w:p>
    <w:p w:rsidR="000D6448" w:rsidRPr="00A27C50" w:rsidRDefault="000D6448">
      <w:pPr>
        <w:pStyle w:val="Normaltindrag"/>
      </w:pPr>
      <w:r w:rsidRPr="00A27C50">
        <w:t>Den första parlamentariska Östersjökonferensen (Baltic Sea Parliamentary Conference, BSPC) organiserades av Finlands riksdag i januari 1991. Då det var viktigt att involvera de baltiska länderna som då ännu hörde till Sovje</w:t>
      </w:r>
      <w:r w:rsidRPr="00A27C50">
        <w:t>t</w:t>
      </w:r>
      <w:r w:rsidRPr="00A27C50">
        <w:t>unionen kom denna och följande konferenser att ha både nationella och reg</w:t>
      </w:r>
      <w:r w:rsidRPr="00A27C50">
        <w:t>i</w:t>
      </w:r>
      <w:r w:rsidRPr="00A27C50">
        <w:t>onala parlament som deltagare. Den andra konferensen organiserades av Nordiska rådet i Oslo 1992. Nordiska rådets sekretariat har därefter fungerat som sekretariat för Östersj</w:t>
      </w:r>
      <w:r w:rsidRPr="00A27C50">
        <w:t>ö</w:t>
      </w:r>
      <w:r w:rsidRPr="00A27C50">
        <w:t xml:space="preserve">konferenserna. </w:t>
      </w:r>
    </w:p>
    <w:p w:rsidR="000D6448" w:rsidRPr="00A27C50" w:rsidRDefault="000D6448">
      <w:pPr>
        <w:pStyle w:val="Rubrik2"/>
      </w:pPr>
      <w:r w:rsidRPr="00A27C50">
        <w:t>Den parlamentariska Östersjökonferensen</w:t>
      </w:r>
    </w:p>
    <w:p w:rsidR="000D6448" w:rsidRPr="00A27C50" w:rsidRDefault="000D6448">
      <w:r w:rsidRPr="00A27C50">
        <w:t>Den parlamentariska Östersjökonferensen möts en gång per år. Till konfere</w:t>
      </w:r>
      <w:r w:rsidRPr="00A27C50">
        <w:t>n</w:t>
      </w:r>
      <w:r w:rsidRPr="00A27C50">
        <w:t>sen inbjuds elva nationella parlament, elva regionala parlament och fem i</w:t>
      </w:r>
      <w:r w:rsidRPr="00A27C50">
        <w:t>n</w:t>
      </w:r>
      <w:r w:rsidRPr="00A27C50">
        <w:t>ternationella organisationer. Dessutom är ett stort antal frivilligorganisationer inbjudna.</w:t>
      </w:r>
    </w:p>
    <w:p w:rsidR="000D6448" w:rsidRPr="00A27C50" w:rsidRDefault="000D6448">
      <w:pPr>
        <w:pStyle w:val="Normaltindrag"/>
      </w:pPr>
      <w:r w:rsidRPr="00A27C50">
        <w:t>Konferensen behandlar viktiga problemställningar i Östersjöområdet, som miljöfrågor och sjösäkerhet, och bidrar till ett ökat informationsutbyte mellan Östersjöländerna. Samarbetet är också ett viktigt instrument för ett närmare samarbete med Ryssland.</w:t>
      </w:r>
    </w:p>
    <w:p w:rsidR="000D6448" w:rsidRPr="00A27C50" w:rsidRDefault="000D6448">
      <w:pPr>
        <w:pStyle w:val="Normaltindrag"/>
      </w:pPr>
      <w:r w:rsidRPr="00A27C50">
        <w:t>Den trettonde parlamentariska Östersjökonferensen hölls den 30–31augusti 2004 i Bergen under det övergripande temat Bärkraftig utveckling – geme</w:t>
      </w:r>
      <w:r w:rsidRPr="00A27C50">
        <w:t>n</w:t>
      </w:r>
      <w:r w:rsidRPr="00A27C50">
        <w:t>samma utmaningar och ansvar i Östersjöregionen. Tre teman behandlades under konferensen: samarbete i Östersjöregionen, hälsa och socialt välmående samt miljöutmaningar, särskilt övergödning. Dessutom diskuterades det pa</w:t>
      </w:r>
      <w:r w:rsidRPr="00A27C50">
        <w:t>r</w:t>
      </w:r>
      <w:r w:rsidRPr="00A27C50">
        <w:t>lamentariska samarbetet i norra Europa. Norges talman Jørgen Kosmo för</w:t>
      </w:r>
      <w:r w:rsidRPr="00A27C50">
        <w:t>e</w:t>
      </w:r>
      <w:r w:rsidRPr="00A27C50">
        <w:t>slog i sitt tal ett partnerskap för parlamentariskt samarbete i norra Europa innefattande Arktis, Barents, Östersjösamarbetet och Nordi</w:t>
      </w:r>
      <w:r w:rsidRPr="00A27C50">
        <w:t>s</w:t>
      </w:r>
      <w:r w:rsidRPr="00A27C50">
        <w:t>ka rådet.</w:t>
      </w:r>
    </w:p>
    <w:p w:rsidR="000D6448" w:rsidRPr="00A27C50" w:rsidRDefault="000D6448">
      <w:pPr>
        <w:pStyle w:val="Normaltindrag"/>
      </w:pPr>
      <w:r w:rsidRPr="00A27C50">
        <w:t>Riksdagen har inte en permanent Östersjödelegation, utan den utses inför varje konferens. Delegationen skall bestå av fem ledamöter som utses av partierna enligt fördelningen tre från s, en från m och en från fp.</w:t>
      </w:r>
    </w:p>
    <w:p w:rsidR="000D6448" w:rsidRPr="00A27C50" w:rsidRDefault="000D6448">
      <w:pPr>
        <w:pStyle w:val="Normaltindrag"/>
      </w:pPr>
      <w:r w:rsidRPr="00A27C50">
        <w:t>Från Sveriges riksdag deltog i konferensen Sinikka Bohlin (s), Peter Dan</w:t>
      </w:r>
      <w:r w:rsidRPr="00A27C50">
        <w:t>i</w:t>
      </w:r>
      <w:r w:rsidRPr="00A27C50">
        <w:t>elsson (m), Berndt Sköldestig (s), Sverker Thorén (fp) och Börje Vestlund (s) och för Nordiska rådet Gabriel Romanus (fp), Anita Johansson (s) och Kent Olsson (m).</w:t>
      </w:r>
    </w:p>
    <w:p w:rsidR="000D6448" w:rsidRPr="00A27C50" w:rsidRDefault="000D6448">
      <w:pPr>
        <w:pStyle w:val="Rubrik2"/>
      </w:pPr>
      <w:r w:rsidRPr="00A27C50">
        <w:t>Den parlamentariska permanenta kommittén</w:t>
      </w:r>
      <w:r w:rsidRPr="00A27C50">
        <w:tab/>
      </w:r>
    </w:p>
    <w:p w:rsidR="000D6448" w:rsidRPr="00A27C50" w:rsidRDefault="000D6448">
      <w:r w:rsidRPr="00A27C50">
        <w:t>Den permanenta kommittén är konferensens fasta politiska organ och består av åtta parlamentariker: från Nordiska rådet 2, Baltiska församlingen 1, Tys</w:t>
      </w:r>
      <w:r w:rsidRPr="00A27C50">
        <w:t>k</w:t>
      </w:r>
      <w:r w:rsidRPr="00A27C50">
        <w:t>land 1, Polen 1, Ryssland 2 och från konferensens värdland 1. Kommi</w:t>
      </w:r>
      <w:r w:rsidRPr="00A27C50">
        <w:t>t</w:t>
      </w:r>
      <w:r w:rsidRPr="00A27C50">
        <w:t xml:space="preserve">tén möts cirka fyra gånger per år. </w:t>
      </w:r>
    </w:p>
    <w:p w:rsidR="000D6448" w:rsidRPr="00A27C50" w:rsidRDefault="000D6448">
      <w:pPr>
        <w:pStyle w:val="Normaltindrag"/>
      </w:pPr>
      <w:r w:rsidRPr="00A27C50">
        <w:t>Kommitténs mandat är att förbereda Östersjökonferenserna i samarbete med värdlandet och att följa upp de årliga resolutionerna. Varje konferens avslutas med antagandet av en resolution som arbetats fram av en kommitté bestående av r</w:t>
      </w:r>
      <w:r w:rsidRPr="00A27C50">
        <w:t>e</w:t>
      </w:r>
      <w:r w:rsidRPr="00A27C50">
        <w:t>presentanter för alla deltagande länder.</w:t>
      </w:r>
    </w:p>
    <w:p w:rsidR="000D6448" w:rsidRPr="00A27C50" w:rsidRDefault="000D6448">
      <w:pPr>
        <w:pStyle w:val="Normaltindrag"/>
      </w:pPr>
      <w:r w:rsidRPr="00A27C50">
        <w:t>Vid Östersjökonferensen i Bergen fick den permanenta kommittén i up</w:t>
      </w:r>
      <w:r w:rsidRPr="00A27C50">
        <w:t>p</w:t>
      </w:r>
      <w:r w:rsidRPr="00A27C50">
        <w:t>drag att närmare utreda hur den parlamentariska dimensionen av Östersj</w:t>
      </w:r>
      <w:r w:rsidRPr="00A27C50">
        <w:t>ö</w:t>
      </w:r>
      <w:r w:rsidRPr="00A27C50">
        <w:t>samarbetet bäst bör utformas i framtiden. Ett förslag kommer att föreläggas nästa konferens år 2005 i Vilnius. Den permanenta kommittén har redan uttalat sig för en utvidgning av  sitt mandat så att kommittén kan aktualisera frågor även mellan konferenserna. Vidare önskar kommittén föreslå att Eur</w:t>
      </w:r>
      <w:r w:rsidRPr="00A27C50">
        <w:t>o</w:t>
      </w:r>
      <w:r w:rsidRPr="00A27C50">
        <w:t>paparlamentet inbjuds att delta i kommitténs arbete och att möjligheten att ställa skrif</w:t>
      </w:r>
      <w:r w:rsidRPr="00A27C50">
        <w:t>t</w:t>
      </w:r>
      <w:r w:rsidRPr="00A27C50">
        <w:t>liga frågor till Östersjöregeringar undersöks.</w:t>
      </w:r>
    </w:p>
    <w:p w:rsidR="000D6448" w:rsidRPr="00A27C50" w:rsidRDefault="000D6448">
      <w:pPr>
        <w:pStyle w:val="Normaltindrag"/>
      </w:pPr>
      <w:r w:rsidRPr="00A27C50">
        <w:t>Konferensen 2005 äger rum den 28–30 augusti i Vilnius. Teman för denna konferens är stabilitet och demokrati i ett utvidgat Europa, former för ett närmare samarbete i ett utvi</w:t>
      </w:r>
      <w:r w:rsidRPr="00A27C50">
        <w:t>d</w:t>
      </w:r>
      <w:r w:rsidRPr="00A27C50">
        <w:t>gat Europa och samarbete i Östersjöregionen.</w:t>
      </w:r>
      <w:r w:rsidRPr="00A27C50">
        <w:tab/>
      </w:r>
    </w:p>
    <w:p w:rsidR="000D6448" w:rsidRPr="00A27C50" w:rsidRDefault="000D6448">
      <w:pPr>
        <w:pStyle w:val="Normaltindrag"/>
      </w:pPr>
      <w:r w:rsidRPr="00A27C50">
        <w:t xml:space="preserve">Regeringarnas Östersjösamarbete äger rum inom Östersjöstaternas råd (Council of the Baltic Sea States, CBSS) med sekretariat i Stockholm (Strömsborg). </w:t>
      </w:r>
    </w:p>
    <w:p w:rsidR="000D6448" w:rsidRPr="00A27C50" w:rsidRDefault="000D6448">
      <w:pPr>
        <w:rPr>
          <w:i/>
        </w:rPr>
      </w:pPr>
      <w:r w:rsidRPr="00A27C50">
        <w:rPr>
          <w:i/>
        </w:rPr>
        <w:t>Slutdokumentet från konferensen bifogas berättelsen i bilaga 4.</w:t>
      </w:r>
    </w:p>
    <w:p w:rsidR="000D6448" w:rsidRPr="00A27C50" w:rsidRDefault="000D6448"/>
    <w:p w:rsidR="000D6448" w:rsidRPr="00A27C50" w:rsidRDefault="000D6448"/>
    <w:p w:rsidR="000D6448" w:rsidRPr="00A27C50" w:rsidRDefault="000D6448">
      <w:pPr>
        <w:rPr>
          <w:sz w:val="28"/>
        </w:rPr>
        <w:sectPr w:rsidR="000D6448" w:rsidRPr="00A27C5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0D6448" w:rsidRPr="00A27C50" w:rsidRDefault="000D6448" w:rsidP="00AE1E67">
      <w:pPr>
        <w:pStyle w:val="Rubrik1"/>
        <w:rPr>
          <w:noProof w:val="0"/>
        </w:rPr>
      </w:pPr>
      <w:bookmarkStart w:id="18" w:name="_Toc98294590"/>
      <w:r w:rsidRPr="00A27C50">
        <w:rPr>
          <w:noProof w:val="0"/>
        </w:rPr>
        <w:t>10 Arktiskt samarbete</w:t>
      </w:r>
      <w:bookmarkEnd w:id="18"/>
    </w:p>
    <w:p w:rsidR="000D6448" w:rsidRPr="00A27C50" w:rsidRDefault="000D6448" w:rsidP="00AE1E67">
      <w:pPr>
        <w:spacing w:before="0"/>
      </w:pPr>
      <w:r w:rsidRPr="00A27C50">
        <w:t>Verksamheten under 2004 i det arktiska parlamentariska samarbetet har varit omfattande för den svenske representanten Runar Patriksson. Han har dels deltagit i de tre kommittémötena som hållits under året, dels ansvarat för en arbetsgrupp, tillsammans med de norska och finska representanterna, om utveckling av ett IT-projekt i Tornedalsregionen och dels lett den svenska delegationen vid den arktiska parl</w:t>
      </w:r>
      <w:r w:rsidRPr="00A27C50">
        <w:t>a</w:t>
      </w:r>
      <w:r w:rsidRPr="00A27C50">
        <w:t xml:space="preserve">mentarikerkonferensen i Nuuk, Grönland. </w:t>
      </w:r>
    </w:p>
    <w:p w:rsidR="000D6448" w:rsidRPr="00A27C50" w:rsidRDefault="000D6448" w:rsidP="00AE1E67">
      <w:pPr>
        <w:pStyle w:val="Rubrik2"/>
      </w:pPr>
      <w:r w:rsidRPr="00A27C50">
        <w:t>Den arktiska parlamentarikerkonferensen</w:t>
      </w:r>
    </w:p>
    <w:p w:rsidR="000D6448" w:rsidRPr="00A27C50" w:rsidRDefault="000D6448">
      <w:r w:rsidRPr="00A27C50">
        <w:t>Den arktiska parlamentarikerkonferensen hålls vartannat år i något av me</w:t>
      </w:r>
      <w:r w:rsidRPr="00A27C50">
        <w:t>d</w:t>
      </w:r>
      <w:r w:rsidRPr="00A27C50">
        <w:t>lemsländerna och är det högsta beslutande organet inom det arktiska parl</w:t>
      </w:r>
      <w:r w:rsidRPr="00A27C50">
        <w:t>a</w:t>
      </w:r>
      <w:r w:rsidRPr="00A27C50">
        <w:t>mentariska samarbetet. Den sjätte arktiska parlamentarikerkonferensen hölls i Nuuk, Grönland, den 3–5 september 2004. Ett 60-tal parlamentariker och lika många tjänstemän och experter deltog i konferensen. Riksdagen har inte en permanent arktisk delegation, utan den utses inför varje konferens. Delegati</w:t>
      </w:r>
      <w:r w:rsidRPr="00A27C50">
        <w:t>o</w:t>
      </w:r>
      <w:r w:rsidRPr="00A27C50">
        <w:t>nen skall bestå av fem delegater (tre från s, en från m, en från fp), vilka nom</w:t>
      </w:r>
      <w:r w:rsidRPr="00A27C50">
        <w:t>i</w:t>
      </w:r>
      <w:r w:rsidRPr="00A27C50">
        <w:t xml:space="preserve">neras av respektive parti. </w:t>
      </w:r>
    </w:p>
    <w:p w:rsidR="000D6448" w:rsidRPr="00A27C50" w:rsidRDefault="000D6448">
      <w:pPr>
        <w:pStyle w:val="Normaltindrag"/>
      </w:pPr>
      <w:r w:rsidRPr="00A27C50">
        <w:t>Följande ledamöter ingick i den svenska delegationen till Nuukkonfere</w:t>
      </w:r>
      <w:r w:rsidRPr="00A27C50">
        <w:t>n</w:t>
      </w:r>
      <w:r w:rsidRPr="00A27C50">
        <w:t xml:space="preserve">sen: Runar Patriksson (fp), Berndt Ekholm (s), Sinikka Bohlin (s), Fredrik Olovsson (s) och Cecilia Widegren (m). Därutöver deltog Gabriel Romanus (fp) i egenskap av Nordiska rådets president samt Kent Olsson (m) i egenskap av ordförande i den permanenta kommittén för Östersjökonferensen. </w:t>
      </w:r>
    </w:p>
    <w:p w:rsidR="000D6448" w:rsidRPr="00A27C50" w:rsidRDefault="000D6448">
      <w:pPr>
        <w:pStyle w:val="Normaltindrag"/>
      </w:pPr>
      <w:r w:rsidRPr="00A27C50">
        <w:t>Huvudfrågorna under den sjätte konferensen var klimatförändringarna, s</w:t>
      </w:r>
      <w:r w:rsidRPr="00A27C50">
        <w:t>o</w:t>
      </w:r>
      <w:r w:rsidRPr="00A27C50">
        <w:t>cial och ekonomisk utveckling i den arktiska regionen samt ekoturism och maritim transport. Ett slutdokument med rekommendationer till Arktiska rådet, EU:s i</w:t>
      </w:r>
      <w:r w:rsidRPr="00A27C50">
        <w:t>n</w:t>
      </w:r>
      <w:r w:rsidRPr="00A27C50">
        <w:t xml:space="preserve">stitutioner och regeringarna i de åtta medlemsstaterna antogs. </w:t>
      </w:r>
    </w:p>
    <w:p w:rsidR="000D6448" w:rsidRPr="00A27C50" w:rsidRDefault="000D6448" w:rsidP="00AE1E67">
      <w:pPr>
        <w:pStyle w:val="Rubrik2"/>
      </w:pPr>
      <w:r w:rsidRPr="00A27C50">
        <w:t xml:space="preserve">Den arktiska parlamentariska samarbetskommittén </w:t>
      </w:r>
    </w:p>
    <w:p w:rsidR="000D6448" w:rsidRPr="00A27C50" w:rsidRDefault="000D6448">
      <w:r w:rsidRPr="00A27C50">
        <w:t>Den arktiska parlamentariska samarbetskommittén har hållit tre möten under 2004. I samband med att konferensen i Nuuk avslutades avtackades ordföra</w:t>
      </w:r>
      <w:r w:rsidRPr="00A27C50">
        <w:t>n</w:t>
      </w:r>
      <w:r w:rsidRPr="00A27C50">
        <w:t xml:space="preserve">den i kommittén Clifford Lincoln för sina många år och goda insatser som ledare för den permanenta kommittén. Till ny ordförande valdes enhälligt Hill-Marta Solberg från norska Stortinget. </w:t>
      </w:r>
    </w:p>
    <w:p w:rsidR="000D6448" w:rsidRPr="00A27C50" w:rsidRDefault="000D6448">
      <w:pPr>
        <w:pStyle w:val="Normaltindrag"/>
      </w:pPr>
      <w:r w:rsidRPr="00A27C50">
        <w:t>Ett särskilt uppdrag för den svenska representanten, som löpt under hela året, har varit att leda en arbetsgrupp som har haft till uppgift att ta fram ett projektförslag gällande IT-utveckling i en begränsad del av den arktiska reg</w:t>
      </w:r>
      <w:r w:rsidRPr="00A27C50">
        <w:t>i</w:t>
      </w:r>
      <w:r w:rsidRPr="00A27C50">
        <w:t>onen. Åtskilliga studiebesök har genomförts i de norra delarna av Sverige, Norge och Finland. Vid Arktiska rådets ministermöte den 24 november 2004 presenterades förslaget från den arktiska parlamentariska samarbets</w:t>
      </w:r>
      <w:r w:rsidR="00E80B1E" w:rsidRPr="00A27C50">
        <w:softHyphen/>
      </w:r>
      <w:r w:rsidRPr="00A27C50">
        <w:t>kom</w:t>
      </w:r>
      <w:r w:rsidR="00E80B1E" w:rsidRPr="00A27C50">
        <w:softHyphen/>
      </w:r>
      <w:r w:rsidRPr="00A27C50">
        <w:t>mit</w:t>
      </w:r>
      <w:r w:rsidR="00E80B1E" w:rsidRPr="00A27C50">
        <w:softHyphen/>
      </w:r>
      <w:r w:rsidRPr="00A27C50">
        <w:t xml:space="preserve">tén. Ingen slutgiltig ställning har ännu tagits till förslaget. </w:t>
      </w:r>
    </w:p>
    <w:p w:rsidR="000D6448" w:rsidRPr="00A27C50" w:rsidRDefault="000D6448">
      <w:pPr>
        <w:rPr>
          <w:i/>
        </w:rPr>
      </w:pPr>
      <w:r w:rsidRPr="00A27C50">
        <w:rPr>
          <w:i/>
        </w:rPr>
        <w:t>Slutdokumentet från konferensen bifogas berättelsen i bilaga 5.</w:t>
      </w:r>
    </w:p>
    <w:p w:rsidR="000D6448" w:rsidRPr="00A27C50" w:rsidRDefault="000D6448">
      <w:pPr>
        <w:tabs>
          <w:tab w:val="left" w:pos="3969"/>
          <w:tab w:val="left" w:pos="4253"/>
          <w:tab w:val="left" w:pos="7088"/>
        </w:tabs>
        <w:rPr>
          <w:sz w:val="28"/>
        </w:rPr>
        <w:sectPr w:rsidR="000D6448" w:rsidRPr="00A27C50">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0D6448" w:rsidRPr="00A27C50" w:rsidRDefault="000D6448">
      <w:pPr>
        <w:pStyle w:val="Bilaga"/>
      </w:pPr>
      <w:r w:rsidRPr="00A27C50">
        <w:t>Bilaga 1</w:t>
      </w:r>
    </w:p>
    <w:p w:rsidR="000D6448" w:rsidRPr="00A27C50" w:rsidRDefault="000D6448">
      <w:pPr>
        <w:pStyle w:val="Rubrik1"/>
        <w:spacing w:after="240"/>
        <w:rPr>
          <w:noProof w:val="0"/>
        </w:rPr>
      </w:pPr>
      <w:bookmarkStart w:id="19" w:name="_Toc98294591"/>
      <w:r w:rsidRPr="00A27C50">
        <w:rPr>
          <w:noProof w:val="0"/>
        </w:rPr>
        <w:t>Nordiska rådets svenska delegation 2004</w:t>
      </w:r>
      <w:bookmarkEnd w:id="19"/>
    </w:p>
    <w:p w:rsidR="000D6448" w:rsidRPr="00A27C50" w:rsidRDefault="000D6448">
      <w:pPr>
        <w:tabs>
          <w:tab w:val="left" w:pos="3969"/>
          <w:tab w:val="left" w:pos="4253"/>
          <w:tab w:val="left" w:pos="7088"/>
        </w:tabs>
        <w:rPr>
          <w:b/>
          <w:sz w:val="24"/>
        </w:rPr>
      </w:pPr>
      <w:r w:rsidRPr="00A27C50">
        <w:rPr>
          <w:b/>
          <w:sz w:val="24"/>
        </w:rPr>
        <w:t>Medlemmar</w:t>
      </w:r>
    </w:p>
    <w:p w:rsidR="000D6448" w:rsidRPr="00A27C50" w:rsidRDefault="000D6448">
      <w:r w:rsidRPr="00A27C50">
        <w:t>Anita Johansson (s)</w:t>
      </w:r>
    </w:p>
    <w:p w:rsidR="000D6448" w:rsidRPr="00A27C50" w:rsidRDefault="000D6448">
      <w:r w:rsidRPr="00A27C50">
        <w:t>Reynoldh Furustrand (s)</w:t>
      </w:r>
    </w:p>
    <w:p w:rsidR="000D6448" w:rsidRPr="00A27C50" w:rsidRDefault="000D6448">
      <w:r w:rsidRPr="00A27C50">
        <w:t>Kent Olsson (m)</w:t>
      </w:r>
    </w:p>
    <w:p w:rsidR="000D6448" w:rsidRPr="00A27C50" w:rsidRDefault="000D6448">
      <w:r w:rsidRPr="00A27C50">
        <w:t>Gabriel Romanus (fp)</w:t>
      </w:r>
    </w:p>
    <w:p w:rsidR="000D6448" w:rsidRPr="00A27C50" w:rsidRDefault="000D6448">
      <w:r w:rsidRPr="00A27C50">
        <w:t>Margareta Israelsson (s)</w:t>
      </w:r>
    </w:p>
    <w:p w:rsidR="000D6448" w:rsidRPr="00A27C50" w:rsidRDefault="000D6448">
      <w:pPr>
        <w:tabs>
          <w:tab w:val="left" w:pos="1985"/>
        </w:tabs>
      </w:pPr>
      <w:r w:rsidRPr="00A27C50">
        <w:t>Per Erik Granström (s)</w:t>
      </w:r>
      <w:r w:rsidRPr="00A27C50">
        <w:tab/>
        <w:t>Ersattes av Lennart Axelsson den 28 oktober 2004</w:t>
      </w:r>
    </w:p>
    <w:p w:rsidR="000D6448" w:rsidRPr="00A27C50" w:rsidRDefault="000D6448">
      <w:pPr>
        <w:tabs>
          <w:tab w:val="left" w:pos="1985"/>
        </w:tabs>
      </w:pPr>
      <w:r w:rsidRPr="00A27C50">
        <w:t>Tuve Skånberg (kd)</w:t>
      </w:r>
    </w:p>
    <w:p w:rsidR="000D6448" w:rsidRPr="00A27C50" w:rsidRDefault="000D6448">
      <w:pPr>
        <w:tabs>
          <w:tab w:val="left" w:pos="1985"/>
        </w:tabs>
      </w:pPr>
      <w:r w:rsidRPr="00A27C50">
        <w:t>Lennart Gustavsson (v)</w:t>
      </w:r>
      <w:r w:rsidRPr="00A27C50">
        <w:tab/>
        <w:t>Ersattes av Elina Linna den 16 december 2004</w:t>
      </w:r>
    </w:p>
    <w:p w:rsidR="000D6448" w:rsidRPr="00A27C50" w:rsidRDefault="000D6448">
      <w:pPr>
        <w:tabs>
          <w:tab w:val="left" w:pos="1985"/>
        </w:tabs>
      </w:pPr>
      <w:r w:rsidRPr="00A27C50">
        <w:t>Marianne Carlström (s)</w:t>
      </w:r>
    </w:p>
    <w:p w:rsidR="000D6448" w:rsidRPr="00A27C50" w:rsidRDefault="000D6448">
      <w:pPr>
        <w:tabs>
          <w:tab w:val="left" w:pos="1985"/>
        </w:tabs>
      </w:pPr>
      <w:r w:rsidRPr="00A27C50">
        <w:t>Inger René (m)</w:t>
      </w:r>
    </w:p>
    <w:p w:rsidR="000D6448" w:rsidRPr="00A27C50" w:rsidRDefault="000D6448">
      <w:pPr>
        <w:tabs>
          <w:tab w:val="left" w:pos="1985"/>
        </w:tabs>
      </w:pPr>
      <w:r w:rsidRPr="00A27C50">
        <w:t>Sinikka Bohlin (s)</w:t>
      </w:r>
    </w:p>
    <w:p w:rsidR="000D6448" w:rsidRPr="00A27C50" w:rsidRDefault="000D6448">
      <w:pPr>
        <w:tabs>
          <w:tab w:val="left" w:pos="1985"/>
        </w:tabs>
      </w:pPr>
      <w:r w:rsidRPr="00A27C50">
        <w:t>Heli Berg (fp)</w:t>
      </w:r>
    </w:p>
    <w:p w:rsidR="000D6448" w:rsidRPr="00A27C50" w:rsidRDefault="000D6448">
      <w:pPr>
        <w:tabs>
          <w:tab w:val="left" w:pos="1985"/>
        </w:tabs>
      </w:pPr>
      <w:r w:rsidRPr="00A27C50">
        <w:t>Agne Hansson (c)</w:t>
      </w:r>
    </w:p>
    <w:p w:rsidR="000D6448" w:rsidRPr="00A27C50" w:rsidRDefault="000D6448">
      <w:pPr>
        <w:tabs>
          <w:tab w:val="left" w:pos="1985"/>
        </w:tabs>
      </w:pPr>
      <w:r w:rsidRPr="00A27C50">
        <w:t>Lars Wegendal (s)</w:t>
      </w:r>
    </w:p>
    <w:p w:rsidR="000D6448" w:rsidRPr="00A27C50" w:rsidRDefault="000D6448">
      <w:pPr>
        <w:tabs>
          <w:tab w:val="left" w:pos="1985"/>
        </w:tabs>
        <w:jc w:val="left"/>
      </w:pPr>
      <w:r w:rsidRPr="00A27C50">
        <w:t>Ola Sundell (m)</w:t>
      </w:r>
      <w:r w:rsidRPr="00A27C50">
        <w:tab/>
      </w:r>
      <w:r w:rsidRPr="00A27C50">
        <w:rPr>
          <w:spacing w:val="-4"/>
        </w:rPr>
        <w:t>Ersattes av Rolf Gunnarsson den 23 september</w:t>
      </w:r>
      <w:r w:rsidRPr="00A27C50">
        <w:t xml:space="preserve"> 2004</w:t>
      </w:r>
    </w:p>
    <w:p w:rsidR="000D6448" w:rsidRPr="00A27C50" w:rsidRDefault="000D6448">
      <w:pPr>
        <w:tabs>
          <w:tab w:val="left" w:pos="1985"/>
        </w:tabs>
      </w:pPr>
      <w:r w:rsidRPr="00A27C50">
        <w:t>Nils-Erik Söderqvist (s)</w:t>
      </w:r>
    </w:p>
    <w:p w:rsidR="000D6448" w:rsidRPr="00A27C50" w:rsidRDefault="000D6448">
      <w:pPr>
        <w:tabs>
          <w:tab w:val="left" w:pos="1985"/>
        </w:tabs>
      </w:pPr>
      <w:r w:rsidRPr="00A27C50">
        <w:t>Barbro Feltzing (mp)</w:t>
      </w:r>
    </w:p>
    <w:p w:rsidR="000D6448" w:rsidRPr="00A27C50" w:rsidRDefault="000D6448">
      <w:pPr>
        <w:tabs>
          <w:tab w:val="left" w:pos="1985"/>
        </w:tabs>
      </w:pPr>
      <w:r w:rsidRPr="00A27C50">
        <w:t>Gunilla Tjernberg (kd)</w:t>
      </w:r>
    </w:p>
    <w:p w:rsidR="000D6448" w:rsidRPr="00A27C50" w:rsidRDefault="000D6448">
      <w:pPr>
        <w:tabs>
          <w:tab w:val="left" w:pos="1985"/>
        </w:tabs>
      </w:pPr>
      <w:r w:rsidRPr="00A27C50">
        <w:t>Berndt Sköldestig (s)</w:t>
      </w:r>
    </w:p>
    <w:p w:rsidR="000D6448" w:rsidRPr="00A27C50" w:rsidRDefault="000D6448">
      <w:pPr>
        <w:tabs>
          <w:tab w:val="left" w:pos="1985"/>
        </w:tabs>
      </w:pPr>
      <w:r w:rsidRPr="00A27C50">
        <w:t>Runar Patriksson (fp)</w:t>
      </w:r>
    </w:p>
    <w:p w:rsidR="000D6448" w:rsidRPr="00A27C50" w:rsidRDefault="000D6448">
      <w:pPr>
        <w:tabs>
          <w:tab w:val="left" w:pos="3969"/>
          <w:tab w:val="left" w:pos="4253"/>
          <w:tab w:val="left" w:pos="7088"/>
        </w:tabs>
        <w:rPr>
          <w:b/>
          <w:sz w:val="24"/>
        </w:rPr>
      </w:pPr>
      <w:r w:rsidRPr="00A27C50">
        <w:rPr>
          <w:b/>
          <w:sz w:val="24"/>
        </w:rPr>
        <w:t>Suppleanter</w:t>
      </w:r>
    </w:p>
    <w:p w:rsidR="000D6448" w:rsidRPr="00A27C50" w:rsidRDefault="000D6448">
      <w:pPr>
        <w:tabs>
          <w:tab w:val="left" w:pos="1985"/>
        </w:tabs>
      </w:pPr>
      <w:r w:rsidRPr="00A27C50">
        <w:t>Britt Bohlin Olsson (s)</w:t>
      </w:r>
    </w:p>
    <w:p w:rsidR="000D6448" w:rsidRPr="00A27C50" w:rsidRDefault="000D6448">
      <w:pPr>
        <w:tabs>
          <w:tab w:val="left" w:pos="1985"/>
        </w:tabs>
      </w:pPr>
      <w:r w:rsidRPr="00A27C50">
        <w:t>Paavo Vallius (s)</w:t>
      </w:r>
    </w:p>
    <w:p w:rsidR="000D6448" w:rsidRPr="00A27C50" w:rsidRDefault="000D6448">
      <w:pPr>
        <w:tabs>
          <w:tab w:val="left" w:pos="1985"/>
        </w:tabs>
      </w:pPr>
      <w:r w:rsidRPr="00A27C50">
        <w:t>Fredrik Reinfeldt (m)</w:t>
      </w:r>
    </w:p>
    <w:p w:rsidR="000D6448" w:rsidRPr="00A27C50" w:rsidRDefault="000D6448">
      <w:pPr>
        <w:tabs>
          <w:tab w:val="left" w:pos="1985"/>
        </w:tabs>
      </w:pPr>
      <w:r w:rsidRPr="00A27C50">
        <w:t>Lars Leijonborg (fp)</w:t>
      </w:r>
    </w:p>
    <w:p w:rsidR="000D6448" w:rsidRPr="00A27C50" w:rsidRDefault="000D6448">
      <w:pPr>
        <w:tabs>
          <w:tab w:val="left" w:pos="1985"/>
        </w:tabs>
      </w:pPr>
      <w:r w:rsidRPr="00A27C50">
        <w:t>Eva Arvidsson (s)</w:t>
      </w:r>
    </w:p>
    <w:p w:rsidR="000D6448" w:rsidRPr="00A27C50" w:rsidRDefault="000D6448">
      <w:pPr>
        <w:tabs>
          <w:tab w:val="left" w:pos="1985"/>
        </w:tabs>
      </w:pPr>
      <w:r w:rsidRPr="00A27C50">
        <w:t>Michael Hagberg (s)</w:t>
      </w:r>
    </w:p>
    <w:p w:rsidR="000D6448" w:rsidRPr="00A27C50" w:rsidRDefault="000D6448">
      <w:pPr>
        <w:tabs>
          <w:tab w:val="left" w:pos="1985"/>
        </w:tabs>
      </w:pPr>
      <w:r w:rsidRPr="00A27C50">
        <w:t>Alf Svensson (kd)</w:t>
      </w:r>
      <w:r w:rsidRPr="00A27C50">
        <w:tab/>
        <w:t>Ersattes av Göran Hägglund den 29 april 2004</w:t>
      </w:r>
    </w:p>
    <w:p w:rsidR="000D6448" w:rsidRPr="00A27C50" w:rsidRDefault="000D6448">
      <w:pPr>
        <w:tabs>
          <w:tab w:val="left" w:pos="1985"/>
        </w:tabs>
      </w:pPr>
      <w:r w:rsidRPr="00A27C50">
        <w:t>Elina Linna (v)</w:t>
      </w:r>
      <w:r w:rsidRPr="00A27C50">
        <w:tab/>
        <w:t>Ersattes av Lars Ohly den 16 december 2004</w:t>
      </w:r>
    </w:p>
    <w:p w:rsidR="000D6448" w:rsidRPr="00A27C50" w:rsidRDefault="000D6448">
      <w:pPr>
        <w:tabs>
          <w:tab w:val="left" w:pos="1985"/>
        </w:tabs>
      </w:pPr>
      <w:r w:rsidRPr="00A27C50">
        <w:t>Ann-Kristine Johansson (s)</w:t>
      </w:r>
    </w:p>
    <w:p w:rsidR="000D6448" w:rsidRPr="00A27C50" w:rsidRDefault="000D6448">
      <w:pPr>
        <w:tabs>
          <w:tab w:val="left" w:pos="1985"/>
        </w:tabs>
      </w:pPr>
      <w:r w:rsidRPr="00A27C50">
        <w:t>Cecilia Widegren (m)</w:t>
      </w:r>
    </w:p>
    <w:p w:rsidR="000D6448" w:rsidRPr="00A27C50" w:rsidRDefault="000D6448">
      <w:pPr>
        <w:tabs>
          <w:tab w:val="left" w:pos="1985"/>
        </w:tabs>
      </w:pPr>
      <w:r w:rsidRPr="00A27C50">
        <w:t>Lennart Nilsson (s)</w:t>
      </w:r>
    </w:p>
    <w:p w:rsidR="000D6448" w:rsidRPr="00A27C50" w:rsidRDefault="000D6448">
      <w:pPr>
        <w:tabs>
          <w:tab w:val="left" w:pos="1985"/>
        </w:tabs>
      </w:pPr>
      <w:r w:rsidRPr="00A27C50">
        <w:t>Marita Aronson (fp)</w:t>
      </w:r>
    </w:p>
    <w:p w:rsidR="000D6448" w:rsidRPr="00A27C50" w:rsidRDefault="000D6448">
      <w:pPr>
        <w:tabs>
          <w:tab w:val="left" w:pos="1985"/>
        </w:tabs>
      </w:pPr>
      <w:r w:rsidRPr="00A27C50">
        <w:t>Maud Olofsson (c)</w:t>
      </w:r>
    </w:p>
    <w:p w:rsidR="000D6448" w:rsidRPr="00A27C50" w:rsidRDefault="000D6448">
      <w:pPr>
        <w:tabs>
          <w:tab w:val="left" w:pos="1985"/>
        </w:tabs>
      </w:pPr>
      <w:r w:rsidRPr="00A27C50">
        <w:t>Monica Green (s)</w:t>
      </w:r>
    </w:p>
    <w:p w:rsidR="000D6448" w:rsidRPr="00A27C50" w:rsidRDefault="000D6448">
      <w:pPr>
        <w:tabs>
          <w:tab w:val="left" w:pos="1985"/>
        </w:tabs>
      </w:pPr>
      <w:r w:rsidRPr="00A27C50">
        <w:t>Göran Lennmarker (m)</w:t>
      </w:r>
      <w:r w:rsidRPr="00A27C50">
        <w:tab/>
      </w:r>
      <w:r w:rsidRPr="00A27C50">
        <w:rPr>
          <w:spacing w:val="-4"/>
        </w:rPr>
        <w:t>Ersattes av Gunilla Carlsson den 23 september</w:t>
      </w:r>
      <w:r w:rsidRPr="00A27C50">
        <w:t xml:space="preserve"> 2004</w:t>
      </w:r>
    </w:p>
    <w:p w:rsidR="000D6448" w:rsidRPr="00A27C50" w:rsidRDefault="000D6448">
      <w:pPr>
        <w:tabs>
          <w:tab w:val="left" w:pos="1985"/>
        </w:tabs>
      </w:pPr>
      <w:r w:rsidRPr="00A27C50">
        <w:t>Ronny Olander (s)</w:t>
      </w:r>
    </w:p>
    <w:p w:rsidR="000D6448" w:rsidRPr="00A27C50" w:rsidRDefault="000D6448">
      <w:pPr>
        <w:tabs>
          <w:tab w:val="left" w:pos="1985"/>
        </w:tabs>
      </w:pPr>
      <w:r w:rsidRPr="00A27C50">
        <w:t>Maria Wetterstrand (mp)</w:t>
      </w:r>
    </w:p>
    <w:p w:rsidR="000D6448" w:rsidRPr="00A27C50" w:rsidRDefault="000D6448">
      <w:pPr>
        <w:tabs>
          <w:tab w:val="left" w:pos="1985"/>
        </w:tabs>
      </w:pPr>
      <w:r w:rsidRPr="00A27C50">
        <w:t>Else-Marie Lindgren (kd)</w:t>
      </w:r>
    </w:p>
    <w:p w:rsidR="000D6448" w:rsidRPr="00A27C50" w:rsidRDefault="000D6448">
      <w:pPr>
        <w:tabs>
          <w:tab w:val="left" w:pos="1985"/>
        </w:tabs>
      </w:pPr>
      <w:r w:rsidRPr="00A27C50">
        <w:t>Lena Ek (c)</w:t>
      </w:r>
      <w:r w:rsidRPr="00A27C50">
        <w:tab/>
        <w:t>Ersattes av Johan Linander den 23 september 2004</w:t>
      </w:r>
    </w:p>
    <w:p w:rsidR="000D6448" w:rsidRPr="00A27C50" w:rsidRDefault="000D6448">
      <w:r w:rsidRPr="00A27C50">
        <w:t>Sverker Thorén (fp)</w:t>
      </w:r>
    </w:p>
    <w:p w:rsidR="000D6448" w:rsidRPr="00A27C50" w:rsidRDefault="000D6448">
      <w:pPr>
        <w:pStyle w:val="Rubrik1"/>
        <w:rPr>
          <w:noProof w:val="0"/>
        </w:rPr>
      </w:pPr>
    </w:p>
    <w:p w:rsidR="000D6448" w:rsidRPr="00A27C50" w:rsidRDefault="000D6448">
      <w:pPr>
        <w:pStyle w:val="Normaltindrag"/>
      </w:pPr>
    </w:p>
    <w:p w:rsidR="000D6448" w:rsidRPr="00A27C50" w:rsidRDefault="000D6448">
      <w:pPr>
        <w:pStyle w:val="Normaltindrag"/>
        <w:sectPr w:rsidR="000D6448" w:rsidRPr="00A27C50">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0D6448" w:rsidRPr="00A27C50" w:rsidRDefault="000D6448">
      <w:pPr>
        <w:pStyle w:val="Bilaga"/>
      </w:pPr>
      <w:r w:rsidRPr="00A27C50">
        <w:t>Bilaga 2</w:t>
      </w:r>
    </w:p>
    <w:p w:rsidR="000D6448" w:rsidRPr="00A27C50" w:rsidRDefault="000D6448">
      <w:pPr>
        <w:pStyle w:val="R1"/>
        <w:rPr>
          <w:b/>
        </w:rPr>
      </w:pPr>
      <w:r w:rsidRPr="00A27C50">
        <w:t>Deklaration antagen vid seminarium om människohandel för sexuellt utnyttjande, Piteå den 23–25 mars 2004</w:t>
      </w:r>
    </w:p>
    <w:p w:rsidR="000D6448" w:rsidRPr="00A27C50" w:rsidRDefault="000D6448">
      <w:pPr>
        <w:spacing w:before="125"/>
      </w:pPr>
      <w:r w:rsidRPr="00A27C50">
        <w:t>Vi unga parlamentariker i Barentsregionen och representanter för Nordiska rådets medborgar- och konsumentutskott</w:t>
      </w:r>
    </w:p>
    <w:p w:rsidR="000D6448" w:rsidRPr="00A27C50" w:rsidRDefault="000D6448">
      <w:pPr>
        <w:spacing w:before="125"/>
      </w:pPr>
      <w:r w:rsidRPr="00A27C50">
        <w:t>sammanträdde i Piteå, Sverige, den 23–25 mars 2004 för att diskutera männ</w:t>
      </w:r>
      <w:r w:rsidRPr="00A27C50">
        <w:t>i</w:t>
      </w:r>
      <w:r w:rsidRPr="00A27C50">
        <w:t>skohandeln som vi anser har utvecklats till ett allvarligt och tilltagande pr</w:t>
      </w:r>
      <w:r w:rsidRPr="00A27C50">
        <w:t>o</w:t>
      </w:r>
      <w:r w:rsidRPr="00A27C50">
        <w:t>blem i de berörda länderna,</w:t>
      </w:r>
    </w:p>
    <w:p w:rsidR="000D6448" w:rsidRPr="00A27C50" w:rsidRDefault="000D6448">
      <w:pPr>
        <w:spacing w:before="187"/>
      </w:pPr>
      <w:r w:rsidRPr="00A27C50">
        <w:rPr>
          <w:b/>
        </w:rPr>
        <w:t>A.</w:t>
      </w:r>
      <w:r w:rsidRPr="00A27C50">
        <w:t xml:space="preserve"> 1</w:t>
      </w:r>
    </w:p>
    <w:p w:rsidR="000D6448" w:rsidRPr="00A27C50" w:rsidRDefault="000D6448">
      <w:r w:rsidRPr="00A27C50">
        <w:rPr>
          <w:b/>
        </w:rPr>
        <w:t>Fördömer</w:t>
      </w:r>
      <w:r w:rsidRPr="00A27C50">
        <w:t xml:space="preserve"> människohandel som ett av de mest avskyvärda exemplen på brott mot mänskliga rättigheter;</w:t>
      </w:r>
    </w:p>
    <w:p w:rsidR="000D6448" w:rsidRPr="00A27C50" w:rsidRDefault="000D6448">
      <w:pPr>
        <w:spacing w:before="240"/>
      </w:pPr>
      <w:r w:rsidRPr="00A27C50">
        <w:rPr>
          <w:b/>
        </w:rPr>
        <w:t>B.</w:t>
      </w:r>
      <w:r w:rsidRPr="00A27C50">
        <w:t xml:space="preserve"> 2</w:t>
      </w:r>
    </w:p>
    <w:p w:rsidR="000D6448" w:rsidRPr="00A27C50" w:rsidRDefault="000D6448">
      <w:r w:rsidRPr="00A27C50">
        <w:rPr>
          <w:b/>
        </w:rPr>
        <w:t>Poängterar</w:t>
      </w:r>
      <w:r w:rsidRPr="00A27C50">
        <w:t xml:space="preserve"> behovet och nödvändigheten av nationellt, regionalt och intern</w:t>
      </w:r>
      <w:r w:rsidRPr="00A27C50">
        <w:t>a</w:t>
      </w:r>
      <w:r w:rsidRPr="00A27C50">
        <w:t>tionellt samarbete i kampen mot människohandel;</w:t>
      </w:r>
    </w:p>
    <w:p w:rsidR="000D6448" w:rsidRPr="00A27C50" w:rsidRDefault="000D6448">
      <w:pPr>
        <w:spacing w:before="240"/>
      </w:pPr>
      <w:r w:rsidRPr="00A27C50">
        <w:rPr>
          <w:b/>
        </w:rPr>
        <w:t>C.</w:t>
      </w:r>
      <w:r w:rsidRPr="00A27C50">
        <w:t xml:space="preserve"> 3</w:t>
      </w:r>
    </w:p>
    <w:p w:rsidR="000D6448" w:rsidRPr="00A27C50" w:rsidRDefault="000D6448">
      <w:r w:rsidRPr="00A27C50">
        <w:rPr>
          <w:b/>
        </w:rPr>
        <w:t xml:space="preserve">Tar i betraktande </w:t>
      </w:r>
      <w:r w:rsidRPr="00A27C50">
        <w:t>den pågående utredningen av möjligheterna att förse offren för människohandel med temporära eller permanenta uppehållstillstånd i mottagarländerna, som inkluderats i den deklaration de nordiska och baltiska ministrarna antog i Stockholm den 9 april 2003;</w:t>
      </w:r>
    </w:p>
    <w:p w:rsidR="000D6448" w:rsidRPr="00A27C50" w:rsidRDefault="000D6448">
      <w:pPr>
        <w:spacing w:before="240"/>
        <w:rPr>
          <w:b/>
        </w:rPr>
      </w:pPr>
      <w:r w:rsidRPr="00A27C50">
        <w:rPr>
          <w:b/>
        </w:rPr>
        <w:t>D.</w:t>
      </w:r>
    </w:p>
    <w:p w:rsidR="000D6448" w:rsidRPr="00A27C50" w:rsidRDefault="000D6448">
      <w:r w:rsidRPr="00A27C50">
        <w:rPr>
          <w:b/>
        </w:rPr>
        <w:t>Uppmanar</w:t>
      </w:r>
      <w:r w:rsidRPr="00A27C50">
        <w:t xml:space="preserve"> regeringarna i de nordiska länderna och Ryssland, Nordiska ministerrådet, Barents euro-arktiska råd och Barents regionråd att</w:t>
      </w:r>
    </w:p>
    <w:p w:rsidR="000D6448" w:rsidRPr="00A27C50" w:rsidRDefault="000D6448">
      <w:pPr>
        <w:spacing w:before="120"/>
      </w:pPr>
      <w:r w:rsidRPr="00A27C50">
        <w:t xml:space="preserve">4 </w:t>
      </w:r>
    </w:p>
    <w:p w:rsidR="000D6448" w:rsidRPr="00A27C50" w:rsidRDefault="000D6448">
      <w:pPr>
        <w:spacing w:before="0"/>
      </w:pPr>
      <w:r w:rsidRPr="00A27C50">
        <w:t>samarbeta kring förebyggande åtgärder genom att öka medvetenheten om dessa frågor och mildra de omständigheter som gör kvinnor och barn särskilt utsatta för människohandel samt motarbeta mäns efterfrågan som ger upphov till och upprätthåller människohandel,</w:t>
      </w:r>
    </w:p>
    <w:p w:rsidR="000D6448" w:rsidRPr="00A27C50" w:rsidRDefault="000D6448">
      <w:pPr>
        <w:spacing w:before="120"/>
      </w:pPr>
      <w:r w:rsidRPr="00A27C50">
        <w:t>5</w:t>
      </w:r>
    </w:p>
    <w:p w:rsidR="000D6448" w:rsidRPr="00A27C50" w:rsidRDefault="000D6448">
      <w:pPr>
        <w:spacing w:before="0"/>
      </w:pPr>
      <w:r w:rsidRPr="00A27C50">
        <w:t>sörja för att offren skyddas och får effektiv juridisk hjälp, utveckla och stödja program liksom också skydd för dem som i rätten vittnar mot organisatörer av människohandel,</w:t>
      </w:r>
    </w:p>
    <w:p w:rsidR="000D6448" w:rsidRPr="00A27C50" w:rsidRDefault="000D6448">
      <w:pPr>
        <w:spacing w:before="120"/>
      </w:pPr>
      <w:r w:rsidRPr="00A27C50">
        <w:t>6</w:t>
      </w:r>
    </w:p>
    <w:p w:rsidR="000D6448" w:rsidRPr="00A27C50" w:rsidRDefault="000D6448">
      <w:pPr>
        <w:spacing w:before="0"/>
      </w:pPr>
      <w:r w:rsidRPr="00A27C50">
        <w:t>utarbeta effektiv lagstiftning som kriminaliserar alla former av människoha</w:t>
      </w:r>
      <w:r w:rsidRPr="00A27C50">
        <w:t>n</w:t>
      </w:r>
      <w:r w:rsidRPr="00A27C50">
        <w:t>del inklusive organiserad brottslighet,</w:t>
      </w:r>
    </w:p>
    <w:p w:rsidR="000D6448" w:rsidRPr="00A27C50" w:rsidRDefault="000D6448">
      <w:pPr>
        <w:spacing w:before="120"/>
      </w:pPr>
      <w:r w:rsidRPr="00A27C50">
        <w:t>7</w:t>
      </w:r>
    </w:p>
    <w:p w:rsidR="000D6448" w:rsidRPr="00A27C50" w:rsidRDefault="000D6448">
      <w:pPr>
        <w:spacing w:before="0"/>
      </w:pPr>
      <w:r w:rsidRPr="00A27C50">
        <w:t>intensifiera utbildningen och samarbetet mellan gränsövervakare, konsulat, polis, domare, åklagare, rådgivare och andra experter som kommer i kontakt med offren för människohandel,</w:t>
      </w:r>
    </w:p>
    <w:p w:rsidR="000D6448" w:rsidRPr="00A27C50" w:rsidRDefault="000D6448">
      <w:pPr>
        <w:spacing w:before="120"/>
      </w:pPr>
      <w:r w:rsidRPr="00A27C50">
        <w:t>8</w:t>
      </w:r>
    </w:p>
    <w:p w:rsidR="000D6448" w:rsidRPr="00A27C50" w:rsidRDefault="000D6448">
      <w:pPr>
        <w:spacing w:before="0"/>
      </w:pPr>
      <w:r w:rsidRPr="00A27C50">
        <w:t>motsätta sig prostitution som en oacceptabel verksamhet och vidta åtgärder för att påverka den allmänna opinionen i frågan,</w:t>
      </w:r>
    </w:p>
    <w:p w:rsidR="000D6448" w:rsidRPr="00A27C50" w:rsidRDefault="000D6448">
      <w:pPr>
        <w:spacing w:before="120"/>
      </w:pPr>
      <w:r w:rsidRPr="00A27C50">
        <w:t>9</w:t>
      </w:r>
    </w:p>
    <w:p w:rsidR="000D6448" w:rsidRPr="00A27C50" w:rsidRDefault="000D6448">
      <w:pPr>
        <w:spacing w:before="0"/>
      </w:pPr>
      <w:r w:rsidRPr="00A27C50">
        <w:t>samarbeta med lokal- och civilsamhället och relevanta medborgarorganisati</w:t>
      </w:r>
      <w:r w:rsidRPr="00A27C50">
        <w:t>o</w:t>
      </w:r>
      <w:r w:rsidRPr="00A27C50">
        <w:t>ner för att stävja människohandel och anslå finansiella resurser för att uppnå detta;</w:t>
      </w:r>
    </w:p>
    <w:p w:rsidR="000D6448" w:rsidRPr="00A27C50" w:rsidRDefault="000D6448">
      <w:pPr>
        <w:spacing w:before="240"/>
      </w:pPr>
      <w:r w:rsidRPr="00A27C50">
        <w:rPr>
          <w:b/>
        </w:rPr>
        <w:t>E.</w:t>
      </w:r>
      <w:r w:rsidRPr="00A27C50">
        <w:t xml:space="preserve"> 10</w:t>
      </w:r>
    </w:p>
    <w:p w:rsidR="000D6448" w:rsidRPr="00A27C50" w:rsidRDefault="000D6448">
      <w:r w:rsidRPr="00A27C50">
        <w:rPr>
          <w:b/>
        </w:rPr>
        <w:t>Deltagarna</w:t>
      </w:r>
      <w:r w:rsidRPr="00A27C50">
        <w:t xml:space="preserve"> i seminariet tackar den svenska delegationen vid Nordiska rådet och Nordiska rådets medborgar- och konsumentutskott för ett intressant och givande seminarium och ber Nordiska rådet att fortsätta dialogen inom ramen för detta ”Nätverk av unga parlamentariker i Barentsregionen” etablerat år 2001.</w:t>
      </w:r>
    </w:p>
    <w:p w:rsidR="000D6448" w:rsidRPr="00A27C50" w:rsidRDefault="000D6448">
      <w:pPr>
        <w:pStyle w:val="Rubrik1"/>
        <w:rPr>
          <w:noProof w:val="0"/>
        </w:rPr>
      </w:pPr>
    </w:p>
    <w:p w:rsidR="000D6448" w:rsidRPr="00A27C50" w:rsidRDefault="000D6448"/>
    <w:p w:rsidR="000D6448" w:rsidRPr="00A27C50" w:rsidRDefault="000D6448">
      <w:pPr>
        <w:pStyle w:val="R2"/>
        <w:spacing w:before="0"/>
        <w:sectPr w:rsidR="000D6448" w:rsidRPr="00A27C50">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0D6448" w:rsidRPr="00A27C50" w:rsidRDefault="000D6448">
      <w:pPr>
        <w:pStyle w:val="Bilaga"/>
      </w:pPr>
      <w:r w:rsidRPr="00A27C50">
        <w:t>Bilaga 3</w:t>
      </w:r>
    </w:p>
    <w:p w:rsidR="000D6448" w:rsidRPr="00A27C50" w:rsidRDefault="000D6448">
      <w:pPr>
        <w:pStyle w:val="Rubrik1"/>
        <w:rPr>
          <w:noProof w:val="0"/>
        </w:rPr>
      </w:pPr>
    </w:p>
    <w:p w:rsidR="000D6448" w:rsidRPr="00A27C50" w:rsidRDefault="000D6448">
      <w:pPr>
        <w:pStyle w:val="Rubrik1"/>
        <w:rPr>
          <w:noProof w:val="0"/>
        </w:rPr>
      </w:pPr>
    </w:p>
    <w:p w:rsidR="000D6448" w:rsidRPr="00A27C50" w:rsidRDefault="000D6448">
      <w:pPr>
        <w:pStyle w:val="R1"/>
        <w:jc w:val="center"/>
      </w:pPr>
      <w:r w:rsidRPr="00A27C50">
        <w:t>Rekommendationer, yttranden och interna beslut antagna vid Nordiska rådets 56:e session samt framställningar antagna av presidiet under år 2004</w:t>
      </w:r>
    </w:p>
    <w:p w:rsidR="000D6448" w:rsidRPr="00A27C50" w:rsidRDefault="000D6448">
      <w:pPr>
        <w:pStyle w:val="Rubrik1"/>
        <w:rPr>
          <w:noProof w:val="0"/>
        </w:rPr>
      </w:pPr>
    </w:p>
    <w:p w:rsidR="000D6448" w:rsidRPr="00A27C50" w:rsidRDefault="000D6448">
      <w:pPr>
        <w:pStyle w:val="R2"/>
        <w:spacing w:before="0"/>
      </w:pPr>
    </w:p>
    <w:p w:rsidR="000D6448" w:rsidRPr="00A27C50" w:rsidRDefault="000D6448">
      <w:pPr>
        <w:pStyle w:val="Rubrik2"/>
        <w:spacing w:before="0"/>
      </w:pPr>
      <w:r w:rsidRPr="00A27C50">
        <w:br w:type="page"/>
        <w:t>Fremstillinger og rekommandasjoner, interne vedtak 2004</w:t>
      </w:r>
    </w:p>
    <w:p w:rsidR="000D6448" w:rsidRPr="00A27C50" w:rsidRDefault="000D6448">
      <w:pPr>
        <w:pStyle w:val="Rubrik1"/>
        <w:spacing w:after="0" w:line="120" w:lineRule="exact"/>
        <w:rPr>
          <w:noProof w:val="0"/>
        </w:rPr>
      </w:pP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1/2004</w:t>
            </w:r>
            <w:r w:rsidRPr="00A27C50">
              <w:rPr>
                <w:rStyle w:val="Fotnotsreferens"/>
              </w:rPr>
              <w:footnoteReference w:id="1"/>
            </w:r>
          </w:p>
        </w:tc>
        <w:tc>
          <w:tcPr>
            <w:tcW w:w="4536" w:type="dxa"/>
          </w:tcPr>
          <w:p w:rsidR="000D6448" w:rsidRPr="00A27C50" w:rsidRDefault="000D6448">
            <w:pPr>
              <w:rPr>
                <w:b/>
              </w:rPr>
            </w:pPr>
            <w:r w:rsidRPr="00A27C50">
              <w:rPr>
                <w:b/>
              </w:rPr>
              <w:t>Nordisk skattekontor (A 1320/näring)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vAlign w:val="bottom"/>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rPr>
                <w:i/>
              </w:rPr>
              <w:t>at</w:t>
            </w:r>
            <w:r w:rsidRPr="00A27C50">
              <w:t xml:space="preserve"> nordiske skatteydere med grænseoverskridende skatt</w:t>
            </w:r>
            <w:r w:rsidRPr="00A27C50">
              <w:t>e</w:t>
            </w:r>
            <w:r w:rsidRPr="00A27C50">
              <w:t>forhold kan få en samlet integreret betjening hos én ska</w:t>
            </w:r>
            <w:r w:rsidRPr="00A27C50">
              <w:t>t</w:t>
            </w:r>
            <w:r w:rsidRPr="00A27C50">
              <w:t>te-enhed, hvor man indrapporterer sine skatteoply</w:t>
            </w:r>
            <w:r w:rsidRPr="00A27C50">
              <w:t>s</w:t>
            </w:r>
            <w:r w:rsidRPr="00A27C50">
              <w:t>ninger og hvorfra man senere modtager en samlet å</w:t>
            </w:r>
            <w:r w:rsidRPr="00A27C50">
              <w:t>r</w:t>
            </w:r>
            <w:r w:rsidRPr="00A27C50">
              <w:t>sopgørelse (li</w:t>
            </w:r>
            <w:r w:rsidRPr="00A27C50">
              <w:t>g</w:t>
            </w:r>
            <w:r w:rsidRPr="00A27C50">
              <w:t>ning)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Om denne målsætning opnås ved at etablere en skatte-enhed pr. land, med en bilateral aftale eller en fællesno</w:t>
            </w:r>
            <w:r w:rsidRPr="00A27C50">
              <w:t>r</w:t>
            </w:r>
            <w:r w:rsidRPr="00A27C50">
              <w:t>disk enhed er underordnet. Det bør være op til de nati</w:t>
            </w:r>
            <w:r w:rsidRPr="00A27C50">
              <w:t>o</w:t>
            </w:r>
            <w:r w:rsidRPr="00A27C50">
              <w:t>nale skattemyndigheder at håndtere spørgsmålet om organisering, r</w:t>
            </w:r>
            <w:r w:rsidRPr="00A27C50">
              <w:t>e</w:t>
            </w:r>
            <w:r w:rsidRPr="00A27C50">
              <w:t>gel-fortolkning etc.</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2/2004</w:t>
            </w:r>
            <w:r w:rsidRPr="00A27C50">
              <w:rPr>
                <w:rStyle w:val="Fotnotsreferens"/>
              </w:rPr>
              <w:footnoteReference w:id="2"/>
            </w:r>
          </w:p>
        </w:tc>
        <w:tc>
          <w:tcPr>
            <w:tcW w:w="4536" w:type="dxa"/>
          </w:tcPr>
          <w:p w:rsidR="000D6448" w:rsidRPr="00A27C50" w:rsidRDefault="000D6448">
            <w:pPr>
              <w:rPr>
                <w:b/>
              </w:rPr>
            </w:pPr>
            <w:r w:rsidRPr="00A27C50">
              <w:rPr>
                <w:b/>
              </w:rPr>
              <w:t>Open Source Software (A 1341/næring)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vAlign w:val="bottom"/>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2"/>
              </w:numPr>
            </w:pPr>
            <w:r w:rsidRPr="00A27C50">
              <w:rPr>
                <w:i/>
              </w:rPr>
              <w:t>at</w:t>
            </w:r>
            <w:r w:rsidRPr="00A27C50">
              <w:t xml:space="preserve"> der i et samarbejde mellem minister</w:t>
            </w:r>
            <w:r w:rsidRPr="00A27C50">
              <w:softHyphen/>
              <w:t>rådets for</w:t>
            </w:r>
            <w:r w:rsidRPr="00A27C50">
              <w:softHyphen/>
              <w:t>skellige sektorer (IT, forbruger og næring) etableres et OSS, Open Source Software, kompetencecenter som får til opgave at opsamle erfaringer, rådgive ved større indkøbsprojekter, vejlede i brug af OSS, u</w:t>
            </w:r>
            <w:r w:rsidRPr="00A27C50">
              <w:t>d</w:t>
            </w:r>
            <w:r w:rsidRPr="00A27C50">
              <w:t>vikle best-practice-modeller etc. IT-branchens fagl</w:t>
            </w:r>
            <w:r w:rsidRPr="00A27C50">
              <w:t>i</w:t>
            </w:r>
            <w:r w:rsidRPr="00A27C50">
              <w:t>ge og økonomiske deltagelse i et sådant center anses for en forudsætning og det bør overvejes at anvende NordicOS som udgangspunkt for dannelsen af cent</w:t>
            </w:r>
            <w:r w:rsidRPr="00A27C50">
              <w:t>e</w:t>
            </w:r>
            <w:r w:rsidRPr="00A27C50">
              <w:t>ret</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2"/>
              </w:numPr>
            </w:pPr>
            <w:r w:rsidRPr="00A27C50">
              <w:rPr>
                <w:i/>
              </w:rPr>
              <w:t>at</w:t>
            </w:r>
            <w:r w:rsidRPr="00A27C50">
              <w:t xml:space="preserve"> der søges udviklet OSS-netværk i den ikke-kommercielle sfære bestående af universiteter, fagl</w:t>
            </w:r>
            <w:r w:rsidRPr="00A27C50">
              <w:t>i</w:t>
            </w:r>
            <w:r w:rsidRPr="00A27C50">
              <w:t>ge sammenslutning etc. som tilsammen kan bidrage til den fortsatte udvikling af OSS</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2"/>
              </w:numPr>
            </w:pPr>
            <w:r w:rsidRPr="00A27C50">
              <w:rPr>
                <w:i/>
              </w:rPr>
              <w:t>at</w:t>
            </w:r>
            <w:r w:rsidRPr="00A27C50">
              <w:t xml:space="preserve"> nordiske institutioner anvender software som understøtter åbne standarder og at indkøbs- og udbudspolitik vedrørende software tilrettelægges således at  der skabes fri konkurrence, uafhængighed og valgfrihed i relation til produkter og leverandører</w:t>
            </w:r>
          </w:p>
        </w:tc>
      </w:tr>
    </w:tbl>
    <w:p w:rsidR="000D6448" w:rsidRPr="00A27C50" w:rsidRDefault="000D6448">
      <w:pPr>
        <w:spacing w:before="0" w:line="120" w:lineRule="exact"/>
      </w:pPr>
    </w:p>
    <w:p w:rsidR="000D6448" w:rsidRPr="00A27C50" w:rsidRDefault="000D6448">
      <w:pPr>
        <w:spacing w:before="0" w:line="40" w:lineRule="exact"/>
      </w:pPr>
      <w:r w:rsidRPr="00A27C50">
        <w:br w:type="page"/>
      </w: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3/2004</w:t>
            </w:r>
            <w:r w:rsidRPr="00A27C50">
              <w:rPr>
                <w:rStyle w:val="Fotnotsreferens"/>
              </w:rPr>
              <w:footnoteReference w:id="3"/>
            </w:r>
          </w:p>
        </w:tc>
        <w:tc>
          <w:tcPr>
            <w:tcW w:w="4536" w:type="dxa"/>
          </w:tcPr>
          <w:p w:rsidR="000D6448" w:rsidRPr="00A27C50" w:rsidRDefault="000D6448">
            <w:pPr>
              <w:jc w:val="left"/>
              <w:rPr>
                <w:b/>
              </w:rPr>
            </w:pPr>
            <w:r w:rsidRPr="00A27C50">
              <w:rPr>
                <w:b/>
                <w:spacing w:val="-2"/>
              </w:rPr>
              <w:t>Åbne standarder/Open Source i nationale IT-strategier</w:t>
            </w:r>
            <w:r w:rsidRPr="00A27C50">
              <w:rPr>
                <w:b/>
              </w:rPr>
              <w:t xml:space="preserve"> </w:t>
            </w:r>
            <w:r w:rsidRPr="00A27C50">
              <w:rPr>
                <w:b/>
              </w:rPr>
              <w:br/>
              <w:t>(A 1341/næring)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vAlign w:val="bottom"/>
          </w:tcPr>
          <w:p w:rsidR="000D6448" w:rsidRPr="00A27C50" w:rsidRDefault="000D6448">
            <w:r w:rsidRPr="00A27C50">
              <w:t>Nordisk Råd rekommanderer de nordiske landes regeri</w:t>
            </w:r>
            <w:r w:rsidRPr="00A27C50">
              <w:t>n</w:t>
            </w:r>
            <w:r w:rsidRPr="00A27C50">
              <w:t>ger</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3"/>
              </w:numPr>
            </w:pPr>
            <w:r w:rsidRPr="00A27C50">
              <w:rPr>
                <w:i/>
              </w:rPr>
              <w:t>at</w:t>
            </w:r>
            <w:r w:rsidRPr="00A27C50">
              <w:t xml:space="preserve"> der udarbejdes nationale IT-strategier, som u</w:t>
            </w:r>
            <w:r w:rsidRPr="00A27C50">
              <w:t>n</w:t>
            </w:r>
            <w:r w:rsidRPr="00A27C50">
              <w:t>derstøtter brug af  åbne standarder i al offentlig ele</w:t>
            </w:r>
            <w:r w:rsidRPr="00A27C50">
              <w:t>k</w:t>
            </w:r>
            <w:r w:rsidRPr="00A27C50">
              <w:t>tronisk kommunikation og at man i øvrigt søger denne målsætning fremmet i internationale fora (EU, det kommende IT-sikkerhedsagentur etc.)</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3"/>
              </w:numPr>
            </w:pPr>
            <w:r w:rsidRPr="00A27C50">
              <w:rPr>
                <w:i/>
              </w:rPr>
              <w:t>at</w:t>
            </w:r>
            <w:r w:rsidRPr="00A27C50">
              <w:t xml:space="preserve"> den offentlige indkøbs- og udbudspolitik ved</w:t>
            </w:r>
            <w:r w:rsidRPr="00A27C50">
              <w:softHyphen/>
              <w:t>rørende software tilrettelægges således at  der skabes fri konkurrence, uafhængighed og valgfrihed i relation til produkter og leverandører. Barrierer og indkøbsrutiner der hindrer eller unødigt begrænser den fri konkurrence, skal elim</w:t>
            </w:r>
            <w:r w:rsidRPr="00A27C50">
              <w:t>i</w:t>
            </w:r>
            <w:r w:rsidRPr="00A27C50">
              <w:t>neres</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vAlign w:val="bottom"/>
          </w:tcPr>
          <w:p w:rsidR="000D6448" w:rsidRPr="00A27C50" w:rsidRDefault="000D6448">
            <w:pPr>
              <w:rPr>
                <w:b/>
              </w:rPr>
            </w:pPr>
            <w:r w:rsidRPr="00A27C50">
              <w:rPr>
                <w:b/>
              </w:rPr>
              <w:t>Fremst. 4/2004</w:t>
            </w:r>
            <w:r w:rsidRPr="00A27C50">
              <w:rPr>
                <w:rStyle w:val="Fotnotsreferens"/>
              </w:rPr>
              <w:footnoteReference w:id="4"/>
            </w:r>
          </w:p>
        </w:tc>
        <w:tc>
          <w:tcPr>
            <w:tcW w:w="4536" w:type="dxa"/>
            <w:vAlign w:val="bottom"/>
          </w:tcPr>
          <w:p w:rsidR="000D6448" w:rsidRPr="00A27C50" w:rsidRDefault="000D6448">
            <w:pPr>
              <w:rPr>
                <w:b/>
              </w:rPr>
            </w:pPr>
            <w:r w:rsidRPr="00A27C50">
              <w:rPr>
                <w:b/>
              </w:rPr>
              <w:t>Nordisk el-transmissionsnet (A 1339/miljö)</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vAlign w:val="bottom"/>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4"/>
              </w:numPr>
            </w:pPr>
            <w:r w:rsidRPr="00A27C50">
              <w:rPr>
                <w:i/>
              </w:rPr>
              <w:t>at</w:t>
            </w:r>
            <w:r w:rsidRPr="00A27C50">
              <w:t xml:space="preserve"> arbejde mod en vidtgående harmonisering af ram</w:t>
            </w:r>
            <w:r w:rsidRPr="00A27C50">
              <w:softHyphen/>
              <w:t>m</w:t>
            </w:r>
            <w:r w:rsidRPr="00A27C50">
              <w:t>e</w:t>
            </w:r>
            <w:r w:rsidRPr="00A27C50">
              <w:t>betingelserne for de nordiske el-trans</w:t>
            </w:r>
            <w:r w:rsidRPr="00A27C50">
              <w:softHyphen/>
              <w:t>missionsnet</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4"/>
              </w:numPr>
            </w:pPr>
            <w:r w:rsidRPr="00A27C50">
              <w:rPr>
                <w:i/>
              </w:rPr>
              <w:t>at</w:t>
            </w:r>
            <w:r w:rsidRPr="00A27C50">
              <w:t xml:space="preserve"> tilskynde til styrkelse af samarbejdet mellem lande</w:t>
            </w:r>
            <w:r w:rsidRPr="00A27C50">
              <w:softHyphen/>
              <w:t>nes netselskaber, så de bliver i stand til på b</w:t>
            </w:r>
            <w:r w:rsidRPr="00A27C50">
              <w:t>e</w:t>
            </w:r>
            <w:r w:rsidRPr="00A27C50">
              <w:t>tryggende vis at tage ansvar for fælles håndtering af forsyningssikkerheden, fælles afhjælpning af flask</w:t>
            </w:r>
            <w:r w:rsidRPr="00A27C50">
              <w:t>e</w:t>
            </w:r>
            <w:r w:rsidRPr="00A27C50">
              <w:t>halse og udvikle en fælles model for nødvendige i</w:t>
            </w:r>
            <w:r w:rsidRPr="00A27C50">
              <w:t>n</w:t>
            </w:r>
            <w:r w:rsidRPr="00A27C50">
              <w:t>vesteringer</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5/2004</w:t>
            </w:r>
            <w:r w:rsidRPr="00A27C50">
              <w:rPr>
                <w:rStyle w:val="Fotnotsreferens"/>
              </w:rPr>
              <w:footnoteReference w:id="5"/>
            </w:r>
          </w:p>
        </w:tc>
        <w:tc>
          <w:tcPr>
            <w:tcW w:w="4536" w:type="dxa"/>
          </w:tcPr>
          <w:p w:rsidR="000D6448" w:rsidRPr="00A27C50" w:rsidRDefault="000D6448">
            <w:pPr>
              <w:jc w:val="left"/>
              <w:rPr>
                <w:b/>
              </w:rPr>
            </w:pPr>
            <w:r w:rsidRPr="00A27C50">
              <w:rPr>
                <w:b/>
              </w:rPr>
              <w:t xml:space="preserve">Program for Nordisk Ministerråds samarbejde på arbejdsmarkeds- og arbejdsmiljøområet 2005–2008 </w:t>
            </w:r>
            <w:r w:rsidRPr="00A27C50">
              <w:rPr>
                <w:b/>
              </w:rPr>
              <w:br/>
              <w:t>(B 220/næring)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gennemføre det fremlagte forslag om program for Nordisk Ministerråds samarbejde på arbejdsmarkeds- og arbejdsmiljøområdet 2005–2008</w:t>
            </w:r>
          </w:p>
        </w:tc>
      </w:tr>
    </w:tbl>
    <w:p w:rsidR="000D6448" w:rsidRPr="00A27C50" w:rsidRDefault="000D6448">
      <w:pPr>
        <w:rPr>
          <w:sz w:val="22"/>
        </w:rPr>
      </w:pPr>
    </w:p>
    <w:p w:rsidR="000D6448" w:rsidRPr="00A27C50" w:rsidRDefault="000D6448">
      <w:pPr>
        <w:spacing w:before="0" w:line="40" w:lineRule="exact"/>
        <w:rPr>
          <w:sz w:val="22"/>
        </w:rPr>
      </w:pPr>
      <w:r w:rsidRPr="00A27C50">
        <w:rPr>
          <w:sz w:val="22"/>
        </w:rPr>
        <w:br w:type="page"/>
      </w: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6/2004</w:t>
            </w:r>
            <w:r w:rsidRPr="00A27C50">
              <w:rPr>
                <w:rStyle w:val="Fotnotsreferens"/>
              </w:rPr>
              <w:footnoteReference w:id="6"/>
            </w:r>
          </w:p>
        </w:tc>
        <w:tc>
          <w:tcPr>
            <w:tcW w:w="4536" w:type="dxa"/>
          </w:tcPr>
          <w:p w:rsidR="000D6448" w:rsidRPr="00A27C50" w:rsidRDefault="000D6448">
            <w:pPr>
              <w:jc w:val="left"/>
              <w:rPr>
                <w:b/>
              </w:rPr>
            </w:pPr>
            <w:r w:rsidRPr="00A27C50">
              <w:rPr>
                <w:b/>
              </w:rPr>
              <w:t>Strategi for nordisk utdannelses- og forskningss</w:t>
            </w:r>
            <w:r w:rsidRPr="00A27C50">
              <w:rPr>
                <w:b/>
              </w:rPr>
              <w:t>a</w:t>
            </w:r>
            <w:r w:rsidRPr="00A27C50">
              <w:rPr>
                <w:b/>
              </w:rPr>
              <w:t xml:space="preserve">marbeid </w:t>
            </w:r>
          </w:p>
          <w:p w:rsidR="000D6448" w:rsidRPr="00A27C50" w:rsidRDefault="000D6448">
            <w:pPr>
              <w:rPr>
                <w:b/>
              </w:rPr>
            </w:pPr>
            <w:r w:rsidRPr="00A27C50">
              <w:rPr>
                <w:b/>
              </w:rPr>
              <w:t>2005–2007 (B 221/kultur)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gennemføre ministerrådsforslag om Norden som for</w:t>
            </w:r>
            <w:r w:rsidRPr="00A27C50">
              <w:t>e</w:t>
            </w:r>
            <w:r w:rsidRPr="00A27C50">
              <w:t xml:space="preserve">gangsregion for utvikling av menneskelige ressurser – strategi for nordisk utdannings- og forskningssamarbeid </w:t>
            </w:r>
            <w:r w:rsidRPr="00A27C50">
              <w:br/>
              <w:t>2005–2007</w:t>
            </w:r>
          </w:p>
        </w:tc>
      </w:tr>
    </w:tbl>
    <w:p w:rsidR="000D6448" w:rsidRPr="00A27C50" w:rsidRDefault="000D6448">
      <w:pPr>
        <w:rPr>
          <w:sz w:val="22"/>
        </w:rPr>
      </w:pP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Fremst. 7/2004</w:t>
            </w:r>
            <w:r w:rsidRPr="00A27C50">
              <w:rPr>
                <w:rStyle w:val="Fotnotsreferens"/>
              </w:rPr>
              <w:footnoteReference w:id="7"/>
            </w:r>
          </w:p>
        </w:tc>
        <w:tc>
          <w:tcPr>
            <w:tcW w:w="4536" w:type="dxa"/>
          </w:tcPr>
          <w:p w:rsidR="000D6448" w:rsidRPr="00A27C50" w:rsidRDefault="000D6448">
            <w:pPr>
              <w:rPr>
                <w:b/>
              </w:rPr>
            </w:pPr>
            <w:r w:rsidRPr="00A27C50">
              <w:rPr>
                <w:b/>
              </w:rPr>
              <w:t xml:space="preserve">Samarbetsprogram på konsumentområdet 2005–2010 </w:t>
            </w:r>
            <w:r w:rsidRPr="00A27C50">
              <w:rPr>
                <w:b/>
              </w:rPr>
              <w:br/>
              <w:t>(B 226/medborger)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gennemføre Ministerrådsförslag om ett samarbetspr</w:t>
            </w:r>
            <w:r w:rsidRPr="00A27C50">
              <w:t>o</w:t>
            </w:r>
            <w:r w:rsidRPr="00A27C50">
              <w:t>gram på konsumentområdet 2005–2010, B 226/med</w:t>
            </w:r>
            <w:r w:rsidRPr="00A27C50">
              <w:softHyphen/>
              <w:t xml:space="preserve">borgar </w:t>
            </w:r>
          </w:p>
        </w:tc>
      </w:tr>
    </w:tbl>
    <w:p w:rsidR="000D6448" w:rsidRPr="00A27C50" w:rsidRDefault="000D6448">
      <w:pPr>
        <w:rPr>
          <w:sz w:val="22"/>
        </w:rPr>
      </w:pP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Height w:val="384"/>
        </w:trPr>
        <w:tc>
          <w:tcPr>
            <w:tcW w:w="1630" w:type="dxa"/>
          </w:tcPr>
          <w:p w:rsidR="000D6448" w:rsidRPr="00A27C50" w:rsidRDefault="000D6448">
            <w:pPr>
              <w:rPr>
                <w:b/>
              </w:rPr>
            </w:pPr>
            <w:r w:rsidRPr="00A27C50">
              <w:rPr>
                <w:b/>
              </w:rPr>
              <w:t>Fremst. 8/2004</w:t>
            </w:r>
            <w:r w:rsidRPr="00A27C50">
              <w:rPr>
                <w:rStyle w:val="Fotnotsreferens"/>
              </w:rPr>
              <w:footnoteReference w:id="8"/>
            </w:r>
          </w:p>
        </w:tc>
        <w:tc>
          <w:tcPr>
            <w:tcW w:w="4536" w:type="dxa"/>
          </w:tcPr>
          <w:p w:rsidR="000D6448" w:rsidRPr="00A27C50" w:rsidRDefault="000D6448">
            <w:pPr>
              <w:rPr>
                <w:b/>
              </w:rPr>
            </w:pPr>
            <w:r w:rsidRPr="00A27C50">
              <w:rPr>
                <w:b/>
              </w:rPr>
              <w:t>Nordisk Skattekonference (A 1357/næring)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i samarbejde med Nordisk Råds Næringsudvalg afholde en nordisk skattekonference med deltagelse af relevante nordiske ministre. Denne konference skal have fokus på, at løse eksisterende problemer og forhindringer for borgere og virksomheder grundet forskellige nationale beskatningssystemer i Norden</w:t>
            </w:r>
          </w:p>
        </w:tc>
      </w:tr>
    </w:tbl>
    <w:p w:rsidR="000D6448" w:rsidRPr="00A27C50" w:rsidRDefault="000D6448">
      <w:pPr>
        <w:pStyle w:val="R3"/>
        <w:spacing w:before="0"/>
      </w:pPr>
      <w:r w:rsidRPr="00A27C50">
        <w:rPr>
          <w:sz w:val="22"/>
        </w:rPr>
        <w:br w:type="page"/>
      </w:r>
      <w:r w:rsidRPr="00A27C50">
        <w:t>Rekommandasjoner vedtatt av Nordisk Råd under den 56. sesjonen</w:t>
      </w:r>
    </w:p>
    <w:p w:rsidR="000D6448" w:rsidRPr="00A27C50" w:rsidRDefault="000D6448">
      <w:pPr>
        <w:spacing w:before="0"/>
      </w:pP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9/2004</w:t>
            </w:r>
          </w:p>
        </w:tc>
        <w:tc>
          <w:tcPr>
            <w:tcW w:w="4536" w:type="dxa"/>
          </w:tcPr>
          <w:p w:rsidR="000D6448" w:rsidRPr="00A27C50" w:rsidRDefault="000D6448">
            <w:pPr>
              <w:rPr>
                <w:b/>
              </w:rPr>
            </w:pPr>
            <w:r w:rsidRPr="00A27C50">
              <w:rPr>
                <w:b/>
              </w:rPr>
              <w:t>Nordiskt gränsregionalt samarbete (A 1353/kk)</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Nordiska rådet rekommenderar Nordiska mini</w:t>
            </w:r>
            <w:r w:rsidRPr="00A27C50">
              <w:t>s</w:t>
            </w:r>
            <w:r w:rsidRPr="00A27C50">
              <w:t>terrådet</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5"/>
              </w:numPr>
            </w:pPr>
            <w:r w:rsidRPr="00A27C50">
              <w:rPr>
                <w:i/>
              </w:rPr>
              <w:t>att</w:t>
            </w:r>
            <w:r w:rsidRPr="00A27C50">
              <w:t xml:space="preserve"> utarbeta en rutin för hur ordförandeskapspr</w:t>
            </w:r>
            <w:r w:rsidRPr="00A27C50">
              <w:t>o</w:t>
            </w:r>
            <w:r w:rsidRPr="00A27C50">
              <w:t>grammens politiska prioriteringar förankras i grän</w:t>
            </w:r>
            <w:r w:rsidRPr="00A27C50">
              <w:t>s</w:t>
            </w:r>
            <w:r w:rsidRPr="00A27C50">
              <w:t>regionerna</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5"/>
              </w:numPr>
              <w:rPr>
                <w:sz w:val="22"/>
              </w:rPr>
            </w:pPr>
            <w:r w:rsidRPr="00A27C50">
              <w:rPr>
                <w:i/>
              </w:rPr>
              <w:t>att</w:t>
            </w:r>
            <w:r w:rsidRPr="00A27C50">
              <w:t xml:space="preserve"> standardisera centrala indikatorer för verksamh</w:t>
            </w:r>
            <w:r w:rsidRPr="00A27C50">
              <w:t>e</w:t>
            </w:r>
            <w:r w:rsidRPr="00A27C50">
              <w:t>ten i gränsregionerna så att målsättningarna blir kl</w:t>
            </w:r>
            <w:r w:rsidRPr="00A27C50">
              <w:t>a</w:t>
            </w:r>
            <w:r w:rsidRPr="00A27C50">
              <w:t>rare och mätbara</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5"/>
              </w:numPr>
              <w:rPr>
                <w:sz w:val="22"/>
              </w:rPr>
            </w:pPr>
            <w:r w:rsidRPr="00A27C50">
              <w:rPr>
                <w:i/>
              </w:rPr>
              <w:t>att</w:t>
            </w:r>
            <w:r w:rsidRPr="00A27C50">
              <w:t xml:space="preserve"> upprätta en databank med erfarenheter från gränsregionalt samarbete för att säkra kontinuiteten i verksamheten</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10/2004</w:t>
            </w:r>
          </w:p>
        </w:tc>
        <w:tc>
          <w:tcPr>
            <w:tcW w:w="4536" w:type="dxa"/>
          </w:tcPr>
          <w:p w:rsidR="000D6448" w:rsidRPr="00A27C50" w:rsidRDefault="000D6448">
            <w:pPr>
              <w:jc w:val="left"/>
              <w:rPr>
                <w:b/>
              </w:rPr>
            </w:pPr>
            <w:r w:rsidRPr="00A27C50">
              <w:rPr>
                <w:b/>
              </w:rPr>
              <w:t xml:space="preserve">Fremtidskonference for kystfiskeriet i Norden </w:t>
            </w:r>
          </w:p>
          <w:p w:rsidR="000D6448" w:rsidRPr="00A27C50" w:rsidRDefault="000D6448">
            <w:pPr>
              <w:spacing w:before="0"/>
              <w:jc w:val="left"/>
              <w:rPr>
                <w:b/>
              </w:rPr>
            </w:pPr>
            <w:r w:rsidRPr="00A27C50">
              <w:rPr>
                <w:b/>
              </w:rPr>
              <w:t>(A 1342/miljø)</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vAlign w:val="bottom"/>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7"/>
              </w:numPr>
            </w:pPr>
            <w:r w:rsidRPr="00A27C50">
              <w:rPr>
                <w:i/>
              </w:rPr>
              <w:t>at</w:t>
            </w:r>
            <w:r w:rsidRPr="00A27C50">
              <w:t xml:space="preserve"> indtræde i en arbejdsgruppe og samarbejde med Nordisk Råds Miljø- og Naturresurseudvalg og rel</w:t>
            </w:r>
            <w:r w:rsidRPr="00A27C50">
              <w:t>e</w:t>
            </w:r>
            <w:r w:rsidRPr="00A27C50">
              <w:t>vante organisationer om forberedelsen og ge</w:t>
            </w:r>
            <w:r w:rsidRPr="00A27C50">
              <w:t>n</w:t>
            </w:r>
            <w:r w:rsidRPr="00A27C50">
              <w:t>nemførelsen af en konference om kystfiskeriets fremtid i Norden, der afho</w:t>
            </w:r>
            <w:r w:rsidRPr="00A27C50">
              <w:t>l</w:t>
            </w:r>
            <w:r w:rsidRPr="00A27C50">
              <w:t>des i 2005</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7"/>
              </w:numPr>
            </w:pPr>
            <w:r w:rsidRPr="00A27C50">
              <w:rPr>
                <w:i/>
              </w:rPr>
              <w:t>at</w:t>
            </w:r>
            <w:r w:rsidRPr="00A27C50">
              <w:t xml:space="preserve"> støtte forberedelsen og konferenceafholdelsen med økonomiske midler, så det bliver muligt at ho</w:t>
            </w:r>
            <w:r w:rsidRPr="00A27C50">
              <w:t>l</w:t>
            </w:r>
            <w:r w:rsidRPr="00A27C50">
              <w:t>de deltagerafgiften på et passende lavt niveau i fo</w:t>
            </w:r>
            <w:r w:rsidRPr="00A27C50">
              <w:t>r</w:t>
            </w:r>
            <w:r w:rsidRPr="00A27C50">
              <w:t>hold til målgru</w:t>
            </w:r>
            <w:r w:rsidRPr="00A27C50">
              <w:t>p</w:t>
            </w:r>
            <w:r w:rsidRPr="00A27C50">
              <w:t>pen</w:t>
            </w:r>
          </w:p>
        </w:tc>
      </w:tr>
    </w:tbl>
    <w:p w:rsidR="000D6448" w:rsidRPr="00A27C50" w:rsidRDefault="000D6448"/>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Borders>
              <w:top w:val="nil"/>
              <w:left w:val="nil"/>
              <w:bottom w:val="nil"/>
              <w:right w:val="nil"/>
            </w:tcBorders>
          </w:tcPr>
          <w:p w:rsidR="000D6448" w:rsidRPr="00A27C50" w:rsidRDefault="000D6448">
            <w:pPr>
              <w:rPr>
                <w:b/>
              </w:rPr>
            </w:pPr>
            <w:r w:rsidRPr="00A27C50">
              <w:rPr>
                <w:b/>
              </w:rPr>
              <w:t>Rek. 11/2004</w:t>
            </w:r>
          </w:p>
        </w:tc>
        <w:tc>
          <w:tcPr>
            <w:tcW w:w="4536" w:type="dxa"/>
            <w:tcBorders>
              <w:top w:val="nil"/>
              <w:left w:val="nil"/>
              <w:bottom w:val="nil"/>
              <w:right w:val="nil"/>
            </w:tcBorders>
          </w:tcPr>
          <w:p w:rsidR="000D6448" w:rsidRPr="00A27C50" w:rsidRDefault="000D6448">
            <w:pPr>
              <w:rPr>
                <w:b/>
              </w:rPr>
            </w:pPr>
            <w:r w:rsidRPr="00A27C50">
              <w:rPr>
                <w:b/>
              </w:rPr>
              <w:t>Økologiske landbrugsvarer i No</w:t>
            </w:r>
            <w:r w:rsidRPr="00A27C50">
              <w:rPr>
                <w:b/>
              </w:rPr>
              <w:t>r</w:t>
            </w:r>
            <w:r w:rsidRPr="00A27C50">
              <w:rPr>
                <w:b/>
              </w:rPr>
              <w:t>den (A 1346/miljø)</w:t>
            </w:r>
          </w:p>
        </w:tc>
      </w:tr>
      <w:tr w:rsidR="000D6448" w:rsidRPr="00A27C50">
        <w:tblPrEx>
          <w:tblCellMar>
            <w:top w:w="0" w:type="dxa"/>
            <w:bottom w:w="0" w:type="dxa"/>
          </w:tblCellMar>
        </w:tblPrEx>
        <w:trPr>
          <w:cantSplit/>
          <w:trHeight w:val="250"/>
        </w:trPr>
        <w:tc>
          <w:tcPr>
            <w:tcW w:w="1630" w:type="dxa"/>
            <w:tcBorders>
              <w:top w:val="nil"/>
              <w:left w:val="nil"/>
              <w:bottom w:val="nil"/>
              <w:right w:val="nil"/>
            </w:tcBorders>
            <w:vAlign w:val="bottom"/>
          </w:tcPr>
          <w:p w:rsidR="000D6448" w:rsidRPr="00A27C50" w:rsidRDefault="000D6448"/>
        </w:tc>
        <w:tc>
          <w:tcPr>
            <w:tcW w:w="4536" w:type="dxa"/>
            <w:tcBorders>
              <w:top w:val="nil"/>
              <w:left w:val="nil"/>
              <w:bottom w:val="nil"/>
              <w:right w:val="nil"/>
            </w:tcBorders>
            <w:vAlign w:val="bottom"/>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Borders>
              <w:top w:val="nil"/>
              <w:left w:val="nil"/>
              <w:bottom w:val="nil"/>
              <w:right w:val="nil"/>
            </w:tcBorders>
          </w:tcPr>
          <w:p w:rsidR="000D6448" w:rsidRPr="00A27C50" w:rsidRDefault="000D6448">
            <w:pPr>
              <w:pStyle w:val="TabelNormal"/>
              <w:rPr>
                <w:lang w:val="sv-SE"/>
              </w:rPr>
            </w:pPr>
          </w:p>
        </w:tc>
        <w:tc>
          <w:tcPr>
            <w:tcW w:w="4536" w:type="dxa"/>
            <w:tcBorders>
              <w:top w:val="nil"/>
              <w:left w:val="nil"/>
              <w:bottom w:val="nil"/>
              <w:right w:val="nil"/>
            </w:tcBorders>
          </w:tcPr>
          <w:p w:rsidR="000D6448" w:rsidRPr="00A27C50" w:rsidRDefault="000D6448">
            <w:pPr>
              <w:numPr>
                <w:ilvl w:val="0"/>
                <w:numId w:val="6"/>
              </w:numPr>
            </w:pPr>
            <w:r w:rsidRPr="00A27C50">
              <w:rPr>
                <w:i/>
              </w:rPr>
              <w:t>at</w:t>
            </w:r>
            <w:r w:rsidRPr="00A27C50">
              <w:t xml:space="preserve"> Nordisk Ministerråd iværksætter et særligt projekt, der skal anvise konkrete udviklings</w:t>
            </w:r>
            <w:r w:rsidRPr="00A27C50">
              <w:softHyphen/>
              <w:t>mulig</w:t>
            </w:r>
            <w:r w:rsidRPr="00A27C50">
              <w:softHyphen/>
              <w:t>heder for økologiske fødevarers større gennem</w:t>
            </w:r>
            <w:r w:rsidRPr="00A27C50">
              <w:softHyphen/>
              <w:t>slagskraft på markedet i de nordiske lande. Udvik</w:t>
            </w:r>
            <w:r w:rsidRPr="00A27C50">
              <w:softHyphen/>
              <w:t>lingsarbejdet skal bl.a. bygge på en analyse af eksisterende strukturer og barrierer i hele produk</w:t>
            </w:r>
            <w:r w:rsidRPr="00A27C50">
              <w:softHyphen/>
              <w:t>tionskæden. Landenes positive erfaringer bør be</w:t>
            </w:r>
            <w:r w:rsidRPr="00A27C50">
              <w:softHyphen/>
              <w:t>nyttes som inspiration til de konkrete udviklings</w:t>
            </w:r>
            <w:r w:rsidRPr="00A27C50">
              <w:softHyphen/>
              <w:t>anvisninger. Såvel forskere som for</w:t>
            </w:r>
            <w:r w:rsidRPr="00A27C50">
              <w:softHyphen/>
              <w:t>bruger</w:t>
            </w:r>
            <w:r w:rsidRPr="00A27C50">
              <w:softHyphen/>
              <w:t>organisationer og økologiske producent</w:t>
            </w:r>
            <w:r w:rsidRPr="00A27C50">
              <w:softHyphen/>
              <w:t>organisa</w:t>
            </w:r>
            <w:r w:rsidRPr="00A27C50">
              <w:softHyphen/>
              <w:t>tioner bør involveres i arbejdet</w:t>
            </w:r>
          </w:p>
        </w:tc>
      </w:tr>
      <w:tr w:rsidR="000D6448" w:rsidRPr="00A27C50">
        <w:tblPrEx>
          <w:tblCellMar>
            <w:top w:w="0" w:type="dxa"/>
            <w:bottom w:w="0" w:type="dxa"/>
          </w:tblCellMar>
        </w:tblPrEx>
        <w:trPr>
          <w:cantSplit/>
        </w:trPr>
        <w:tc>
          <w:tcPr>
            <w:tcW w:w="1630" w:type="dxa"/>
            <w:tcBorders>
              <w:top w:val="nil"/>
              <w:left w:val="nil"/>
              <w:bottom w:val="nil"/>
              <w:right w:val="nil"/>
            </w:tcBorders>
          </w:tcPr>
          <w:p w:rsidR="000D6448" w:rsidRPr="00A27C50" w:rsidRDefault="000D6448">
            <w:pPr>
              <w:pStyle w:val="TabelNormal"/>
              <w:rPr>
                <w:lang w:val="sv-SE"/>
              </w:rPr>
            </w:pPr>
          </w:p>
        </w:tc>
        <w:tc>
          <w:tcPr>
            <w:tcW w:w="4536" w:type="dxa"/>
            <w:tcBorders>
              <w:top w:val="nil"/>
              <w:left w:val="nil"/>
              <w:bottom w:val="nil"/>
              <w:right w:val="nil"/>
            </w:tcBorders>
          </w:tcPr>
          <w:p w:rsidR="000D6448" w:rsidRPr="00A27C50" w:rsidRDefault="000D6448">
            <w:pPr>
              <w:numPr>
                <w:ilvl w:val="0"/>
                <w:numId w:val="6"/>
              </w:numPr>
            </w:pPr>
            <w:r w:rsidRPr="00A27C50">
              <w:rPr>
                <w:i/>
              </w:rPr>
              <w:t>at</w:t>
            </w:r>
            <w:r w:rsidRPr="00A27C50">
              <w:t xml:space="preserve"> Nordisk Ministerråd, på baggrund af en oversigt over iværksatte og planlagte forskningsprogrammer samt eksisterende rådgivnings- og vejledningstilbud gennem hele værdikæden om økologisk landbrug i landene og i nordisk regi, angiver for hvilke af områderne, der er behov for en styrkelse af de nordiske initiativer og på hvilken måde, Minister</w:t>
            </w:r>
            <w:r w:rsidRPr="00A27C50">
              <w:softHyphen/>
              <w:t>rådet agter at gøre dette.</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12/2004</w:t>
            </w:r>
          </w:p>
        </w:tc>
        <w:tc>
          <w:tcPr>
            <w:tcW w:w="4536" w:type="dxa"/>
          </w:tcPr>
          <w:p w:rsidR="000D6448" w:rsidRPr="00A27C50" w:rsidRDefault="000D6448">
            <w:pPr>
              <w:jc w:val="left"/>
              <w:rPr>
                <w:b/>
              </w:rPr>
            </w:pPr>
            <w:r w:rsidRPr="00A27C50">
              <w:rPr>
                <w:b/>
              </w:rPr>
              <w:t>Nordiskt innovationspolitiskt samarbetsprogram 2005–2010  (B 227/näring)</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gennemføre forslag til nordisk innovationspolitisk sam</w:t>
            </w:r>
            <w:r w:rsidRPr="00A27C50">
              <w:softHyphen/>
              <w:t>arbejdsprogram 2005–2010</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13/2004</w:t>
            </w:r>
          </w:p>
        </w:tc>
        <w:tc>
          <w:tcPr>
            <w:tcW w:w="4536" w:type="dxa"/>
          </w:tcPr>
          <w:p w:rsidR="000D6448" w:rsidRPr="00A27C50" w:rsidRDefault="000D6448">
            <w:pPr>
              <w:jc w:val="left"/>
              <w:rPr>
                <w:b/>
              </w:rPr>
            </w:pPr>
            <w:r w:rsidRPr="00A27C50">
              <w:rPr>
                <w:b/>
              </w:rPr>
              <w:t>Nordisk design og samarbeid mellom kultur- og n</w:t>
            </w:r>
            <w:r w:rsidRPr="00A27C50">
              <w:rPr>
                <w:b/>
              </w:rPr>
              <w:t>æ</w:t>
            </w:r>
            <w:r w:rsidRPr="00A27C50">
              <w:rPr>
                <w:b/>
              </w:rPr>
              <w:t>ringsliv  (A 1347/kultur og A 1351/kultur)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8"/>
              </w:numPr>
            </w:pPr>
            <w:r w:rsidRPr="00A27C50">
              <w:rPr>
                <w:i/>
              </w:rPr>
              <w:t>å</w:t>
            </w:r>
            <w:r w:rsidRPr="00A27C50">
              <w:t xml:space="preserve"> utrede muligheten for å etablere et felles nordisk-baltisk mastergradsprogram som kombinerer design, virksomhetsutvikling og ledelse</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8"/>
              </w:numPr>
            </w:pPr>
            <w:r w:rsidRPr="00A27C50">
              <w:rPr>
                <w:i/>
              </w:rPr>
              <w:t>å</w:t>
            </w:r>
            <w:r w:rsidRPr="00A27C50">
              <w:t xml:space="preserve"> overveie, i utviklingen av NORIA, å opprette et nordisk center of excellence innen d</w:t>
            </w:r>
            <w:r w:rsidRPr="00A27C50">
              <w:t>e</w:t>
            </w:r>
            <w:r w:rsidRPr="00A27C50">
              <w:t>signforskning</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8"/>
              </w:numPr>
            </w:pPr>
            <w:r w:rsidRPr="00A27C50">
              <w:rPr>
                <w:i/>
              </w:rPr>
              <w:t>å</w:t>
            </w:r>
            <w:r w:rsidRPr="00A27C50">
              <w:t xml:space="preserve"> redegjøre for hvordan design som et styrkeområde for verdiskapning for de nordiske samfunn, inngår i det innovasjonspolitiske samarbeid (nordiskt inno</w:t>
            </w:r>
            <w:r w:rsidRPr="00A27C50">
              <w:softHyphen/>
              <w:t>va</w:t>
            </w:r>
            <w:r w:rsidRPr="00A27C50">
              <w:softHyphen/>
              <w:t>tionspolitiskt s</w:t>
            </w:r>
            <w:r w:rsidRPr="00A27C50">
              <w:t>a</w:t>
            </w:r>
            <w:r w:rsidRPr="00A27C50">
              <w:t>marbetsprogram 2005-2010)</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pPr>
              <w:numPr>
                <w:ilvl w:val="0"/>
                <w:numId w:val="8"/>
              </w:numPr>
            </w:pPr>
            <w:r w:rsidRPr="00A27C50">
              <w:rPr>
                <w:i/>
              </w:rPr>
              <w:t>å</w:t>
            </w:r>
            <w:r w:rsidRPr="00A27C50">
              <w:t xml:space="preserve"> ta initiativer for aktivt å understøtte samarbeidet mellom de nordiske Arts and Business-organisa</w:t>
            </w:r>
            <w:r w:rsidRPr="00A27C50">
              <w:softHyphen/>
              <w:t>sjoner med sikte på å styrke nordisk næringslivs innovasjon og konkurranseevne gjennom kreative allianser med kulturlivet</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14/2004</w:t>
            </w:r>
          </w:p>
        </w:tc>
        <w:tc>
          <w:tcPr>
            <w:tcW w:w="4536" w:type="dxa"/>
          </w:tcPr>
          <w:p w:rsidR="000D6448" w:rsidRPr="00A27C50" w:rsidRDefault="000D6448">
            <w:pPr>
              <w:rPr>
                <w:b/>
              </w:rPr>
            </w:pPr>
            <w:r w:rsidRPr="00A27C50">
              <w:rPr>
                <w:b/>
              </w:rPr>
              <w:t xml:space="preserve">Evaluering av ”Nordisk Netværk for Voksnes læring” och bidrag till folkbildningsorganisationerna </w:t>
            </w:r>
          </w:p>
          <w:p w:rsidR="000D6448" w:rsidRPr="00A27C50" w:rsidRDefault="000D6448">
            <w:pPr>
              <w:spacing w:before="0"/>
              <w:rPr>
                <w:b/>
              </w:rPr>
            </w:pPr>
            <w:r w:rsidRPr="00A27C50">
              <w:rPr>
                <w:b/>
              </w:rPr>
              <w:t>(A 1338/kultur)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evaluere organisationen ”Nordisk Netværk for Voksnes læring” efter 1 år. Evalueringen skal tage udgangspunkt i brugermiljøerne, særligt skal det vurderes hvordan arbejdet med projektansøgninger har påvirket henholdsvis organisationerne og kvaliteten af det nordiske arbejde med voksnes læring</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rPr>
                <w:i/>
              </w:rPr>
            </w:pPr>
            <w:r w:rsidRPr="00A27C50">
              <w:rPr>
                <w:i/>
              </w:rPr>
              <w:t>att</w:t>
            </w:r>
            <w:r w:rsidRPr="00A27C50">
              <w:t xml:space="preserve"> Nordiska ministerrådet tilldelar de nordiska folkbil</w:t>
            </w:r>
            <w:r w:rsidRPr="00A27C50">
              <w:t>d</w:t>
            </w:r>
            <w:r w:rsidRPr="00A27C50">
              <w:t>ningsorganisationerna ett verksamhetsbidrag på 1 milj. DKK under år 2005 för att stödja folkbildningsarbetet i Norden. En utvärdering för att se om bidragen givit ett nordiskt mervärde skall ske efter ett år</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15/2004</w:t>
            </w:r>
          </w:p>
        </w:tc>
        <w:tc>
          <w:tcPr>
            <w:tcW w:w="4536" w:type="dxa"/>
          </w:tcPr>
          <w:p w:rsidR="000D6448" w:rsidRPr="00A27C50" w:rsidRDefault="000D6448">
            <w:pPr>
              <w:rPr>
                <w:b/>
              </w:rPr>
            </w:pPr>
            <w:r w:rsidRPr="00A27C50">
              <w:rPr>
                <w:b/>
              </w:rPr>
              <w:t>Vedtægter for Nordisk Råds filmpris (B 229/kultur)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 Råd rekommanderer Nordisk Ministerråd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w:t>
            </w:r>
            <w:r w:rsidRPr="00A27C50">
              <w:rPr>
                <w:kern w:val="30"/>
              </w:rPr>
              <w:t>iværksætte gennemførelsen af Nordisk Råds filmpris til overrækkelse i 2005 i overensstemmelse med de i ministerrådsforslaget foreslåede vedtægter.</w:t>
            </w:r>
          </w:p>
        </w:tc>
      </w:tr>
    </w:tbl>
    <w:p w:rsidR="000D6448" w:rsidRPr="00A27C50" w:rsidRDefault="000D6448"/>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46"/>
        <w:gridCol w:w="284"/>
        <w:gridCol w:w="2835"/>
        <w:gridCol w:w="1701"/>
      </w:tblGrid>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rPr>
                <w:b/>
              </w:rPr>
            </w:pPr>
            <w:r w:rsidRPr="00A27C50">
              <w:rPr>
                <w:b/>
              </w:rPr>
              <w:t>Rek. 16/2004</w:t>
            </w:r>
          </w:p>
        </w:tc>
        <w:tc>
          <w:tcPr>
            <w:tcW w:w="4536" w:type="dxa"/>
            <w:gridSpan w:val="2"/>
            <w:tcBorders>
              <w:top w:val="nil"/>
              <w:left w:val="nil"/>
              <w:bottom w:val="nil"/>
              <w:right w:val="nil"/>
            </w:tcBorders>
          </w:tcPr>
          <w:p w:rsidR="000D6448" w:rsidRPr="00A27C50" w:rsidRDefault="000D6448">
            <w:pPr>
              <w:jc w:val="left"/>
              <w:rPr>
                <w:b/>
              </w:rPr>
            </w:pPr>
            <w:r w:rsidRPr="00A27C50">
              <w:rPr>
                <w:b/>
              </w:rPr>
              <w:t>Nordisk Ministe</w:t>
            </w:r>
            <w:r w:rsidRPr="00A27C50">
              <w:rPr>
                <w:b/>
              </w:rPr>
              <w:t>r</w:t>
            </w:r>
            <w:r w:rsidRPr="00A27C50">
              <w:rPr>
                <w:b/>
              </w:rPr>
              <w:t>råds budget 2005</w:t>
            </w:r>
            <w:r w:rsidRPr="00A27C50">
              <w:rPr>
                <w:b/>
              </w:rPr>
              <w:br/>
              <w:t>(B 228/presidiet; C 2)</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tc>
        <w:tc>
          <w:tcPr>
            <w:tcW w:w="4536" w:type="dxa"/>
            <w:gridSpan w:val="2"/>
            <w:tcBorders>
              <w:top w:val="nil"/>
              <w:left w:val="nil"/>
              <w:bottom w:val="nil"/>
              <w:right w:val="nil"/>
            </w:tcBorders>
          </w:tcPr>
          <w:p w:rsidR="000D6448" w:rsidRPr="00A27C50" w:rsidRDefault="000D6448">
            <w:r w:rsidRPr="00A27C50">
              <w:t>I. Nordiska rådet rekommenderar Nordiska m</w:t>
            </w:r>
            <w:r w:rsidRPr="00A27C50">
              <w:t>i</w:t>
            </w:r>
            <w:r w:rsidRPr="00A27C50">
              <w:t>nisterrådet</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t xml:space="preserve">(1) </w:t>
            </w:r>
            <w:r w:rsidRPr="00A27C50">
              <w:rPr>
                <w:i/>
              </w:rPr>
              <w:t>att</w:t>
            </w:r>
            <w:r w:rsidRPr="00A27C50">
              <w:t xml:space="preserve"> öka insatsen till området Narkotika med TDKK 200 </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t xml:space="preserve">(2) </w:t>
            </w:r>
            <w:r w:rsidRPr="00A27C50">
              <w:rPr>
                <w:i/>
              </w:rPr>
              <w:t>att</w:t>
            </w:r>
            <w:r w:rsidRPr="00A27C50">
              <w:t xml:space="preserve"> öka insatsen till området Arktis med TDKK 1 500</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t xml:space="preserve">(3) </w:t>
            </w:r>
            <w:r w:rsidRPr="00A27C50">
              <w:rPr>
                <w:i/>
              </w:rPr>
              <w:t xml:space="preserve">att </w:t>
            </w:r>
            <w:r w:rsidRPr="00A27C50">
              <w:t>öka insatsen till området Bioetik med TDKK 200</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t xml:space="preserve">(4) </w:t>
            </w:r>
            <w:r w:rsidRPr="00A27C50">
              <w:rPr>
                <w:i/>
              </w:rPr>
              <w:t>att</w:t>
            </w:r>
            <w:r w:rsidRPr="00A27C50">
              <w:t xml:space="preserve"> öka insatsen till området Social- och hälsovård</w:t>
            </w:r>
            <w:r w:rsidRPr="00A27C50">
              <w:t>s</w:t>
            </w:r>
            <w:r w:rsidRPr="00A27C50">
              <w:t>politik för att prioritera Telemedicin med TDKK 500</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t xml:space="preserve">(5) </w:t>
            </w:r>
            <w:r w:rsidRPr="00A27C50">
              <w:rPr>
                <w:i/>
              </w:rPr>
              <w:t>att</w:t>
            </w:r>
            <w:r w:rsidRPr="00A27C50">
              <w:t xml:space="preserve"> Nordiska ministerrådet tilldelar de nordiska fol</w:t>
            </w:r>
            <w:r w:rsidRPr="00A27C50">
              <w:t>k</w:t>
            </w:r>
            <w:r w:rsidRPr="00A27C50">
              <w:t>bildningsorganisationerna ett verksamhetsbidrag på 1 milj. DKK under år 2005 för att stödja folkbildningsa</w:t>
            </w:r>
            <w:r w:rsidRPr="00A27C50">
              <w:t>r</w:t>
            </w:r>
            <w:r w:rsidRPr="00A27C50">
              <w:t>betet i Norden. En utvärdering för att se om bidragen givit ett nordiskt me</w:t>
            </w:r>
            <w:r w:rsidRPr="00A27C50">
              <w:t>r</w:t>
            </w:r>
            <w:r w:rsidRPr="00A27C50">
              <w:t>värde skall ske efter ett år</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pPr>
              <w:spacing w:before="187"/>
            </w:pPr>
            <w:r w:rsidRPr="00A27C50">
              <w:t>samt,</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r w:rsidRPr="00A27C50">
              <w:rPr>
                <w:i/>
              </w:rPr>
              <w:t>att</w:t>
            </w:r>
            <w:r w:rsidRPr="00A27C50">
              <w:t xml:space="preserve"> företa följande ändringar i budgeten för år 2005, jä</w:t>
            </w:r>
            <w:r w:rsidRPr="00A27C50">
              <w:t>m</w:t>
            </w:r>
            <w:r w:rsidRPr="00A27C50">
              <w:t xml:space="preserve">fört med ministerrådsförslag om Nordisk Ministerråds budget 2005 </w:t>
            </w:r>
            <w:r w:rsidRPr="00A27C50">
              <w:rPr>
                <w:i/>
              </w:rPr>
              <w:t>(B 228/presidiet; C2)</w:t>
            </w:r>
            <w:r w:rsidRPr="00A27C50">
              <w:t>:</w:t>
            </w:r>
          </w:p>
        </w:tc>
      </w:tr>
      <w:tr w:rsidR="000D6448" w:rsidRPr="00A27C50">
        <w:tblPrEx>
          <w:tblCellMar>
            <w:top w:w="0" w:type="dxa"/>
            <w:bottom w:w="0" w:type="dxa"/>
          </w:tblCellMar>
        </w:tblPrEx>
        <w:trPr>
          <w:cantSplit/>
        </w:trPr>
        <w:tc>
          <w:tcPr>
            <w:tcW w:w="1630" w:type="dxa"/>
            <w:gridSpan w:val="2"/>
            <w:tcBorders>
              <w:top w:val="nil"/>
              <w:left w:val="nil"/>
              <w:bottom w:val="nil"/>
              <w:right w:val="nil"/>
            </w:tcBorders>
          </w:tcPr>
          <w:p w:rsidR="000D6448" w:rsidRPr="00A27C50" w:rsidRDefault="000D6448">
            <w:pPr>
              <w:pStyle w:val="TabelNormal"/>
              <w:rPr>
                <w:lang w:val="sv-SE"/>
              </w:rPr>
            </w:pPr>
          </w:p>
        </w:tc>
        <w:tc>
          <w:tcPr>
            <w:tcW w:w="4536" w:type="dxa"/>
            <w:gridSpan w:val="2"/>
            <w:tcBorders>
              <w:top w:val="nil"/>
              <w:left w:val="nil"/>
              <w:bottom w:val="nil"/>
              <w:right w:val="nil"/>
            </w:tcBorders>
          </w:tcPr>
          <w:p w:rsidR="000D6448" w:rsidRPr="00A27C50" w:rsidRDefault="000D6448">
            <w:pPr>
              <w:pStyle w:val="LagtextRubrik"/>
              <w:rPr>
                <w:sz w:val="22"/>
              </w:rPr>
            </w:pPr>
          </w:p>
        </w:tc>
      </w:tr>
      <w:tr w:rsidR="000D6448" w:rsidRPr="00A27C50">
        <w:tblPrEx>
          <w:tblCellMar>
            <w:top w:w="0" w:type="dxa"/>
            <w:bottom w:w="0" w:type="dxa"/>
          </w:tblCellMar>
        </w:tblPrEx>
        <w:trPr>
          <w:cantSplit/>
        </w:trPr>
        <w:tc>
          <w:tcPr>
            <w:tcW w:w="6166" w:type="dxa"/>
            <w:gridSpan w:val="4"/>
            <w:tcBorders>
              <w:top w:val="nil"/>
              <w:left w:val="nil"/>
              <w:bottom w:val="nil"/>
              <w:right w:val="nil"/>
            </w:tcBorders>
          </w:tcPr>
          <w:p w:rsidR="000D6448" w:rsidRPr="00A27C50" w:rsidRDefault="000D6448">
            <w:r w:rsidRPr="00A27C50">
              <w:rPr>
                <w:b/>
              </w:rPr>
              <w:t>Ökning</w:t>
            </w:r>
            <w:r w:rsidRPr="00A27C50">
              <w:t xml:space="preserve"> av anslag för insatser till områdena Narkotika, Arktis, Bioetik samt Telemedicin </w:t>
            </w:r>
            <w:r w:rsidRPr="00A27C50">
              <w:br/>
              <w:t>(4-4310-1) (i TDKK) 2 400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p>
        </w:tc>
        <w:tc>
          <w:tcPr>
            <w:tcW w:w="3119" w:type="dxa"/>
            <w:gridSpan w:val="2"/>
            <w:tcBorders>
              <w:top w:val="nil"/>
              <w:bottom w:val="nil"/>
            </w:tcBorders>
          </w:tcPr>
          <w:p w:rsidR="000D6448" w:rsidRPr="00A27C50" w:rsidRDefault="000D6448">
            <w:pPr>
              <w:rPr>
                <w:b/>
              </w:rPr>
            </w:pPr>
          </w:p>
        </w:tc>
        <w:tc>
          <w:tcPr>
            <w:tcW w:w="1701" w:type="dxa"/>
            <w:tcBorders>
              <w:top w:val="nil"/>
              <w:bottom w:val="nil"/>
              <w:right w:val="nil"/>
            </w:tcBorders>
          </w:tcPr>
          <w:p w:rsidR="000D6448" w:rsidRPr="00A27C50" w:rsidRDefault="000D6448">
            <w:pPr>
              <w:rPr>
                <w:b/>
              </w:rPr>
            </w:pP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rPr>
                <w:b/>
              </w:rPr>
              <w:t>Budgetpost:</w:t>
            </w:r>
          </w:p>
        </w:tc>
        <w:tc>
          <w:tcPr>
            <w:tcW w:w="3119" w:type="dxa"/>
            <w:gridSpan w:val="2"/>
            <w:tcBorders>
              <w:top w:val="nil"/>
              <w:bottom w:val="nil"/>
            </w:tcBorders>
          </w:tcPr>
          <w:p w:rsidR="000D6448" w:rsidRPr="00A27C50" w:rsidRDefault="000D6448">
            <w:pPr>
              <w:rPr>
                <w:b/>
              </w:rPr>
            </w:pPr>
            <w:r w:rsidRPr="00A27C50">
              <w:rPr>
                <w:b/>
              </w:rPr>
              <w:t>Namn</w:t>
            </w:r>
          </w:p>
        </w:tc>
        <w:tc>
          <w:tcPr>
            <w:tcW w:w="1701" w:type="dxa"/>
            <w:tcBorders>
              <w:top w:val="nil"/>
              <w:bottom w:val="nil"/>
              <w:right w:val="nil"/>
            </w:tcBorders>
          </w:tcPr>
          <w:p w:rsidR="000D6448" w:rsidRPr="00A27C50" w:rsidRDefault="000D6448">
            <w:pPr>
              <w:rPr>
                <w:b/>
              </w:rPr>
            </w:pPr>
            <w:r w:rsidRPr="00A27C50">
              <w:rPr>
                <w:b/>
              </w:rPr>
              <w:t>Belopp (TDKK)</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t xml:space="preserve">4-4510-1 </w:t>
            </w:r>
          </w:p>
        </w:tc>
        <w:tc>
          <w:tcPr>
            <w:tcW w:w="3119" w:type="dxa"/>
            <w:gridSpan w:val="2"/>
            <w:tcBorders>
              <w:top w:val="nil"/>
              <w:bottom w:val="nil"/>
            </w:tcBorders>
          </w:tcPr>
          <w:p w:rsidR="000D6448" w:rsidRPr="00A27C50" w:rsidRDefault="000D6448">
            <w:pPr>
              <w:rPr>
                <w:b/>
              </w:rPr>
            </w:pPr>
            <w:r w:rsidRPr="00A27C50">
              <w:t>Projektmedel – Narkotikasamarbete</w:t>
            </w:r>
          </w:p>
        </w:tc>
        <w:tc>
          <w:tcPr>
            <w:tcW w:w="1701" w:type="dxa"/>
            <w:tcBorders>
              <w:top w:val="nil"/>
              <w:bottom w:val="nil"/>
              <w:right w:val="nil"/>
            </w:tcBorders>
          </w:tcPr>
          <w:p w:rsidR="000D6448" w:rsidRPr="00A27C50" w:rsidRDefault="000D6448">
            <w:pPr>
              <w:ind w:right="497"/>
              <w:jc w:val="right"/>
              <w:rPr>
                <w:b/>
              </w:rPr>
            </w:pPr>
            <w:r w:rsidRPr="00A27C50">
              <w:t xml:space="preserve">200 </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t>3-0870-1</w:t>
            </w:r>
          </w:p>
        </w:tc>
        <w:tc>
          <w:tcPr>
            <w:tcW w:w="3119" w:type="dxa"/>
            <w:gridSpan w:val="2"/>
            <w:tcBorders>
              <w:top w:val="nil"/>
              <w:bottom w:val="nil"/>
            </w:tcBorders>
          </w:tcPr>
          <w:p w:rsidR="000D6448" w:rsidRPr="00A27C50" w:rsidRDefault="000D6448">
            <w:pPr>
              <w:rPr>
                <w:b/>
              </w:rPr>
            </w:pPr>
            <w:r w:rsidRPr="00A27C50">
              <w:t>Arktisk samarbejdsprogram</w:t>
            </w:r>
          </w:p>
        </w:tc>
        <w:tc>
          <w:tcPr>
            <w:tcW w:w="1701" w:type="dxa"/>
            <w:tcBorders>
              <w:top w:val="nil"/>
              <w:bottom w:val="nil"/>
              <w:right w:val="nil"/>
            </w:tcBorders>
          </w:tcPr>
          <w:p w:rsidR="000D6448" w:rsidRPr="00A27C50" w:rsidRDefault="000D6448">
            <w:pPr>
              <w:ind w:right="497"/>
              <w:jc w:val="right"/>
              <w:rPr>
                <w:b/>
              </w:rPr>
            </w:pPr>
            <w:r w:rsidRPr="00A27C50">
              <w:t>1 500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r w:rsidRPr="00A27C50">
              <w:t>2-3140-1</w:t>
            </w:r>
          </w:p>
        </w:tc>
        <w:tc>
          <w:tcPr>
            <w:tcW w:w="3119" w:type="dxa"/>
            <w:gridSpan w:val="2"/>
            <w:tcBorders>
              <w:top w:val="nil"/>
              <w:bottom w:val="nil"/>
            </w:tcBorders>
          </w:tcPr>
          <w:p w:rsidR="000D6448" w:rsidRPr="00A27C50" w:rsidRDefault="000D6448">
            <w:r w:rsidRPr="00A27C50">
              <w:t>Nordisk komité for Bioetikk</w:t>
            </w:r>
          </w:p>
        </w:tc>
        <w:tc>
          <w:tcPr>
            <w:tcW w:w="1701" w:type="dxa"/>
            <w:tcBorders>
              <w:top w:val="nil"/>
              <w:bottom w:val="nil"/>
              <w:right w:val="nil"/>
            </w:tcBorders>
          </w:tcPr>
          <w:p w:rsidR="000D6448" w:rsidRPr="00A27C50" w:rsidRDefault="000D6448">
            <w:pPr>
              <w:ind w:right="497"/>
              <w:jc w:val="right"/>
            </w:pPr>
            <w:r w:rsidRPr="00A27C50">
              <w:t>200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r w:rsidRPr="00A27C50">
              <w:t>4-4310-1</w:t>
            </w:r>
          </w:p>
        </w:tc>
        <w:tc>
          <w:tcPr>
            <w:tcW w:w="3119" w:type="dxa"/>
            <w:gridSpan w:val="2"/>
            <w:tcBorders>
              <w:top w:val="nil"/>
              <w:bottom w:val="nil"/>
            </w:tcBorders>
          </w:tcPr>
          <w:p w:rsidR="000D6448" w:rsidRPr="00A27C50" w:rsidRDefault="000D6448">
            <w:pPr>
              <w:jc w:val="left"/>
            </w:pPr>
            <w:r w:rsidRPr="00A27C50">
              <w:t>Projektmedel Social- och hälsovård</w:t>
            </w:r>
            <w:r w:rsidRPr="00A27C50">
              <w:t>s</w:t>
            </w:r>
            <w:r w:rsidRPr="00A27C50">
              <w:t>politik (Telemed</w:t>
            </w:r>
            <w:r w:rsidRPr="00A27C50">
              <w:t>i</w:t>
            </w:r>
            <w:r w:rsidRPr="00A27C50">
              <w:t>cin)</w:t>
            </w:r>
          </w:p>
        </w:tc>
        <w:tc>
          <w:tcPr>
            <w:tcW w:w="1701" w:type="dxa"/>
            <w:tcBorders>
              <w:top w:val="nil"/>
              <w:bottom w:val="nil"/>
              <w:right w:val="nil"/>
            </w:tcBorders>
          </w:tcPr>
          <w:p w:rsidR="000D6448" w:rsidRPr="00A27C50" w:rsidRDefault="000D6448">
            <w:pPr>
              <w:ind w:right="497"/>
              <w:jc w:val="right"/>
            </w:pPr>
            <w:r w:rsidRPr="00A27C50">
              <w:t>500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p>
        </w:tc>
        <w:tc>
          <w:tcPr>
            <w:tcW w:w="3119" w:type="dxa"/>
            <w:gridSpan w:val="2"/>
            <w:tcBorders>
              <w:top w:val="nil"/>
              <w:bottom w:val="nil"/>
            </w:tcBorders>
          </w:tcPr>
          <w:p w:rsidR="000D6448" w:rsidRPr="00A27C50" w:rsidRDefault="000D6448">
            <w:pPr>
              <w:jc w:val="right"/>
              <w:rPr>
                <w:sz w:val="22"/>
              </w:rPr>
            </w:pPr>
            <w:r w:rsidRPr="00A27C50">
              <w:rPr>
                <w:b/>
              </w:rPr>
              <w:t>Summa:</w:t>
            </w:r>
          </w:p>
        </w:tc>
        <w:tc>
          <w:tcPr>
            <w:tcW w:w="1701" w:type="dxa"/>
            <w:tcBorders>
              <w:top w:val="nil"/>
              <w:bottom w:val="nil"/>
              <w:right w:val="nil"/>
            </w:tcBorders>
          </w:tcPr>
          <w:p w:rsidR="000D6448" w:rsidRPr="00A27C50" w:rsidRDefault="000D6448">
            <w:pPr>
              <w:ind w:right="497"/>
              <w:jc w:val="right"/>
              <w:rPr>
                <w:sz w:val="22"/>
              </w:rPr>
            </w:pPr>
            <w:r w:rsidRPr="00A27C50">
              <w:rPr>
                <w:b/>
                <w:sz w:val="22"/>
              </w:rPr>
              <w:t>2 400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p>
        </w:tc>
        <w:tc>
          <w:tcPr>
            <w:tcW w:w="3119" w:type="dxa"/>
            <w:gridSpan w:val="2"/>
            <w:tcBorders>
              <w:top w:val="nil"/>
              <w:bottom w:val="nil"/>
            </w:tcBorders>
          </w:tcPr>
          <w:p w:rsidR="000D6448" w:rsidRPr="00A27C50" w:rsidRDefault="000D6448">
            <w:pPr>
              <w:jc w:val="right"/>
              <w:rPr>
                <w:b/>
              </w:rPr>
            </w:pPr>
          </w:p>
        </w:tc>
        <w:tc>
          <w:tcPr>
            <w:tcW w:w="1701" w:type="dxa"/>
            <w:tcBorders>
              <w:top w:val="nil"/>
              <w:bottom w:val="nil"/>
              <w:right w:val="nil"/>
            </w:tcBorders>
          </w:tcPr>
          <w:p w:rsidR="000D6448" w:rsidRPr="00A27C50" w:rsidRDefault="000D6448">
            <w:pPr>
              <w:ind w:right="497"/>
              <w:jc w:val="right"/>
              <w:rPr>
                <w:b/>
                <w:sz w:val="22"/>
              </w:rPr>
            </w:pPr>
          </w:p>
        </w:tc>
      </w:tr>
    </w:tbl>
    <w:p w:rsidR="000D6448" w:rsidRPr="00A27C50" w:rsidRDefault="000D6448">
      <w:r w:rsidRPr="00A27C50">
        <w:rPr>
          <w:b/>
        </w:rPr>
        <w:t>Summa ökningar (</w:t>
      </w:r>
      <w:r w:rsidRPr="00A27C50">
        <w:t>TDKK) 2 400</w:t>
      </w:r>
    </w:p>
    <w:p w:rsidR="000D6448" w:rsidRPr="00A27C50" w:rsidRDefault="000D6448">
      <w:r w:rsidRPr="00A27C50">
        <w:rPr>
          <w:b/>
        </w:rPr>
        <w:t xml:space="preserve">Minskning </w:t>
      </w:r>
      <w:r w:rsidRPr="00A27C50">
        <w:t>(i TDKK) av anslagen till följande: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46"/>
        <w:gridCol w:w="3119"/>
        <w:gridCol w:w="1701"/>
      </w:tblGrid>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rPr>
                <w:b/>
              </w:rPr>
              <w:t>Budgetpost:</w:t>
            </w:r>
          </w:p>
        </w:tc>
        <w:tc>
          <w:tcPr>
            <w:tcW w:w="3119" w:type="dxa"/>
            <w:tcBorders>
              <w:top w:val="nil"/>
              <w:bottom w:val="nil"/>
            </w:tcBorders>
          </w:tcPr>
          <w:p w:rsidR="000D6448" w:rsidRPr="00A27C50" w:rsidRDefault="000D6448">
            <w:pPr>
              <w:rPr>
                <w:b/>
              </w:rPr>
            </w:pPr>
            <w:r w:rsidRPr="00A27C50">
              <w:rPr>
                <w:b/>
              </w:rPr>
              <w:t>Namn</w:t>
            </w:r>
          </w:p>
        </w:tc>
        <w:tc>
          <w:tcPr>
            <w:tcW w:w="1701" w:type="dxa"/>
            <w:tcBorders>
              <w:top w:val="nil"/>
              <w:bottom w:val="nil"/>
              <w:right w:val="nil"/>
            </w:tcBorders>
          </w:tcPr>
          <w:p w:rsidR="000D6448" w:rsidRPr="00A27C50" w:rsidRDefault="000D6448">
            <w:pPr>
              <w:rPr>
                <w:b/>
              </w:rPr>
            </w:pPr>
            <w:r w:rsidRPr="00A27C50">
              <w:rPr>
                <w:b/>
              </w:rPr>
              <w:t>Belopp (TDKK)</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t>3-3320-2</w:t>
            </w:r>
          </w:p>
        </w:tc>
        <w:tc>
          <w:tcPr>
            <w:tcW w:w="3119" w:type="dxa"/>
            <w:tcBorders>
              <w:top w:val="nil"/>
              <w:bottom w:val="nil"/>
            </w:tcBorders>
          </w:tcPr>
          <w:p w:rsidR="000D6448" w:rsidRPr="00A27C50" w:rsidRDefault="000D6448">
            <w:pPr>
              <w:rPr>
                <w:b/>
              </w:rPr>
            </w:pPr>
            <w:r w:rsidRPr="00A27C50">
              <w:t>NEFCO</w:t>
            </w:r>
          </w:p>
        </w:tc>
        <w:tc>
          <w:tcPr>
            <w:tcW w:w="1701" w:type="dxa"/>
            <w:tcBorders>
              <w:top w:val="nil"/>
              <w:bottom w:val="nil"/>
              <w:right w:val="nil"/>
            </w:tcBorders>
          </w:tcPr>
          <w:p w:rsidR="000D6448" w:rsidRPr="00A27C50" w:rsidRDefault="000D6448">
            <w:pPr>
              <w:ind w:right="497"/>
              <w:jc w:val="right"/>
              <w:rPr>
                <w:b/>
              </w:rPr>
            </w:pPr>
            <w:r w:rsidRPr="00A27C50">
              <w:t>1 200</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pPr>
              <w:rPr>
                <w:b/>
              </w:rPr>
            </w:pPr>
            <w:r w:rsidRPr="00A27C50">
              <w:t>5-0445-1</w:t>
            </w:r>
          </w:p>
        </w:tc>
        <w:tc>
          <w:tcPr>
            <w:tcW w:w="3119" w:type="dxa"/>
            <w:tcBorders>
              <w:top w:val="nil"/>
              <w:bottom w:val="nil"/>
            </w:tcBorders>
          </w:tcPr>
          <w:p w:rsidR="000D6448" w:rsidRPr="00A27C50" w:rsidRDefault="000D6448">
            <w:pPr>
              <w:rPr>
                <w:b/>
              </w:rPr>
            </w:pPr>
            <w:r w:rsidRPr="00A27C50">
              <w:t>Ministerrådets strategiske initiativer</w:t>
            </w:r>
          </w:p>
        </w:tc>
        <w:tc>
          <w:tcPr>
            <w:tcW w:w="1701" w:type="dxa"/>
            <w:tcBorders>
              <w:top w:val="nil"/>
              <w:bottom w:val="nil"/>
              <w:right w:val="nil"/>
            </w:tcBorders>
          </w:tcPr>
          <w:p w:rsidR="000D6448" w:rsidRPr="00A27C50" w:rsidRDefault="000D6448">
            <w:pPr>
              <w:ind w:right="497"/>
              <w:jc w:val="right"/>
              <w:rPr>
                <w:b/>
              </w:rPr>
            </w:pPr>
            <w:r w:rsidRPr="00A27C50">
              <w:t>182</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r w:rsidRPr="00A27C50">
              <w:t>2-3185-3</w:t>
            </w:r>
          </w:p>
        </w:tc>
        <w:tc>
          <w:tcPr>
            <w:tcW w:w="3119" w:type="dxa"/>
            <w:tcBorders>
              <w:top w:val="nil"/>
              <w:bottom w:val="nil"/>
            </w:tcBorders>
          </w:tcPr>
          <w:p w:rsidR="000D6448" w:rsidRPr="00A27C50" w:rsidRDefault="000D6448">
            <w:r w:rsidRPr="00A27C50">
              <w:t>Nordisk s</w:t>
            </w:r>
            <w:r w:rsidRPr="00A27C50">
              <w:t>a</w:t>
            </w:r>
            <w:r w:rsidRPr="00A27C50">
              <w:t>misk institut</w:t>
            </w:r>
          </w:p>
        </w:tc>
        <w:tc>
          <w:tcPr>
            <w:tcW w:w="1701" w:type="dxa"/>
            <w:tcBorders>
              <w:top w:val="nil"/>
              <w:bottom w:val="nil"/>
              <w:right w:val="nil"/>
            </w:tcBorders>
          </w:tcPr>
          <w:p w:rsidR="000D6448" w:rsidRPr="00A27C50" w:rsidRDefault="000D6448">
            <w:pPr>
              <w:ind w:right="497"/>
              <w:jc w:val="right"/>
            </w:pPr>
            <w:r w:rsidRPr="00A27C50">
              <w:t>1 555</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r w:rsidRPr="00A27C50">
              <w:t>5-0180-3</w:t>
            </w:r>
          </w:p>
        </w:tc>
        <w:tc>
          <w:tcPr>
            <w:tcW w:w="3119" w:type="dxa"/>
            <w:tcBorders>
              <w:top w:val="nil"/>
              <w:bottom w:val="nil"/>
            </w:tcBorders>
          </w:tcPr>
          <w:p w:rsidR="000D6448" w:rsidRPr="00A27C50" w:rsidRDefault="000D6448">
            <w:r w:rsidRPr="00A27C50">
              <w:t>Nordiska Ministerrådets sekret</w:t>
            </w:r>
            <w:r w:rsidRPr="00A27C50">
              <w:t>a</w:t>
            </w:r>
            <w:r w:rsidRPr="00A27C50">
              <w:t>riat</w:t>
            </w:r>
          </w:p>
        </w:tc>
        <w:tc>
          <w:tcPr>
            <w:tcW w:w="1701" w:type="dxa"/>
            <w:tcBorders>
              <w:top w:val="nil"/>
              <w:bottom w:val="nil"/>
              <w:right w:val="nil"/>
            </w:tcBorders>
          </w:tcPr>
          <w:p w:rsidR="000D6448" w:rsidRPr="00A27C50" w:rsidRDefault="000D6448">
            <w:pPr>
              <w:ind w:right="497"/>
              <w:jc w:val="right"/>
            </w:pPr>
            <w:r w:rsidRPr="00A27C50">
              <w:t>213</w:t>
            </w:r>
          </w:p>
        </w:tc>
      </w:tr>
      <w:tr w:rsidR="000D6448" w:rsidRPr="00A27C50">
        <w:tblPrEx>
          <w:tblCellMar>
            <w:top w:w="0" w:type="dxa"/>
            <w:bottom w:w="0" w:type="dxa"/>
          </w:tblCellMar>
        </w:tblPrEx>
        <w:trPr>
          <w:cantSplit/>
        </w:trPr>
        <w:tc>
          <w:tcPr>
            <w:tcW w:w="1346" w:type="dxa"/>
            <w:tcBorders>
              <w:top w:val="nil"/>
              <w:left w:val="nil"/>
              <w:bottom w:val="nil"/>
            </w:tcBorders>
          </w:tcPr>
          <w:p w:rsidR="000D6448" w:rsidRPr="00A27C50" w:rsidRDefault="000D6448"/>
        </w:tc>
        <w:tc>
          <w:tcPr>
            <w:tcW w:w="3119" w:type="dxa"/>
            <w:tcBorders>
              <w:top w:val="nil"/>
              <w:bottom w:val="nil"/>
            </w:tcBorders>
          </w:tcPr>
          <w:p w:rsidR="000D6448" w:rsidRPr="00A27C50" w:rsidRDefault="000D6448">
            <w:pPr>
              <w:jc w:val="right"/>
            </w:pPr>
            <w:r w:rsidRPr="00A27C50">
              <w:rPr>
                <w:b/>
              </w:rPr>
              <w:t>Summa</w:t>
            </w:r>
            <w:r w:rsidRPr="00A27C50">
              <w:rPr>
                <w:b/>
                <w:sz w:val="22"/>
              </w:rPr>
              <w:t>:</w:t>
            </w:r>
          </w:p>
        </w:tc>
        <w:tc>
          <w:tcPr>
            <w:tcW w:w="1701" w:type="dxa"/>
            <w:tcBorders>
              <w:top w:val="nil"/>
              <w:bottom w:val="nil"/>
              <w:right w:val="nil"/>
            </w:tcBorders>
          </w:tcPr>
          <w:p w:rsidR="000D6448" w:rsidRPr="00A27C50" w:rsidRDefault="000D6448">
            <w:pPr>
              <w:ind w:right="497"/>
              <w:jc w:val="right"/>
            </w:pPr>
            <w:r w:rsidRPr="00A27C50">
              <w:rPr>
                <w:b/>
                <w:sz w:val="22"/>
              </w:rPr>
              <w:t>3 150</w:t>
            </w:r>
          </w:p>
        </w:tc>
      </w:tr>
    </w:tbl>
    <w:p w:rsidR="000D6448" w:rsidRPr="00A27C50" w:rsidRDefault="000D6448">
      <w:r w:rsidRPr="00A27C50">
        <w:rPr>
          <w:b/>
        </w:rPr>
        <w:t>Summa minskningar</w:t>
      </w:r>
      <w:r w:rsidRPr="00A27C50">
        <w:t xml:space="preserve"> (TDKK) 3 150</w:t>
      </w:r>
    </w:p>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6166" w:type="dxa"/>
            <w:gridSpan w:val="2"/>
          </w:tcPr>
          <w:p w:rsidR="000D6448" w:rsidRPr="00A27C50" w:rsidRDefault="000D6448">
            <w:r w:rsidRPr="00A27C50">
              <w:t>Vidare föreslår presidiet att Nordiska rådet framför önskemål om att Nordiska ministerrådet, i genomförandet av 2005 års budget, överväger huruvida sä</w:t>
            </w:r>
            <w:r w:rsidRPr="00A27C50">
              <w:t>r</w:t>
            </w:r>
            <w:r w:rsidRPr="00A27C50">
              <w:t>skilda hänsyn kan tas till följande teman:</w:t>
            </w:r>
          </w:p>
          <w:p w:rsidR="000D6448" w:rsidRPr="00A27C50" w:rsidRDefault="000D6448">
            <w:pPr>
              <w:pStyle w:val="PunktlistaStreck"/>
              <w:tabs>
                <w:tab w:val="clear" w:pos="360"/>
              </w:tabs>
            </w:pPr>
            <w:r w:rsidRPr="00A27C50">
              <w:t>Nordiska rådet vill återigen upprepa att en önskan om att budgetdokumentet blir mera lättillgängligt och överskådligt. Överlag måste det skapas större möjligheter för en omdisponering av medel mellan olika budgeto</w:t>
            </w:r>
            <w:r w:rsidRPr="00A27C50">
              <w:t>m</w:t>
            </w:r>
            <w:r w:rsidRPr="00A27C50">
              <w:t>råden.</w:t>
            </w:r>
          </w:p>
          <w:p w:rsidR="000D6448" w:rsidRPr="00A27C50" w:rsidRDefault="000D6448">
            <w:pPr>
              <w:pStyle w:val="PunktlistaStreck"/>
              <w:numPr>
                <w:ilvl w:val="0"/>
                <w:numId w:val="9"/>
              </w:numPr>
              <w:tabs>
                <w:tab w:val="clear" w:pos="360"/>
              </w:tabs>
            </w:pPr>
            <w:r w:rsidRPr="00A27C50">
              <w:t>Nordiska kulturfonden har en viktig nordisk kulturpolitisk uppgift. Rådet har noterat att Nordiska kulturfonden har en oförändrad budgetram trots ett ökat antal kvalificerade ansöknin</w:t>
            </w:r>
            <w:r w:rsidRPr="00A27C50">
              <w:t>g</w:t>
            </w:r>
            <w:r w:rsidRPr="00A27C50">
              <w:t>ar.</w:t>
            </w:r>
          </w:p>
          <w:p w:rsidR="000D6448" w:rsidRPr="00A27C50" w:rsidRDefault="000D6448">
            <w:pPr>
              <w:pStyle w:val="PunktlistaStreck"/>
              <w:numPr>
                <w:ilvl w:val="0"/>
                <w:numId w:val="9"/>
              </w:numPr>
              <w:tabs>
                <w:tab w:val="clear" w:pos="360"/>
              </w:tabs>
            </w:pPr>
            <w:r w:rsidRPr="00A27C50">
              <w:t>Nordiska ministerrådet bör utreda hur Nordiska Akvarellmuseet kan stödas i projektet med sin nordiska pr</w:t>
            </w:r>
            <w:r w:rsidRPr="00A27C50">
              <w:t>o</w:t>
            </w:r>
            <w:r w:rsidRPr="00A27C50">
              <w:t>filering.</w:t>
            </w:r>
          </w:p>
          <w:p w:rsidR="000D6448" w:rsidRPr="00A27C50" w:rsidRDefault="000D6448">
            <w:pPr>
              <w:pStyle w:val="PunktlistaStreck"/>
              <w:numPr>
                <w:ilvl w:val="0"/>
                <w:numId w:val="9"/>
              </w:numPr>
              <w:tabs>
                <w:tab w:val="clear" w:pos="360"/>
              </w:tabs>
            </w:pPr>
            <w:r w:rsidRPr="00A27C50">
              <w:t>2-2543-1 Norplus språk. Nordisk råd forventer at Nordisk Ministerråd vil leve op til bestemmelsen om, at Nordens Sprogråd har ansvaret for sama</w:t>
            </w:r>
            <w:r w:rsidRPr="00A27C50">
              <w:t>r</w:t>
            </w:r>
            <w:r w:rsidRPr="00A27C50">
              <w:t>bejedet mellan de nordiske sprognevn, således at der også er sekretariatsr</w:t>
            </w:r>
            <w:r w:rsidRPr="00A27C50">
              <w:t>e</w:t>
            </w:r>
            <w:r w:rsidRPr="00A27C50">
              <w:t>surser til at varetage denne opgave.</w:t>
            </w:r>
          </w:p>
          <w:p w:rsidR="000D6448" w:rsidRPr="00A27C50" w:rsidRDefault="000D6448">
            <w:pPr>
              <w:pStyle w:val="PunktlistaStreck"/>
              <w:numPr>
                <w:ilvl w:val="0"/>
                <w:numId w:val="9"/>
              </w:numPr>
              <w:tabs>
                <w:tab w:val="clear" w:pos="360"/>
              </w:tabs>
            </w:pPr>
            <w:r w:rsidRPr="00A27C50">
              <w:t>Nordisk Ungdoms Filmfestival, gør et unikt arbejde for at samle unge int</w:t>
            </w:r>
            <w:r w:rsidRPr="00A27C50">
              <w:t>e</w:t>
            </w:r>
            <w:r w:rsidRPr="00A27C50">
              <w:t>resseret i selv at producere film. De unge mødes i Tromsø, Norge, i en uge i september for at vise sine film og for i workshops at producere nye kor</w:t>
            </w:r>
            <w:r w:rsidRPr="00A27C50">
              <w:t>t</w:t>
            </w:r>
            <w:r w:rsidRPr="00A27C50">
              <w:t xml:space="preserve">film. </w:t>
            </w:r>
            <w:r w:rsidRPr="00A27C50">
              <w:rPr>
                <w:spacing w:val="-2"/>
              </w:rPr>
              <w:t>Nordisk Råd anmoder ministerrådet om at finde en løsning til, hvordan NUFF kan støttes således at man sikrer deltagelse af unge fra hele No</w:t>
            </w:r>
            <w:r w:rsidRPr="00A27C50">
              <w:rPr>
                <w:spacing w:val="-2"/>
              </w:rPr>
              <w:t>r</w:t>
            </w:r>
            <w:r w:rsidRPr="00A27C50">
              <w:rPr>
                <w:spacing w:val="-2"/>
              </w:rPr>
              <w:t>den.</w:t>
            </w:r>
          </w:p>
          <w:p w:rsidR="000D6448" w:rsidRPr="00A27C50" w:rsidRDefault="000D6448">
            <w:pPr>
              <w:pStyle w:val="PunktlistaStreck"/>
              <w:numPr>
                <w:ilvl w:val="0"/>
                <w:numId w:val="9"/>
              </w:numPr>
              <w:tabs>
                <w:tab w:val="clear" w:pos="360"/>
              </w:tabs>
            </w:pPr>
            <w:r w:rsidRPr="00A27C50">
              <w:t xml:space="preserve">Nordisk Råd beder Nordisk Ministerråd om at se på mulighederne for igangsættelse af nordisk forskning inden for sikkerhedspolitik og aktiviteter for civil krisehåndtering/konfliktforebyggelse. </w:t>
            </w:r>
          </w:p>
          <w:p w:rsidR="000D6448" w:rsidRPr="00A27C50" w:rsidRDefault="000D6448">
            <w:pPr>
              <w:pStyle w:val="PunktlistaStreck"/>
              <w:numPr>
                <w:ilvl w:val="0"/>
                <w:numId w:val="9"/>
              </w:numPr>
              <w:tabs>
                <w:tab w:val="clear" w:pos="360"/>
              </w:tabs>
            </w:pPr>
            <w:r w:rsidRPr="00A27C50">
              <w:t>Arbeidet på forskjellige områder og nivåer i våre nærområder er meget viktig. Nordisk råd mener dette er veldig viktig, og da spesielt innsatsen mot Kaliningrad. Området bærer preg av meget lav utvikling på alle omr</w:t>
            </w:r>
            <w:r w:rsidRPr="00A27C50">
              <w:t>å</w:t>
            </w:r>
            <w:r w:rsidRPr="00A27C50">
              <w:t>der. Nordisk Råd foreslår derfor at innen for Nærområdet programmets budsjettramme at fokusere på spørsmål som berør Kal</w:t>
            </w:r>
            <w:r w:rsidRPr="00A27C50">
              <w:t>i</w:t>
            </w:r>
            <w:r w:rsidRPr="00A27C50">
              <w:t xml:space="preserve">ningrad. </w:t>
            </w:r>
          </w:p>
          <w:p w:rsidR="000D6448" w:rsidRPr="00A27C50" w:rsidRDefault="000D6448">
            <w:pPr>
              <w:pStyle w:val="PunktlistaStreck"/>
              <w:numPr>
                <w:ilvl w:val="0"/>
                <w:numId w:val="9"/>
              </w:numPr>
              <w:tabs>
                <w:tab w:val="clear" w:pos="360"/>
              </w:tabs>
            </w:pPr>
            <w:r w:rsidRPr="00A27C50">
              <w:t>At indenfor nærområdebudgettet øremærke TDKK 1 000 til støtte for den sociale dialog i Baltikum med henvisning til rek. 8/2003.</w:t>
            </w:r>
          </w:p>
          <w:p w:rsidR="000D6448" w:rsidRPr="00A27C50" w:rsidRDefault="000D6448">
            <w:pPr>
              <w:widowControl w:val="0"/>
              <w:autoSpaceDE w:val="0"/>
              <w:autoSpaceDN w:val="0"/>
              <w:adjustRightInd w:val="0"/>
              <w:spacing w:after="120"/>
            </w:pPr>
            <w:r w:rsidRPr="00A27C50">
              <w:t>Dessutom föreslår presidiet att Nordiska rådet år 2006 och framöver fokuserar på följande o</w:t>
            </w:r>
            <w:r w:rsidRPr="00A27C50">
              <w:t>m</w:t>
            </w:r>
            <w:r w:rsidRPr="00A27C50">
              <w:t>råden:</w:t>
            </w:r>
          </w:p>
          <w:p w:rsidR="000D6448" w:rsidRPr="00A27C50" w:rsidRDefault="000D6448">
            <w:pPr>
              <w:pStyle w:val="PunktlistaStreck"/>
              <w:numPr>
                <w:ilvl w:val="0"/>
                <w:numId w:val="9"/>
              </w:numPr>
              <w:tabs>
                <w:tab w:val="clear" w:pos="360"/>
              </w:tabs>
              <w:spacing w:before="0"/>
            </w:pPr>
            <w:r w:rsidRPr="00A27C50">
              <w:t xml:space="preserve">Norden i det nya Europa </w:t>
            </w:r>
          </w:p>
          <w:p w:rsidR="000D6448" w:rsidRPr="00A27C50" w:rsidRDefault="000D6448">
            <w:pPr>
              <w:tabs>
                <w:tab w:val="left" w:pos="851"/>
              </w:tabs>
              <w:ind w:left="284"/>
            </w:pPr>
            <w:r w:rsidRPr="00A27C50">
              <w:t xml:space="preserve">– Arbetsmarknadsfrågor, regionalpolitik </w:t>
            </w:r>
          </w:p>
          <w:p w:rsidR="000D6448" w:rsidRPr="00A27C50" w:rsidRDefault="000D6448">
            <w:pPr>
              <w:tabs>
                <w:tab w:val="left" w:pos="851"/>
              </w:tabs>
              <w:ind w:left="284"/>
            </w:pPr>
            <w:r w:rsidRPr="00A27C50">
              <w:t>– Den nordliga dimensionen</w:t>
            </w:r>
          </w:p>
          <w:p w:rsidR="000D6448" w:rsidRPr="00A27C50" w:rsidRDefault="000D6448">
            <w:pPr>
              <w:tabs>
                <w:tab w:val="left" w:pos="851"/>
              </w:tabs>
              <w:ind w:left="284"/>
            </w:pPr>
            <w:r w:rsidRPr="00A27C50">
              <w:t xml:space="preserve">– Arkiskt samarbete och västnorden </w:t>
            </w:r>
          </w:p>
          <w:p w:rsidR="000D6448" w:rsidRPr="00A27C50" w:rsidRDefault="000D6448">
            <w:pPr>
              <w:tabs>
                <w:tab w:val="left" w:pos="851"/>
              </w:tabs>
              <w:ind w:left="284"/>
            </w:pPr>
            <w:r w:rsidRPr="00A27C50">
              <w:t>– Narkotika och alkoholmissbruk</w:t>
            </w:r>
          </w:p>
          <w:p w:rsidR="000D6448" w:rsidRPr="00A27C50" w:rsidRDefault="000D6448">
            <w:pPr>
              <w:tabs>
                <w:tab w:val="left" w:pos="851"/>
              </w:tabs>
              <w:ind w:left="284"/>
            </w:pPr>
            <w:r w:rsidRPr="00A27C50">
              <w:t>– Miljösamarbete</w:t>
            </w:r>
          </w:p>
          <w:p w:rsidR="000D6448" w:rsidRPr="00A27C50" w:rsidRDefault="000D6448">
            <w:pPr>
              <w:tabs>
                <w:tab w:val="left" w:pos="851"/>
              </w:tabs>
              <w:ind w:left="284"/>
            </w:pPr>
            <w:r w:rsidRPr="00A27C50">
              <w:t>– Sexuell hälsa, samt sexualisering och pornografisering av samhället</w:t>
            </w:r>
          </w:p>
          <w:p w:rsidR="000D6448" w:rsidRPr="00A27C50" w:rsidRDefault="000D6448">
            <w:pPr>
              <w:pStyle w:val="PunktlistaStreck"/>
              <w:numPr>
                <w:ilvl w:val="0"/>
                <w:numId w:val="9"/>
              </w:numPr>
              <w:tabs>
                <w:tab w:val="clear" w:pos="360"/>
              </w:tabs>
            </w:pPr>
            <w:r w:rsidRPr="00A27C50">
              <w:t>Gränshindersfrågor</w:t>
            </w:r>
          </w:p>
          <w:p w:rsidR="000D6448" w:rsidRPr="00A27C50" w:rsidRDefault="000D6448">
            <w:pPr>
              <w:pStyle w:val="PunktlistaStreck"/>
              <w:numPr>
                <w:ilvl w:val="0"/>
                <w:numId w:val="9"/>
              </w:numPr>
              <w:tabs>
                <w:tab w:val="clear" w:pos="360"/>
              </w:tabs>
            </w:pPr>
            <w:r w:rsidRPr="00A27C50">
              <w:t>Nordisk sikkerhedspolitiske aktiviteter og forskningsopgaver</w:t>
            </w:r>
          </w:p>
          <w:p w:rsidR="000D6448" w:rsidRPr="00A27C50" w:rsidRDefault="000D6448">
            <w:pPr>
              <w:pStyle w:val="LagtextRubrik"/>
              <w:spacing w:before="120" w:after="120"/>
              <w:rPr>
                <w:i w:val="0"/>
              </w:rPr>
            </w:pPr>
          </w:p>
        </w:tc>
      </w:tr>
      <w:tr w:rsidR="000D6448" w:rsidRPr="00A27C50">
        <w:tblPrEx>
          <w:tblCellMar>
            <w:top w:w="0" w:type="dxa"/>
            <w:bottom w:w="0" w:type="dxa"/>
          </w:tblCellMar>
        </w:tblPrEx>
        <w:trPr>
          <w:cantSplit/>
        </w:trPr>
        <w:tc>
          <w:tcPr>
            <w:tcW w:w="6166" w:type="dxa"/>
            <w:gridSpan w:val="2"/>
          </w:tcPr>
          <w:p w:rsidR="000D6448" w:rsidRPr="00A27C50" w:rsidRDefault="000D6448">
            <w:r w:rsidRPr="00A27C50">
              <w:t>Presidiet föreslår att</w:t>
            </w:r>
          </w:p>
        </w:tc>
      </w:tr>
      <w:tr w:rsidR="000D6448" w:rsidRPr="00A27C50">
        <w:tblPrEx>
          <w:tblCellMar>
            <w:top w:w="0" w:type="dxa"/>
            <w:bottom w:w="0" w:type="dxa"/>
          </w:tblCellMar>
        </w:tblPrEx>
        <w:trPr>
          <w:cantSplit/>
          <w:trHeight w:val="355"/>
        </w:trPr>
        <w:tc>
          <w:tcPr>
            <w:tcW w:w="1630" w:type="dxa"/>
          </w:tcPr>
          <w:p w:rsidR="000D6448" w:rsidRPr="00A27C50" w:rsidRDefault="000D6448"/>
        </w:tc>
        <w:tc>
          <w:tcPr>
            <w:tcW w:w="4536" w:type="dxa"/>
          </w:tcPr>
          <w:p w:rsidR="000D6448" w:rsidRPr="00A27C50" w:rsidRDefault="000D6448">
            <w:r w:rsidRPr="00A27C50">
              <w:t>II. Plenarförsamlingen beslutar</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r w:rsidRPr="00A27C50">
              <w:rPr>
                <w:i/>
              </w:rPr>
              <w:t>att</w:t>
            </w:r>
            <w:r w:rsidRPr="00A27C50">
              <w:t xml:space="preserve"> ministerrådsförslag om Nordiska ministerrådets bu</w:t>
            </w:r>
            <w:r w:rsidRPr="00A27C50">
              <w:t>d</w:t>
            </w:r>
            <w:r w:rsidRPr="00A27C50">
              <w:t>get 2005 (C2), läggs till handlinga</w:t>
            </w:r>
            <w:r w:rsidRPr="00A27C50">
              <w:t>r</w:t>
            </w:r>
            <w:r w:rsidRPr="00A27C50">
              <w:t>na.</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17/2004</w:t>
            </w:r>
          </w:p>
        </w:tc>
        <w:tc>
          <w:tcPr>
            <w:tcW w:w="4536" w:type="dxa"/>
          </w:tcPr>
          <w:p w:rsidR="000D6448" w:rsidRPr="00A27C50" w:rsidRDefault="000D6448">
            <w:pPr>
              <w:rPr>
                <w:b/>
              </w:rPr>
            </w:pPr>
            <w:r w:rsidRPr="00A27C50">
              <w:rPr>
                <w:b/>
              </w:rPr>
              <w:t>Nordisk Ministerråds samarbeid med Estland, Latvia og Litauen 2006–2008 (B 230/presidiet)</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Nordiska rådet rekommenderar Nordiska mini</w:t>
            </w:r>
            <w:r w:rsidRPr="00A27C50">
              <w:t>s</w:t>
            </w:r>
            <w:r w:rsidRPr="00A27C50">
              <w:t>terrådet</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11"/>
              </w:numPr>
            </w:pPr>
            <w:r w:rsidRPr="00A27C50">
              <w:rPr>
                <w:i/>
              </w:rPr>
              <w:t>att</w:t>
            </w:r>
            <w:r w:rsidRPr="00A27C50">
              <w:t xml:space="preserve"> anta riktlinjerna för Nordiska ministerrådets sam</w:t>
            </w:r>
            <w:r w:rsidRPr="00A27C50">
              <w:softHyphen/>
              <w:t>arbete med Estland, Lettland och Litauen 2006–2008</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11"/>
              </w:numPr>
            </w:pPr>
            <w:r w:rsidRPr="00A27C50">
              <w:rPr>
                <w:i/>
              </w:rPr>
              <w:t>att</w:t>
            </w:r>
            <w:r w:rsidRPr="00A27C50">
              <w:t xml:space="preserve"> samråda med Nordiska rådet vid utformning och utvärdering av program, handlingsplaner och li</w:t>
            </w:r>
            <w:r w:rsidRPr="00A27C50">
              <w:t>k</w:t>
            </w:r>
            <w:r w:rsidRPr="00A27C50">
              <w:t>nande för samarbetet med de baltiska länderna</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18/2004</w:t>
            </w:r>
          </w:p>
        </w:tc>
        <w:tc>
          <w:tcPr>
            <w:tcW w:w="4536" w:type="dxa"/>
          </w:tcPr>
          <w:p w:rsidR="000D6448" w:rsidRPr="00A27C50" w:rsidRDefault="000D6448">
            <w:pPr>
              <w:jc w:val="left"/>
              <w:rPr>
                <w:b/>
              </w:rPr>
            </w:pPr>
            <w:r w:rsidRPr="00A27C50">
              <w:rPr>
                <w:b/>
              </w:rPr>
              <w:t>Nordisk Ministerråds samarbeid med Nordvest-Russland 2006–2008 (B 231/presidiet)</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Nordiska rådet rekommenderar Nordiska mini</w:t>
            </w:r>
            <w:r w:rsidRPr="00A27C50">
              <w:t>s</w:t>
            </w:r>
            <w:r w:rsidRPr="00A27C50">
              <w:t>terrådet</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15"/>
              </w:numPr>
            </w:pPr>
            <w:r w:rsidRPr="00A27C50">
              <w:rPr>
                <w:i/>
              </w:rPr>
              <w:t>att</w:t>
            </w:r>
            <w:r w:rsidRPr="00A27C50">
              <w:t xml:space="preserve"> anta riktlinjerna för Nordiska ministerrådets sam</w:t>
            </w:r>
            <w:r w:rsidRPr="00A27C50">
              <w:softHyphen/>
              <w:t>arbete med nordvästra Ryssland 2006–2008</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15"/>
              </w:numPr>
            </w:pPr>
            <w:r w:rsidRPr="00A27C50">
              <w:rPr>
                <w:i/>
              </w:rPr>
              <w:t>att</w:t>
            </w:r>
            <w:r w:rsidRPr="00A27C50">
              <w:t xml:space="preserve"> samråda med Nordiska rådet vid utformning och utvärdering av program, handlingsplaner och li</w:t>
            </w:r>
            <w:r w:rsidRPr="00A27C50">
              <w:t>k</w:t>
            </w:r>
            <w:r w:rsidRPr="00A27C50">
              <w:t>nande för samarbetet med nor</w:t>
            </w:r>
            <w:r w:rsidRPr="00A27C50">
              <w:t>d</w:t>
            </w:r>
            <w:r w:rsidRPr="00A27C50">
              <w:t>västra Ryssland</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rPr>
                <w:lang w:val="sv-SE"/>
              </w:rPr>
            </w:pPr>
          </w:p>
        </w:tc>
        <w:tc>
          <w:tcPr>
            <w:tcW w:w="4536" w:type="dxa"/>
          </w:tcPr>
          <w:p w:rsidR="000D6448" w:rsidRPr="00A27C50" w:rsidRDefault="000D6448">
            <w:pPr>
              <w:numPr>
                <w:ilvl w:val="0"/>
                <w:numId w:val="15"/>
              </w:numPr>
            </w:pPr>
            <w:r w:rsidRPr="00A27C50">
              <w:rPr>
                <w:i/>
              </w:rPr>
              <w:t>att</w:t>
            </w:r>
            <w:r w:rsidRPr="00A27C50">
              <w:t xml:space="preserve"> färdigställa årliga handlingsplaner för samarbetet med nordvästra Ryssland, med början år 2006</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1630"/>
        <w:gridCol w:w="4536"/>
      </w:tblGrid>
      <w:tr w:rsidR="000D6448" w:rsidRPr="00A27C50">
        <w:tblPrEx>
          <w:tblCellMar>
            <w:top w:w="0" w:type="dxa"/>
            <w:bottom w:w="0" w:type="dxa"/>
          </w:tblCellMar>
        </w:tblPrEx>
        <w:trPr>
          <w:cantSplit/>
        </w:trPr>
        <w:tc>
          <w:tcPr>
            <w:tcW w:w="1630" w:type="dxa"/>
          </w:tcPr>
          <w:p w:rsidR="000D6448" w:rsidRPr="00A27C50" w:rsidRDefault="000D6448">
            <w:pPr>
              <w:rPr>
                <w:b/>
              </w:rPr>
            </w:pPr>
            <w:r w:rsidRPr="00A27C50">
              <w:rPr>
                <w:b/>
              </w:rPr>
              <w:t>Rek. 19/2004</w:t>
            </w:r>
          </w:p>
        </w:tc>
        <w:tc>
          <w:tcPr>
            <w:tcW w:w="4536" w:type="dxa"/>
          </w:tcPr>
          <w:p w:rsidR="000D6448" w:rsidRPr="00A27C50" w:rsidRDefault="000D6448">
            <w:pPr>
              <w:jc w:val="left"/>
              <w:rPr>
                <w:b/>
              </w:rPr>
            </w:pPr>
            <w:r w:rsidRPr="00A27C50">
              <w:rPr>
                <w:b/>
              </w:rPr>
              <w:t xml:space="preserve">Samarbeid med urfolkene i Barentsregionen </w:t>
            </w:r>
          </w:p>
          <w:p w:rsidR="000D6448" w:rsidRPr="00A27C50" w:rsidRDefault="000D6448">
            <w:pPr>
              <w:spacing w:before="0"/>
              <w:jc w:val="left"/>
              <w:rPr>
                <w:b/>
              </w:rPr>
            </w:pPr>
            <w:r w:rsidRPr="00A27C50">
              <w:rPr>
                <w:b/>
              </w:rPr>
              <w:t>(A 1359/medborger)</w:t>
            </w:r>
          </w:p>
        </w:tc>
      </w:tr>
      <w:tr w:rsidR="000D6448" w:rsidRPr="00A27C50">
        <w:tblPrEx>
          <w:tblCellMar>
            <w:top w:w="0" w:type="dxa"/>
            <w:bottom w:w="0" w:type="dxa"/>
          </w:tblCellMar>
        </w:tblPrEx>
        <w:trPr>
          <w:cantSplit/>
        </w:trPr>
        <w:tc>
          <w:tcPr>
            <w:tcW w:w="1630" w:type="dxa"/>
          </w:tcPr>
          <w:p w:rsidR="000D6448" w:rsidRPr="00A27C50" w:rsidRDefault="000D6448"/>
        </w:tc>
        <w:tc>
          <w:tcPr>
            <w:tcW w:w="4536" w:type="dxa"/>
          </w:tcPr>
          <w:p w:rsidR="000D6448" w:rsidRPr="00A27C50" w:rsidRDefault="000D6448">
            <w:r w:rsidRPr="00A27C50">
              <w:t xml:space="preserve">Nordisk Råd rekommanderer Nordisk Ministerråd </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jc w:val="left"/>
              <w:rPr>
                <w:lang w:val="sv-SE"/>
              </w:rPr>
            </w:pPr>
          </w:p>
        </w:tc>
        <w:tc>
          <w:tcPr>
            <w:tcW w:w="4536" w:type="dxa"/>
          </w:tcPr>
          <w:p w:rsidR="000D6448" w:rsidRPr="00A27C50" w:rsidRDefault="000D6448">
            <w:pPr>
              <w:numPr>
                <w:ilvl w:val="0"/>
                <w:numId w:val="12"/>
              </w:numPr>
            </w:pPr>
            <w:r w:rsidRPr="00A27C50">
              <w:rPr>
                <w:i/>
              </w:rPr>
              <w:t>at</w:t>
            </w:r>
            <w:r w:rsidRPr="00A27C50">
              <w:t xml:space="preserve"> Ministerrådet i sitt arbeid med retningslinjer for samarbeid med Nordvest-Russland inkluderer tiltak til støtte for urbefolkningen i regionen</w:t>
            </w:r>
          </w:p>
        </w:tc>
      </w:tr>
      <w:tr w:rsidR="000D6448" w:rsidRPr="00A27C50">
        <w:tblPrEx>
          <w:tblCellMar>
            <w:top w:w="0" w:type="dxa"/>
            <w:bottom w:w="0" w:type="dxa"/>
          </w:tblCellMar>
        </w:tblPrEx>
        <w:trPr>
          <w:cantSplit/>
        </w:trPr>
        <w:tc>
          <w:tcPr>
            <w:tcW w:w="1630" w:type="dxa"/>
          </w:tcPr>
          <w:p w:rsidR="000D6448" w:rsidRPr="00A27C50" w:rsidRDefault="000D6448">
            <w:pPr>
              <w:pStyle w:val="TabelNormal"/>
              <w:jc w:val="left"/>
              <w:rPr>
                <w:lang w:val="sv-SE"/>
              </w:rPr>
            </w:pPr>
          </w:p>
        </w:tc>
        <w:tc>
          <w:tcPr>
            <w:tcW w:w="4536" w:type="dxa"/>
          </w:tcPr>
          <w:p w:rsidR="000D6448" w:rsidRPr="00A27C50" w:rsidRDefault="000D6448">
            <w:pPr>
              <w:numPr>
                <w:ilvl w:val="0"/>
                <w:numId w:val="12"/>
              </w:numPr>
            </w:pPr>
            <w:r w:rsidRPr="00A27C50">
              <w:rPr>
                <w:i/>
              </w:rPr>
              <w:t>at</w:t>
            </w:r>
            <w:r w:rsidRPr="00A27C50">
              <w:t xml:space="preserve"> Ministerrådet samarbeider med samiske organer for å identifisere grensehindringer for den samiske befolkningen i nordiske land og setter inn ressurser for å fjerne disse hindringer</w:t>
            </w:r>
          </w:p>
        </w:tc>
      </w:tr>
    </w:tbl>
    <w:p w:rsidR="000D6448" w:rsidRPr="00A27C50" w:rsidRDefault="000D6448"/>
    <w:p w:rsidR="000D6448" w:rsidRPr="00A27C50" w:rsidRDefault="000D6448">
      <w:pPr>
        <w:pStyle w:val="R3"/>
        <w:spacing w:before="0"/>
      </w:pPr>
      <w:r w:rsidRPr="00A27C50">
        <w:br w:type="page"/>
        <w:t>Interne vedtak</w:t>
      </w:r>
    </w:p>
    <w:tbl>
      <w:tblPr>
        <w:tblW w:w="0" w:type="auto"/>
        <w:tblInd w:w="70" w:type="dxa"/>
        <w:tblLayout w:type="fixed"/>
        <w:tblCellMar>
          <w:left w:w="70" w:type="dxa"/>
          <w:right w:w="70" w:type="dxa"/>
        </w:tblCellMar>
        <w:tblLook w:val="0000" w:firstRow="0" w:lastRow="0" w:firstColumn="0" w:lastColumn="0" w:noHBand="0" w:noVBand="0"/>
      </w:tblPr>
      <w:tblGrid>
        <w:gridCol w:w="1560"/>
        <w:gridCol w:w="4536"/>
      </w:tblGrid>
      <w:tr w:rsidR="000D6448" w:rsidRPr="00A27C50">
        <w:tblPrEx>
          <w:tblCellMar>
            <w:top w:w="0" w:type="dxa"/>
            <w:bottom w:w="0" w:type="dxa"/>
          </w:tblCellMar>
        </w:tblPrEx>
        <w:trPr>
          <w:cantSplit/>
        </w:trPr>
        <w:tc>
          <w:tcPr>
            <w:tcW w:w="1560" w:type="dxa"/>
          </w:tcPr>
          <w:p w:rsidR="000D6448" w:rsidRPr="00A27C50" w:rsidRDefault="000D6448">
            <w:pPr>
              <w:jc w:val="left"/>
              <w:rPr>
                <w:b/>
              </w:rPr>
            </w:pPr>
            <w:r w:rsidRPr="00A27C50">
              <w:rPr>
                <w:b/>
              </w:rPr>
              <w:t>Internt vedtak 1/2004</w:t>
            </w:r>
          </w:p>
        </w:tc>
        <w:tc>
          <w:tcPr>
            <w:tcW w:w="4536" w:type="dxa"/>
          </w:tcPr>
          <w:p w:rsidR="000D6448" w:rsidRPr="00A27C50" w:rsidRDefault="000D6448">
            <w:pPr>
              <w:jc w:val="left"/>
              <w:rPr>
                <w:b/>
              </w:rPr>
            </w:pPr>
            <w:r w:rsidRPr="00A27C50">
              <w:rPr>
                <w:b/>
              </w:rPr>
              <w:t xml:space="preserve">Ligestillingsprincipper i Nordisk Råd </w:t>
            </w:r>
            <w:r w:rsidRPr="00A27C50">
              <w:rPr>
                <w:b/>
              </w:rPr>
              <w:br/>
              <w:t>(A 1354/medborgar)</w:t>
            </w:r>
          </w:p>
        </w:tc>
      </w:tr>
      <w:tr w:rsidR="000D6448" w:rsidRPr="00A27C50">
        <w:tblPrEx>
          <w:tblCellMar>
            <w:top w:w="0" w:type="dxa"/>
            <w:bottom w:w="0" w:type="dxa"/>
          </w:tblCellMar>
        </w:tblPrEx>
        <w:trPr>
          <w:cantSplit/>
        </w:trPr>
        <w:tc>
          <w:tcPr>
            <w:tcW w:w="1560" w:type="dxa"/>
          </w:tcPr>
          <w:p w:rsidR="000D6448" w:rsidRPr="00A27C50" w:rsidRDefault="000D6448"/>
        </w:tc>
        <w:tc>
          <w:tcPr>
            <w:tcW w:w="4536" w:type="dxa"/>
          </w:tcPr>
          <w:p w:rsidR="000D6448" w:rsidRPr="00A27C50" w:rsidRDefault="000D6448">
            <w:r w:rsidRPr="00A27C50">
              <w:t>Nordisk Råd beslutter</w:t>
            </w:r>
          </w:p>
        </w:tc>
      </w:tr>
      <w:tr w:rsidR="000D6448" w:rsidRPr="00A27C50">
        <w:tblPrEx>
          <w:tblCellMar>
            <w:top w:w="0" w:type="dxa"/>
            <w:bottom w:w="0" w:type="dxa"/>
          </w:tblCellMar>
        </w:tblPrEx>
        <w:trPr>
          <w:cantSplit/>
        </w:trPr>
        <w:tc>
          <w:tcPr>
            <w:tcW w:w="1560" w:type="dxa"/>
          </w:tcPr>
          <w:p w:rsidR="000D6448" w:rsidRPr="00A27C50" w:rsidRDefault="000D6448">
            <w:pPr>
              <w:pStyle w:val="TabelNormal"/>
              <w:rPr>
                <w:lang w:val="sv-SE"/>
              </w:rPr>
            </w:pPr>
          </w:p>
        </w:tc>
        <w:tc>
          <w:tcPr>
            <w:tcW w:w="4536" w:type="dxa"/>
          </w:tcPr>
          <w:p w:rsidR="000D6448" w:rsidRPr="00A27C50" w:rsidRDefault="000D6448">
            <w:r w:rsidRPr="00A27C50">
              <w:rPr>
                <w:i/>
              </w:rPr>
              <w:t>at</w:t>
            </w:r>
            <w:r w:rsidRPr="00A27C50">
              <w:t xml:space="preserve"> indføre integrering af ligestillingsaspektet i Nordisk Råds arbejde og at give Rådsdirektøren til opgave at ud</w:t>
            </w:r>
            <w:r w:rsidRPr="00A27C50">
              <w:softHyphen/>
              <w:t>pege en arbejdsgruppe af embedsmænd som ud</w:t>
            </w:r>
            <w:r w:rsidRPr="00A27C50">
              <w:softHyphen/>
              <w:t>arbejder retningslinier for dette arbejde. Retningslinierne godke</w:t>
            </w:r>
            <w:r w:rsidRPr="00A27C50">
              <w:t>n</w:t>
            </w:r>
            <w:r w:rsidRPr="00A27C50">
              <w:t>des af Præsidiet.</w:t>
            </w:r>
          </w:p>
        </w:tc>
      </w:tr>
    </w:tbl>
    <w:p w:rsidR="000D6448" w:rsidRPr="00A27C50" w:rsidRDefault="000D6448">
      <w:pPr>
        <w:pStyle w:val="R3"/>
      </w:pPr>
      <w:r w:rsidRPr="00A27C50">
        <w:t>Vedtak om ikke å foreta seg noe</w:t>
      </w:r>
    </w:p>
    <w:tbl>
      <w:tblPr>
        <w:tblW w:w="0" w:type="auto"/>
        <w:tblInd w:w="70" w:type="dxa"/>
        <w:tblLayout w:type="fixed"/>
        <w:tblCellMar>
          <w:left w:w="70" w:type="dxa"/>
          <w:right w:w="70" w:type="dxa"/>
        </w:tblCellMar>
        <w:tblLook w:val="0000" w:firstRow="0" w:lastRow="0" w:firstColumn="0" w:lastColumn="0" w:noHBand="0" w:noVBand="0"/>
      </w:tblPr>
      <w:tblGrid>
        <w:gridCol w:w="540"/>
        <w:gridCol w:w="5556"/>
      </w:tblGrid>
      <w:tr w:rsidR="000D6448" w:rsidRPr="00A27C50">
        <w:tblPrEx>
          <w:tblCellMar>
            <w:top w:w="0" w:type="dxa"/>
            <w:bottom w:w="0" w:type="dxa"/>
          </w:tblCellMar>
        </w:tblPrEx>
        <w:tc>
          <w:tcPr>
            <w:tcW w:w="540" w:type="dxa"/>
          </w:tcPr>
          <w:p w:rsidR="000D6448" w:rsidRPr="00A27C50" w:rsidRDefault="000D6448">
            <w:pPr>
              <w:rPr>
                <w:b/>
              </w:rPr>
            </w:pPr>
            <w:r w:rsidRPr="00A27C50">
              <w:rPr>
                <w:b/>
              </w:rPr>
              <w:t>1</w:t>
            </w:r>
          </w:p>
        </w:tc>
        <w:tc>
          <w:tcPr>
            <w:tcW w:w="5556" w:type="dxa"/>
          </w:tcPr>
          <w:p w:rsidR="000D6448" w:rsidRPr="00A27C50" w:rsidRDefault="000D6448">
            <w:pPr>
              <w:rPr>
                <w:b/>
              </w:rPr>
            </w:pPr>
            <w:r w:rsidRPr="00A27C50">
              <w:rPr>
                <w:b/>
              </w:rPr>
              <w:t>Medlemsforslag om nordiske institutioner og nordisk brobyggning (A 1345/presidiet)</w:t>
            </w:r>
            <w:r w:rsidRPr="00A27C50">
              <w:rPr>
                <w:rStyle w:val="Fotnotsreferens"/>
                <w:b/>
                <w:sz w:val="22"/>
              </w:rPr>
              <w:footnoteReference w:id="9"/>
            </w:r>
          </w:p>
        </w:tc>
      </w:tr>
      <w:tr w:rsidR="000D6448" w:rsidRPr="00A27C50">
        <w:tblPrEx>
          <w:tblCellMar>
            <w:top w:w="0" w:type="dxa"/>
            <w:bottom w:w="0" w:type="dxa"/>
          </w:tblCellMar>
        </w:tblPrEx>
        <w:tc>
          <w:tcPr>
            <w:tcW w:w="540" w:type="dxa"/>
          </w:tcPr>
          <w:p w:rsidR="000D6448" w:rsidRPr="00A27C50" w:rsidRDefault="000D6448">
            <w:pPr>
              <w:rPr>
                <w:b/>
              </w:rPr>
            </w:pPr>
            <w:r w:rsidRPr="00A27C50">
              <w:rPr>
                <w:b/>
              </w:rPr>
              <w:t>2</w:t>
            </w:r>
          </w:p>
        </w:tc>
        <w:tc>
          <w:tcPr>
            <w:tcW w:w="5556" w:type="dxa"/>
          </w:tcPr>
          <w:p w:rsidR="000D6448" w:rsidRPr="00A27C50" w:rsidRDefault="000D6448">
            <w:pPr>
              <w:rPr>
                <w:b/>
              </w:rPr>
            </w:pPr>
            <w:r w:rsidRPr="00A27C50">
              <w:rPr>
                <w:b/>
              </w:rPr>
              <w:t>Medlemsforslag om børns retstilling og ret til begge forældre (A 1208/medborger)</w:t>
            </w:r>
            <w:r w:rsidRPr="00A27C50">
              <w:rPr>
                <w:rStyle w:val="Fotnotsreferens"/>
                <w:b/>
              </w:rPr>
              <w:footnoteReference w:id="10"/>
            </w:r>
          </w:p>
        </w:tc>
      </w:tr>
      <w:tr w:rsidR="000D6448" w:rsidRPr="00A27C50">
        <w:tblPrEx>
          <w:tblCellMar>
            <w:top w:w="0" w:type="dxa"/>
            <w:bottom w:w="0" w:type="dxa"/>
          </w:tblCellMar>
        </w:tblPrEx>
        <w:tc>
          <w:tcPr>
            <w:tcW w:w="540" w:type="dxa"/>
          </w:tcPr>
          <w:p w:rsidR="000D6448" w:rsidRPr="00A27C50" w:rsidRDefault="000D6448">
            <w:pPr>
              <w:rPr>
                <w:b/>
              </w:rPr>
            </w:pPr>
            <w:r w:rsidRPr="00A27C50">
              <w:rPr>
                <w:b/>
              </w:rPr>
              <w:t>3</w:t>
            </w:r>
          </w:p>
        </w:tc>
        <w:tc>
          <w:tcPr>
            <w:tcW w:w="5556" w:type="dxa"/>
          </w:tcPr>
          <w:p w:rsidR="000D6448" w:rsidRPr="00A27C50" w:rsidRDefault="000D6448">
            <w:pPr>
              <w:rPr>
                <w:b/>
              </w:rPr>
            </w:pPr>
            <w:r w:rsidRPr="00A27C50">
              <w:rPr>
                <w:b/>
              </w:rPr>
              <w:t>Medlemsförslag om att inbjuda de baltiska staterna till att delta i Nordiska nämnden för alkohol- och drogforskning (NAD) (A 1348/välfärd)</w:t>
            </w:r>
          </w:p>
        </w:tc>
      </w:tr>
    </w:tbl>
    <w:p w:rsidR="000D6448" w:rsidRPr="00A27C50" w:rsidRDefault="000D6448">
      <w:pPr>
        <w:pStyle w:val="Normaltindrag"/>
      </w:pPr>
    </w:p>
    <w:p w:rsidR="000D6448" w:rsidRPr="00A27C50" w:rsidRDefault="000D6448">
      <w:pPr>
        <w:pStyle w:val="Normaltindrag"/>
      </w:pPr>
      <w:r w:rsidRPr="00A27C50">
        <w:br w:type="page"/>
      </w:r>
      <w:r w:rsidRPr="00A27C50">
        <w:rPr>
          <w:b/>
          <w:sz w:val="22"/>
        </w:rPr>
        <w:t>Liste over saker i kronologisk nummerrekkefølge</w:t>
      </w:r>
    </w:p>
    <w:tbl>
      <w:tblPr>
        <w:tblW w:w="0" w:type="auto"/>
        <w:tblInd w:w="354" w:type="dxa"/>
        <w:tblLayout w:type="fixed"/>
        <w:tblCellMar>
          <w:left w:w="70" w:type="dxa"/>
          <w:right w:w="70" w:type="dxa"/>
        </w:tblCellMar>
        <w:tblLook w:val="0000" w:firstRow="0" w:lastRow="0" w:firstColumn="0" w:lastColumn="0" w:noHBand="0" w:noVBand="0"/>
      </w:tblPr>
      <w:tblGrid>
        <w:gridCol w:w="1701"/>
        <w:gridCol w:w="2835"/>
        <w:gridCol w:w="1347"/>
      </w:tblGrid>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1208/medborgar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Medlemsforslag om børns retsstilling og ret til begge forældre</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Ingen åtgärd</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1320/näring</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Medlemsförslag om inrättande av ett nordiskt skatt</w:t>
            </w:r>
            <w:r w:rsidRPr="00A27C50">
              <w:t>e</w:t>
            </w:r>
            <w:r w:rsidRPr="00A27C50">
              <w:t>kontor</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1</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1338/kultur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Medlemsförslag om folkbil</w:t>
            </w:r>
            <w:r w:rsidRPr="00A27C50">
              <w:t>d</w:t>
            </w:r>
            <w:r w:rsidRPr="00A27C50">
              <w:t xml:space="preserve">ning </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14</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1339/miljö</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Medlemsförslag om bildandet av ett gemensamt nordiskt stamnätb</w:t>
            </w:r>
            <w:r w:rsidRPr="00A27C50">
              <w:t>o</w:t>
            </w:r>
            <w:r w:rsidRPr="00A27C50">
              <w:t>lag</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4</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1341/næring</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Udvalgsforslag om Open Source Software</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2 og 3</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1342/miljø</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 xml:space="preserve">Medlemsforslag om Fremtidskonference for kystfiskeriet i Norden </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10</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1345/presidiet</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Medlemsforslag om nordiske institutioner og nordisk brobyg</w:t>
            </w:r>
            <w:r w:rsidRPr="00A27C50">
              <w:t>g</w:t>
            </w:r>
            <w:r w:rsidRPr="00A27C50">
              <w:t>ning</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Ingen åtgärd</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A 1346/miljø</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Medlemsforslag om å styrke øk</w:t>
            </w:r>
            <w:r w:rsidRPr="00A27C50">
              <w:t>o</w:t>
            </w:r>
            <w:r w:rsidRPr="00A27C50">
              <w:t xml:space="preserve">logisering av landbruket i Norden </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11</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 xml:space="preserve">A 1347/kultur </w:t>
            </w:r>
            <w:r w:rsidRPr="00A27C50">
              <w:br/>
              <w:t>og</w:t>
            </w:r>
          </w:p>
          <w:p w:rsidR="000D6448" w:rsidRPr="00A27C50" w:rsidRDefault="000D6448">
            <w:pPr>
              <w:jc w:val="left"/>
            </w:pPr>
            <w:r w:rsidRPr="00A27C50">
              <w:t>A 1351/kultur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Medlemsforslag om fælles nordisk-baltisk executive design MBA-uddannelse</w:t>
            </w:r>
            <w:r w:rsidRPr="00A27C50">
              <w:br/>
              <w:t>Medlemsforslag om øget samarbejde mellem kultur- og erhvervsliv</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13</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A 1348/välfärd</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Medlemsförslag om att inbjuda de baltiska staterna till att delta i Nordiska nämnden för alkohol- och drogforskning (NAD)</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Ingen åtgärd</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A 1353/kk</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Kommittéförslag om rapporten ”Nordisk grenseregionalt samarb</w:t>
            </w:r>
            <w:r w:rsidRPr="00A27C50">
              <w:t>e</w:t>
            </w:r>
            <w:r w:rsidRPr="00A27C50">
              <w:t>id”</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9</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A 1354/medborger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Udvalgsforslag om ligestillingsprincipper i Nordisk Råd</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Internt vedtak 1</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A 1357/næring</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Medlemsforslag om en nordisk skattekonference</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8/2004</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A 1359/medborger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Udvalgsforslag om urfolk i den Nordlige Dimension</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19</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220/næring</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Ministerrådsforslag om program for Nordisk Ministerråds samarbejde på arbejdsmarkeds- og arbejdsmiljøområdet 2005–2008</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5</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221/kultur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Ministerrådsforslag om Norden som foregangsregion for utvikling av menneskelige ressurser – strat</w:t>
            </w:r>
            <w:r w:rsidRPr="00A27C50">
              <w:t>e</w:t>
            </w:r>
            <w:r w:rsidRPr="00A27C50">
              <w:t>gi for nordisk utdannings- og forskningssamarbeid 2005–2007</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6</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226/medborgar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Ministerrådsförslag om ett sama</w:t>
            </w:r>
            <w:r w:rsidRPr="00A27C50">
              <w:t>r</w:t>
            </w:r>
            <w:r w:rsidRPr="00A27C50">
              <w:t>betsprogram på konsumentområdet 2005–2010</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Fremst. 7</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227/näring</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Ministerrådsförslag om ett nordiskt innovationspolitiskt samarbetspr</w:t>
            </w:r>
            <w:r w:rsidRPr="00A27C50">
              <w:t>o</w:t>
            </w:r>
            <w:r w:rsidRPr="00A27C50">
              <w:t>gram 2005–2010</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12</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228/presidiet</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Ministerrådsforslag om Nordisk Ministerråds budget 2005</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16</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229/kultur</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Ministerrådsforslag om etablering av Nordisk Råds filmpris</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15</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230/presidiet</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pPr>
              <w:jc w:val="left"/>
            </w:pPr>
            <w:r w:rsidRPr="00A27C50">
              <w:t>Ministerrådsforslag om retning</w:t>
            </w:r>
            <w:r w:rsidRPr="00A27C50">
              <w:t>s</w:t>
            </w:r>
            <w:r w:rsidRPr="00A27C50">
              <w:t>linjer for Nordisk Ministerråds samarbeid med Estland, Latvia og Litauen 2006–2008</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17</w:t>
            </w:r>
          </w:p>
        </w:tc>
      </w:tr>
      <w:tr w:rsidR="000D6448" w:rsidRPr="00A27C50">
        <w:tblPrEx>
          <w:tblCellMar>
            <w:top w:w="0" w:type="dxa"/>
            <w:bottom w:w="0"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B 231/presidiet</w:t>
            </w:r>
          </w:p>
        </w:tc>
        <w:tc>
          <w:tcPr>
            <w:tcW w:w="2835"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Ministerrådsforslag om retnings</w:t>
            </w:r>
            <w:r w:rsidRPr="00A27C50">
              <w:softHyphen/>
              <w:t>linjer for Nordisk Ministerråds samarbeid med Nordvest-Russland 2006–2008</w:t>
            </w:r>
          </w:p>
        </w:tc>
        <w:tc>
          <w:tcPr>
            <w:tcW w:w="1347" w:type="dxa"/>
            <w:tcBorders>
              <w:top w:val="single" w:sz="4" w:space="0" w:color="auto"/>
              <w:left w:val="single" w:sz="4" w:space="0" w:color="auto"/>
              <w:bottom w:val="single" w:sz="4" w:space="0" w:color="auto"/>
              <w:right w:val="single" w:sz="4" w:space="0" w:color="auto"/>
            </w:tcBorders>
          </w:tcPr>
          <w:p w:rsidR="000D6448" w:rsidRPr="00A27C50" w:rsidRDefault="000D6448">
            <w:r w:rsidRPr="00A27C50">
              <w:t>Rek. 18</w:t>
            </w:r>
          </w:p>
        </w:tc>
      </w:tr>
    </w:tbl>
    <w:p w:rsidR="000D6448" w:rsidRPr="00A27C50" w:rsidRDefault="000D6448"/>
    <w:p w:rsidR="000D6448" w:rsidRPr="00A27C50" w:rsidRDefault="000D6448">
      <w:pPr>
        <w:pStyle w:val="Normaltindrag"/>
        <w:sectPr w:rsidR="000D6448" w:rsidRPr="00A27C50">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pPr>
    </w:p>
    <w:p w:rsidR="000D6448" w:rsidRPr="00A27C50" w:rsidRDefault="000D6448">
      <w:pPr>
        <w:pStyle w:val="Bilaga"/>
      </w:pPr>
      <w:r w:rsidRPr="00A27C50">
        <w:t>Bilaga 4</w:t>
      </w:r>
    </w:p>
    <w:p w:rsidR="000D6448" w:rsidRPr="00A27C50" w:rsidRDefault="000D6448">
      <w:pPr>
        <w:pStyle w:val="Rubrik1"/>
        <w:rPr>
          <w:noProof w:val="0"/>
        </w:rPr>
      </w:pPr>
    </w:p>
    <w:p w:rsidR="000D6448" w:rsidRPr="00A27C50" w:rsidRDefault="000D6448">
      <w:pPr>
        <w:pStyle w:val="Rubrik1"/>
        <w:rPr>
          <w:noProof w:val="0"/>
        </w:rPr>
      </w:pPr>
    </w:p>
    <w:p w:rsidR="000D6448" w:rsidRPr="00A27C50" w:rsidRDefault="000D6448">
      <w:pPr>
        <w:pStyle w:val="R1"/>
        <w:jc w:val="center"/>
      </w:pPr>
      <w:r w:rsidRPr="00A27C50">
        <w:t>Resolution antagen vid den13:e parlamentariska Östersjökonferensen i Bergen den 30–31 augusti 2004</w:t>
      </w:r>
    </w:p>
    <w:p w:rsidR="000D6448" w:rsidRPr="00A27C50" w:rsidRDefault="000D6448">
      <w:pPr>
        <w:autoSpaceDE w:val="0"/>
        <w:autoSpaceDN w:val="0"/>
        <w:adjustRightInd w:val="0"/>
        <w:jc w:val="center"/>
        <w:rPr>
          <w:rFonts w:ascii="TimesNewRoman" w:hAnsi="TimesNewRoman"/>
          <w:b/>
          <w:sz w:val="36"/>
        </w:rPr>
      </w:pPr>
    </w:p>
    <w:p w:rsidR="000D6448" w:rsidRPr="00A27C50" w:rsidRDefault="000D6448">
      <w:pPr>
        <w:autoSpaceDE w:val="0"/>
        <w:autoSpaceDN w:val="0"/>
        <w:adjustRightInd w:val="0"/>
        <w:jc w:val="center"/>
        <w:rPr>
          <w:rFonts w:ascii="TimesNewRoman" w:hAnsi="TimesNewRoman"/>
        </w:rPr>
      </w:pPr>
    </w:p>
    <w:p w:rsidR="000D6448" w:rsidRPr="00A27C50" w:rsidRDefault="000D6448">
      <w:r w:rsidRPr="00A27C50">
        <w:br w:type="page"/>
        <w:t>Deltagarna i konferensen</w:t>
      </w:r>
      <w:r w:rsidRPr="00A27C50">
        <w:rPr>
          <w:rStyle w:val="Fotnotsreferens"/>
        </w:rPr>
        <w:footnoteReference w:customMarkFollows="1" w:id="11"/>
        <w:sym w:font="Symbol" w:char="F02A"/>
      </w:r>
      <w:r w:rsidRPr="00A27C50">
        <w:t>, valda företrädare från Östersjöländerna, som sa</w:t>
      </w:r>
      <w:r w:rsidRPr="00A27C50">
        <w:t>m</w:t>
      </w:r>
      <w:r w:rsidRPr="00A27C50">
        <w:t>lades i Bergen, Norge, den 30–31 augusti 2004 för att diskutera hållbar u</w:t>
      </w:r>
      <w:r w:rsidRPr="00A27C50">
        <w:t>t</w:t>
      </w:r>
      <w:r w:rsidRPr="00A27C50">
        <w:t>veckling, skydd av den marina miljön och gemensamma problem- och a</w:t>
      </w:r>
      <w:r w:rsidRPr="00A27C50">
        <w:t>n</w:t>
      </w:r>
      <w:r w:rsidRPr="00A27C50">
        <w:t>svarsområden i Östersjöregionen och framtiden för parlamentariker</w:t>
      </w:r>
      <w:r w:rsidRPr="00A27C50">
        <w:softHyphen/>
        <w:t xml:space="preserve">samarbetet i norra Europa, </w:t>
      </w:r>
    </w:p>
    <w:p w:rsidR="000D6448" w:rsidRPr="00A27C50" w:rsidRDefault="000D6448">
      <w:pPr>
        <w:spacing w:before="187"/>
        <w:rPr>
          <w:b/>
        </w:rPr>
      </w:pPr>
      <w:r w:rsidRPr="00A27C50">
        <w:rPr>
          <w:b/>
        </w:rPr>
        <w:t xml:space="preserve">är övertygade om </w:t>
      </w:r>
    </w:p>
    <w:p w:rsidR="000D6448" w:rsidRPr="00A27C50" w:rsidRDefault="000D6448">
      <w:pPr>
        <w:pStyle w:val="PunktlistaStreck"/>
        <w:tabs>
          <w:tab w:val="clear" w:pos="360"/>
        </w:tabs>
      </w:pPr>
      <w:r w:rsidRPr="00A27C50">
        <w:t>att ett gemensamt parlamentariskt fokus på Östersjöfrågor är oundgängligt för att identifiera praktiska områden där åtgärder kan vidtas av Östersjör</w:t>
      </w:r>
      <w:r w:rsidRPr="00A27C50">
        <w:t>å</w:t>
      </w:r>
      <w:r w:rsidRPr="00A27C50">
        <w:t>det, Helcom, andra regionala organisationer och nationella regeringar och att detta inte bara kommer att gynna enskilda länder utan även det intern</w:t>
      </w:r>
      <w:r w:rsidRPr="00A27C50">
        <w:t>a</w:t>
      </w:r>
      <w:r w:rsidRPr="00A27C50">
        <w:t>tionella samarbetet och hela regionen,</w:t>
      </w:r>
    </w:p>
    <w:p w:rsidR="000D6448" w:rsidRPr="00A27C50" w:rsidRDefault="000D6448">
      <w:pPr>
        <w:spacing w:before="187"/>
        <w:rPr>
          <w:b/>
        </w:rPr>
      </w:pPr>
      <w:r w:rsidRPr="00A27C50">
        <w:rPr>
          <w:b/>
        </w:rPr>
        <w:t xml:space="preserve">noterar </w:t>
      </w:r>
    </w:p>
    <w:p w:rsidR="000D6448" w:rsidRPr="00A27C50" w:rsidRDefault="000D6448">
      <w:pPr>
        <w:pStyle w:val="PunktlistaStreck"/>
        <w:numPr>
          <w:ilvl w:val="0"/>
          <w:numId w:val="10"/>
        </w:numPr>
        <w:tabs>
          <w:tab w:val="clear" w:pos="360"/>
        </w:tabs>
      </w:pPr>
      <w:r w:rsidRPr="00A27C50">
        <w:t>den successiva utvecklingen för att stärka den parlamentariska dimensi</w:t>
      </w:r>
      <w:r w:rsidRPr="00A27C50">
        <w:t>o</w:t>
      </w:r>
      <w:r w:rsidRPr="00A27C50">
        <w:t>nen i Östersjöregionen och för att få ställning som parlamentarisk sama</w:t>
      </w:r>
      <w:r w:rsidRPr="00A27C50">
        <w:t>r</w:t>
      </w:r>
      <w:r w:rsidRPr="00A27C50">
        <w:t>betspartner i Ö</w:t>
      </w:r>
      <w:r w:rsidRPr="00A27C50">
        <w:t>s</w:t>
      </w:r>
      <w:r w:rsidRPr="00A27C50">
        <w:t>tersjörådet,</w:t>
      </w:r>
    </w:p>
    <w:p w:rsidR="000D6448" w:rsidRPr="00A27C50" w:rsidRDefault="000D6448">
      <w:pPr>
        <w:pStyle w:val="PunktlistaStreck"/>
        <w:numPr>
          <w:ilvl w:val="0"/>
          <w:numId w:val="10"/>
        </w:numPr>
        <w:tabs>
          <w:tab w:val="clear" w:pos="360"/>
        </w:tabs>
      </w:pPr>
      <w:r w:rsidRPr="00A27C50">
        <w:t>den nordliga dimensionen och den europeiska grannskapspolicyn för att främja vidare</w:t>
      </w:r>
      <w:r w:rsidRPr="00A27C50">
        <w:softHyphen/>
        <w:t>utveckling av regionalt och subregionalt sa</w:t>
      </w:r>
      <w:r w:rsidRPr="00A27C50">
        <w:t>m</w:t>
      </w:r>
      <w:r w:rsidRPr="00A27C50">
        <w:t xml:space="preserve">arbete, </w:t>
      </w:r>
    </w:p>
    <w:p w:rsidR="000D6448" w:rsidRPr="00A27C50" w:rsidRDefault="000D6448">
      <w:pPr>
        <w:spacing w:before="187"/>
        <w:rPr>
          <w:b/>
        </w:rPr>
      </w:pPr>
      <w:r w:rsidRPr="00A27C50">
        <w:rPr>
          <w:b/>
        </w:rPr>
        <w:t xml:space="preserve">beaktar </w:t>
      </w:r>
    </w:p>
    <w:p w:rsidR="000D6448" w:rsidRPr="00A27C50" w:rsidRDefault="000D6448">
      <w:pPr>
        <w:pStyle w:val="PunktlistaStreck"/>
        <w:numPr>
          <w:ilvl w:val="0"/>
          <w:numId w:val="10"/>
        </w:numPr>
        <w:tabs>
          <w:tab w:val="clear" w:pos="360"/>
        </w:tabs>
        <w:rPr>
          <w:rFonts w:ascii="TimesNewRoman" w:hAnsi="TimesNewRoman"/>
        </w:rPr>
      </w:pPr>
      <w:r w:rsidRPr="00A27C50">
        <w:rPr>
          <w:rFonts w:ascii="TimesNewRoman" w:hAnsi="TimesNewRoman"/>
        </w:rPr>
        <w:t xml:space="preserve">att samarbetet mellan regeringar och parlamentariker erkänner och drar nytta </w:t>
      </w:r>
      <w:r w:rsidRPr="00A27C50">
        <w:t>av</w:t>
      </w:r>
      <w:r w:rsidRPr="00A27C50">
        <w:rPr>
          <w:rFonts w:ascii="TimesNewRoman" w:hAnsi="TimesNewRoman"/>
        </w:rPr>
        <w:t xml:space="preserve"> de icke-statliga organisationernas erfarenheter för att tillse att b</w:t>
      </w:r>
      <w:r w:rsidRPr="00A27C50">
        <w:rPr>
          <w:rFonts w:ascii="TimesNewRoman" w:hAnsi="TimesNewRoman"/>
        </w:rPr>
        <w:t>e</w:t>
      </w:r>
      <w:r w:rsidRPr="00A27C50">
        <w:rPr>
          <w:rFonts w:ascii="TimesNewRoman" w:hAnsi="TimesNewRoman"/>
        </w:rPr>
        <w:t>folkningarna deltar på gräsrotsnivå i det politiska, samhälleliga och ek</w:t>
      </w:r>
      <w:r w:rsidRPr="00A27C50">
        <w:rPr>
          <w:rFonts w:ascii="TimesNewRoman" w:hAnsi="TimesNewRoman"/>
        </w:rPr>
        <w:t>o</w:t>
      </w:r>
      <w:r w:rsidRPr="00A27C50">
        <w:rPr>
          <w:rFonts w:ascii="TimesNewRoman" w:hAnsi="TimesNewRoman"/>
        </w:rPr>
        <w:t xml:space="preserve">nomiska livet, </w:t>
      </w:r>
    </w:p>
    <w:p w:rsidR="000D6448" w:rsidRPr="00A27C50" w:rsidRDefault="000D6448">
      <w:pPr>
        <w:spacing w:before="187"/>
        <w:rPr>
          <w:b/>
        </w:rPr>
      </w:pPr>
      <w:r w:rsidRPr="00A27C50">
        <w:rPr>
          <w:b/>
        </w:rPr>
        <w:t xml:space="preserve">uppmanar regeringar i Östersjöregionen och Östersjörådet </w:t>
      </w:r>
    </w:p>
    <w:p w:rsidR="000D6448" w:rsidRPr="00A27C50" w:rsidRDefault="000D6448">
      <w:pPr>
        <w:pStyle w:val="PunktlistaStreck"/>
        <w:numPr>
          <w:ilvl w:val="0"/>
          <w:numId w:val="10"/>
        </w:numPr>
        <w:tabs>
          <w:tab w:val="clear" w:pos="360"/>
        </w:tabs>
        <w:rPr>
          <w:rFonts w:ascii="TimesNewRoman" w:hAnsi="TimesNewRoman"/>
        </w:rPr>
      </w:pPr>
      <w:r w:rsidRPr="00A27C50">
        <w:rPr>
          <w:rFonts w:ascii="TimesNewRoman" w:hAnsi="TimesNewRoman"/>
        </w:rPr>
        <w:t xml:space="preserve">att stödja partnerskapet för folkhälsa och social välfärd och därigenom förbättra </w:t>
      </w:r>
      <w:r w:rsidRPr="00A27C50">
        <w:t>sam</w:t>
      </w:r>
      <w:r w:rsidRPr="00A27C50">
        <w:softHyphen/>
        <w:t>arbe</w:t>
      </w:r>
      <w:r w:rsidRPr="00A27C50">
        <w:softHyphen/>
        <w:t>tet</w:t>
      </w:r>
      <w:r w:rsidRPr="00A27C50">
        <w:rPr>
          <w:rFonts w:ascii="TimesNewRoman" w:hAnsi="TimesNewRoman"/>
        </w:rPr>
        <w:t xml:space="preserve"> och samordningen för att förebygga större folkhäls</w:t>
      </w:r>
      <w:r w:rsidRPr="00A27C50">
        <w:rPr>
          <w:rFonts w:ascii="TimesNewRoman" w:hAnsi="TimesNewRoman"/>
        </w:rPr>
        <w:t>o</w:t>
      </w:r>
      <w:r w:rsidRPr="00A27C50">
        <w:rPr>
          <w:rFonts w:ascii="TimesNewRoman" w:hAnsi="TimesNewRoman"/>
        </w:rPr>
        <w:t xml:space="preserve">problem, </w:t>
      </w:r>
    </w:p>
    <w:p w:rsidR="000D6448" w:rsidRPr="00A27C50" w:rsidRDefault="000D6448">
      <w:pPr>
        <w:pStyle w:val="PunktlistaStreck"/>
        <w:numPr>
          <w:ilvl w:val="0"/>
          <w:numId w:val="10"/>
        </w:numPr>
        <w:tabs>
          <w:tab w:val="clear" w:pos="360"/>
        </w:tabs>
        <w:rPr>
          <w:rFonts w:ascii="TimesNewRoman" w:hAnsi="TimesNewRoman"/>
        </w:rPr>
      </w:pPr>
      <w:r w:rsidRPr="00A27C50">
        <w:rPr>
          <w:rFonts w:ascii="TimesNewRoman" w:hAnsi="TimesNewRoman"/>
        </w:rPr>
        <w:t xml:space="preserve">att stödja upprättandet av ett partnerskap för utbildning om miljöeffekter på </w:t>
      </w:r>
      <w:r w:rsidRPr="00A27C50">
        <w:t>folkhälsan</w:t>
      </w:r>
      <w:r w:rsidRPr="00A27C50">
        <w:rPr>
          <w:rFonts w:ascii="TimesNewRoman" w:hAnsi="TimesNewRoman"/>
        </w:rPr>
        <w:t>,</w:t>
      </w:r>
    </w:p>
    <w:p w:rsidR="000D6448" w:rsidRPr="00A27C50" w:rsidRDefault="000D6448">
      <w:pPr>
        <w:pStyle w:val="PunktlistaStreck"/>
        <w:numPr>
          <w:ilvl w:val="0"/>
          <w:numId w:val="10"/>
        </w:numPr>
        <w:tabs>
          <w:tab w:val="clear" w:pos="360"/>
        </w:tabs>
        <w:rPr>
          <w:lang w:eastAsia="da-DK"/>
        </w:rPr>
      </w:pPr>
      <w:r w:rsidRPr="00A27C50">
        <w:rPr>
          <w:lang w:eastAsia="da-DK"/>
        </w:rPr>
        <w:t>att stärka grundidén om ett civilsamhälle genom att involvera icke-</w:t>
      </w:r>
      <w:r w:rsidRPr="00A27C50">
        <w:t>statliga</w:t>
      </w:r>
      <w:r w:rsidRPr="00A27C50">
        <w:rPr>
          <w:lang w:eastAsia="da-DK"/>
        </w:rPr>
        <w:t xml:space="preserve"> organisa</w:t>
      </w:r>
      <w:r w:rsidRPr="00A27C50">
        <w:rPr>
          <w:lang w:eastAsia="da-DK"/>
        </w:rPr>
        <w:softHyphen/>
        <w:t>tioner, där så är lämpligt, i beslutsprocessen och stärka samarbetet mellan icke-statliga organisa</w:t>
      </w:r>
      <w:r w:rsidRPr="00A27C50">
        <w:rPr>
          <w:lang w:eastAsia="da-DK"/>
        </w:rPr>
        <w:softHyphen/>
        <w:t>tioner i regionen, t.ex. genom att ge ekon</w:t>
      </w:r>
      <w:r w:rsidRPr="00A27C50">
        <w:rPr>
          <w:lang w:eastAsia="da-DK"/>
        </w:rPr>
        <w:t>o</w:t>
      </w:r>
      <w:r w:rsidRPr="00A27C50">
        <w:rPr>
          <w:lang w:eastAsia="da-DK"/>
        </w:rPr>
        <w:t>miskt stöd till sådana organisatio</w:t>
      </w:r>
      <w:r w:rsidRPr="00A27C50">
        <w:rPr>
          <w:lang w:eastAsia="da-DK"/>
        </w:rPr>
        <w:softHyphen/>
        <w:t>ners interna</w:t>
      </w:r>
      <w:r w:rsidRPr="00A27C50">
        <w:rPr>
          <w:lang w:eastAsia="da-DK"/>
        </w:rPr>
        <w:softHyphen/>
        <w:t>tionella nä</w:t>
      </w:r>
      <w:r w:rsidRPr="00A27C50">
        <w:rPr>
          <w:lang w:eastAsia="da-DK"/>
        </w:rPr>
        <w:t>t</w:t>
      </w:r>
      <w:r w:rsidRPr="00A27C50">
        <w:rPr>
          <w:lang w:eastAsia="da-DK"/>
        </w:rPr>
        <w:t>verksarbete,</w:t>
      </w:r>
    </w:p>
    <w:p w:rsidR="000D6448" w:rsidRPr="00A27C50" w:rsidRDefault="000D6448">
      <w:pPr>
        <w:spacing w:before="187"/>
        <w:rPr>
          <w:b/>
        </w:rPr>
      </w:pPr>
      <w:r w:rsidRPr="00A27C50">
        <w:rPr>
          <w:b/>
        </w:rPr>
        <w:t xml:space="preserve">uppmanar regeringar i Östersjöregionen, Östersjörådet och Helcom </w:t>
      </w:r>
    </w:p>
    <w:p w:rsidR="000D6448" w:rsidRPr="00A27C50" w:rsidRDefault="000D6448">
      <w:pPr>
        <w:pStyle w:val="PunktlistaStreck"/>
        <w:numPr>
          <w:ilvl w:val="0"/>
          <w:numId w:val="10"/>
        </w:numPr>
        <w:tabs>
          <w:tab w:val="clear" w:pos="360"/>
        </w:tabs>
      </w:pPr>
      <w:r w:rsidRPr="00A27C50">
        <w:t>att vidta åtgärder för att minska trycket på den marina miljön och bekämpa över</w:t>
      </w:r>
      <w:r w:rsidRPr="00A27C50">
        <w:softHyphen/>
        <w:t>gödning av Östersjön i syfte att främja ett välbalanserat ek</w:t>
      </w:r>
      <w:r w:rsidRPr="00A27C50">
        <w:t>o</w:t>
      </w:r>
      <w:r w:rsidRPr="00A27C50">
        <w:t>system,</w:t>
      </w:r>
    </w:p>
    <w:p w:rsidR="000D6448" w:rsidRPr="00A27C50" w:rsidRDefault="000D6448">
      <w:pPr>
        <w:pStyle w:val="PunktlistaStreck"/>
        <w:numPr>
          <w:ilvl w:val="0"/>
          <w:numId w:val="10"/>
        </w:numPr>
        <w:tabs>
          <w:tab w:val="clear" w:pos="360"/>
        </w:tabs>
        <w:spacing w:before="0"/>
      </w:pPr>
      <w:r w:rsidRPr="00A27C50">
        <w:t>att beakta behovet av att genomföra resultaten av 30 år med Helsingfor</w:t>
      </w:r>
      <w:r w:rsidRPr="00A27C50">
        <w:t>s</w:t>
      </w:r>
      <w:r w:rsidRPr="00A27C50">
        <w:t>konven</w:t>
      </w:r>
      <w:r w:rsidRPr="00A27C50">
        <w:softHyphen/>
        <w:t>tio</w:t>
      </w:r>
      <w:r w:rsidRPr="00A27C50">
        <w:softHyphen/>
        <w:t>nen och utveckla gemensamma förslag inom ramen för Helcom för kompletterande åtgärder i syfte att uppnå ytterligare förbättringar av sjösäkerheten i Östersjön samt lägga fram dessa förslag för Internationella sjöfartsorganisationens (IMO) sjösäkerhets</w:t>
      </w:r>
      <w:r w:rsidRPr="00A27C50">
        <w:softHyphen/>
        <w:t>kommitté (NAV),</w:t>
      </w:r>
    </w:p>
    <w:p w:rsidR="000D6448" w:rsidRPr="00A27C50" w:rsidRDefault="000D6448">
      <w:pPr>
        <w:pStyle w:val="PunktlistaStreck"/>
        <w:numPr>
          <w:ilvl w:val="0"/>
          <w:numId w:val="10"/>
        </w:numPr>
        <w:tabs>
          <w:tab w:val="clear" w:pos="360"/>
        </w:tabs>
      </w:pPr>
      <w:r w:rsidRPr="00A27C50">
        <w:t>att stödja effektiva samordnade skyddsåtgärder (APM – associated prote</w:t>
      </w:r>
      <w:r w:rsidRPr="00A27C50">
        <w:t>c</w:t>
      </w:r>
      <w:r w:rsidRPr="00A27C50">
        <w:t>tive measures) i enlighet med relevanta uttalanden i Östersjökonferensens samtliga resolutioner om skydd av den marina miljön i Öster</w:t>
      </w:r>
      <w:r w:rsidRPr="00A27C50">
        <w:softHyphen/>
        <w:t>sjön,</w:t>
      </w:r>
    </w:p>
    <w:p w:rsidR="000D6448" w:rsidRPr="00A27C50" w:rsidRDefault="000D6448">
      <w:pPr>
        <w:spacing w:before="187"/>
        <w:rPr>
          <w:b/>
        </w:rPr>
      </w:pPr>
      <w:r w:rsidRPr="00A27C50">
        <w:rPr>
          <w:b/>
        </w:rPr>
        <w:t xml:space="preserve">anmodar den permanenta kommittén </w:t>
      </w:r>
    </w:p>
    <w:p w:rsidR="000D6448" w:rsidRPr="00A27C50" w:rsidRDefault="000D6448">
      <w:pPr>
        <w:pStyle w:val="PunktlistaStreck"/>
        <w:numPr>
          <w:ilvl w:val="0"/>
          <w:numId w:val="10"/>
        </w:numPr>
        <w:tabs>
          <w:tab w:val="clear" w:pos="360"/>
        </w:tabs>
      </w:pPr>
      <w:r w:rsidRPr="00A27C50">
        <w:t>att utarbeta förslag om hur den parlamentariska dimensionen skall utvec</w:t>
      </w:r>
      <w:r w:rsidRPr="00A27C50">
        <w:t>k</w:t>
      </w:r>
      <w:r w:rsidRPr="00A27C50">
        <w:t>las i samarbete med Östersjörådet och deltagande parlamentariker samt r</w:t>
      </w:r>
      <w:r w:rsidRPr="00A27C50">
        <w:t>e</w:t>
      </w:r>
      <w:r w:rsidRPr="00A27C50">
        <w:t>levanta inte</w:t>
      </w:r>
      <w:r w:rsidRPr="00A27C50">
        <w:t>r</w:t>
      </w:r>
      <w:r w:rsidRPr="00A27C50">
        <w:t>parlamentariska organ.</w:t>
      </w:r>
    </w:p>
    <w:p w:rsidR="000D6448" w:rsidRPr="00A27C50" w:rsidRDefault="000D6448">
      <w:pPr>
        <w:spacing w:before="187"/>
        <w:rPr>
          <w:b/>
        </w:rPr>
      </w:pPr>
      <w:r w:rsidRPr="00A27C50">
        <w:rPr>
          <w:b/>
        </w:rPr>
        <w:t xml:space="preserve">Dessutom </w:t>
      </w:r>
    </w:p>
    <w:p w:rsidR="000D6448" w:rsidRPr="00A27C50" w:rsidRDefault="000D6448">
      <w:pPr>
        <w:autoSpaceDE w:val="0"/>
        <w:autoSpaceDN w:val="0"/>
        <w:adjustRightInd w:val="0"/>
        <w:rPr>
          <w:rFonts w:ascii="TimesNewRoman" w:hAnsi="TimesNewRoman"/>
        </w:rPr>
      </w:pPr>
      <w:r w:rsidRPr="00A27C50">
        <w:rPr>
          <w:rFonts w:ascii="TimesNewRoman" w:hAnsi="TimesNewRoman"/>
        </w:rPr>
        <w:t>välkomnar konferensen och emottager med stor tacksamhet den vänliga i</w:t>
      </w:r>
      <w:r w:rsidRPr="00A27C50">
        <w:rPr>
          <w:rFonts w:ascii="TimesNewRoman" w:hAnsi="TimesNewRoman"/>
        </w:rPr>
        <w:t>n</w:t>
      </w:r>
      <w:r w:rsidRPr="00A27C50">
        <w:rPr>
          <w:rFonts w:ascii="TimesNewRoman" w:hAnsi="TimesNewRoman"/>
        </w:rPr>
        <w:t>bjudan från det litauiska parlamentet att genomföra den 14:e Östersjökonf</w:t>
      </w:r>
      <w:r w:rsidRPr="00A27C50">
        <w:rPr>
          <w:rFonts w:ascii="TimesNewRoman" w:hAnsi="TimesNewRoman"/>
        </w:rPr>
        <w:t>e</w:t>
      </w:r>
      <w:r w:rsidRPr="00A27C50">
        <w:rPr>
          <w:rFonts w:ascii="TimesNewRoman" w:hAnsi="TimesNewRoman"/>
        </w:rPr>
        <w:t>rensen den 28–30 augusti 2005 i Vilnius.</w:t>
      </w:r>
    </w:p>
    <w:p w:rsidR="000D6448" w:rsidRPr="00A27C50" w:rsidRDefault="000D6448">
      <w:pPr>
        <w:autoSpaceDE w:val="0"/>
        <w:autoSpaceDN w:val="0"/>
        <w:adjustRightInd w:val="0"/>
        <w:rPr>
          <w:rFonts w:ascii="TimesNewRoman" w:hAnsi="TimesNewRoman"/>
        </w:rPr>
      </w:pPr>
    </w:p>
    <w:p w:rsidR="000D6448" w:rsidRPr="00A27C50" w:rsidRDefault="000D6448">
      <w:pPr>
        <w:autoSpaceDE w:val="0"/>
        <w:autoSpaceDN w:val="0"/>
        <w:adjustRightInd w:val="0"/>
        <w:rPr>
          <w:rFonts w:ascii="TimesNewRoman" w:hAnsi="TimesNewRoman"/>
        </w:rPr>
      </w:pPr>
    </w:p>
    <w:p w:rsidR="000D6448" w:rsidRPr="00A27C50" w:rsidRDefault="000D6448">
      <w:pPr>
        <w:autoSpaceDE w:val="0"/>
        <w:autoSpaceDN w:val="0"/>
        <w:adjustRightInd w:val="0"/>
        <w:rPr>
          <w:rFonts w:ascii="TimesNewRoman" w:hAnsi="TimesNewRoman"/>
        </w:rPr>
      </w:pPr>
    </w:p>
    <w:p w:rsidR="000D6448" w:rsidRPr="00A27C50" w:rsidRDefault="000D6448">
      <w:pPr>
        <w:autoSpaceDE w:val="0"/>
        <w:autoSpaceDN w:val="0"/>
        <w:adjustRightInd w:val="0"/>
        <w:rPr>
          <w:rFonts w:ascii="TimesNewRoman" w:hAnsi="TimesNewRoman"/>
        </w:rPr>
      </w:pPr>
    </w:p>
    <w:p w:rsidR="000D6448" w:rsidRPr="00A27C50" w:rsidRDefault="000D6448">
      <w:pPr>
        <w:autoSpaceDE w:val="0"/>
        <w:autoSpaceDN w:val="0"/>
        <w:adjustRightInd w:val="0"/>
        <w:rPr>
          <w:rFonts w:ascii="TimesNewRoman" w:hAnsi="TimesNewRoman"/>
        </w:rPr>
      </w:pPr>
    </w:p>
    <w:p w:rsidR="000D6448" w:rsidRPr="00A27C50" w:rsidRDefault="000D6448">
      <w:pPr>
        <w:autoSpaceDE w:val="0"/>
        <w:autoSpaceDN w:val="0"/>
        <w:adjustRightInd w:val="0"/>
        <w:rPr>
          <w:rFonts w:ascii="TimesNewRoman" w:hAnsi="TimesNewRoman"/>
        </w:rPr>
      </w:pPr>
    </w:p>
    <w:p w:rsidR="000D6448" w:rsidRPr="00A27C50" w:rsidRDefault="000D6448"/>
    <w:p w:rsidR="000D6448" w:rsidRPr="00A27C50" w:rsidRDefault="000D6448"/>
    <w:p w:rsidR="000D6448" w:rsidRPr="00A27C50" w:rsidRDefault="000D6448">
      <w:pPr>
        <w:sectPr w:rsidR="000D6448" w:rsidRPr="00A27C50">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7" w:left="1304" w:header="340" w:footer="227" w:gutter="0"/>
          <w:cols w:space="720"/>
          <w:titlePg/>
        </w:sectPr>
      </w:pPr>
    </w:p>
    <w:p w:rsidR="000D6448" w:rsidRPr="00A27C50" w:rsidRDefault="000D6448">
      <w:pPr>
        <w:pStyle w:val="Bilaga"/>
      </w:pPr>
      <w:r w:rsidRPr="00A27C50">
        <w:t>Bilaga 5</w:t>
      </w:r>
    </w:p>
    <w:p w:rsidR="000D6448" w:rsidRPr="00A27C50" w:rsidRDefault="000D6448">
      <w:pPr>
        <w:pStyle w:val="Rubrik1"/>
        <w:rPr>
          <w:noProof w:val="0"/>
        </w:rPr>
      </w:pPr>
      <w:bookmarkStart w:id="20" w:name="Temp"/>
      <w:bookmarkEnd w:id="20"/>
    </w:p>
    <w:p w:rsidR="000D6448" w:rsidRPr="00A27C50" w:rsidRDefault="000D6448">
      <w:pPr>
        <w:pStyle w:val="Rubrik1"/>
        <w:rPr>
          <w:noProof w:val="0"/>
        </w:rPr>
      </w:pPr>
    </w:p>
    <w:p w:rsidR="000D6448" w:rsidRPr="00A27C50" w:rsidRDefault="000D6448">
      <w:pPr>
        <w:pStyle w:val="R1"/>
        <w:jc w:val="center"/>
      </w:pPr>
      <w:r w:rsidRPr="00A27C50">
        <w:t>Resolution antagen vid den 6:e parlamentariska arktiska konferensen i Nuuk den 3–6 september 2004</w:t>
      </w:r>
    </w:p>
    <w:p w:rsidR="000D6448" w:rsidRPr="00A27C50" w:rsidRDefault="000D6448">
      <w:r w:rsidRPr="00A27C50">
        <w:br w:type="page"/>
        <w:t xml:space="preserve">We, elected representatives of </w:t>
      </w:r>
      <w:smartTag w:uri="urn:schemas-microsoft-com:office:smarttags" w:element="country-region">
        <w:r w:rsidRPr="00A27C50">
          <w:t>Canada</w:t>
        </w:r>
      </w:smartTag>
      <w:r w:rsidRPr="00A27C50">
        <w:t xml:space="preserve">, Denmark/Greenland, </w:t>
      </w:r>
      <w:smartTag w:uri="urn:schemas-microsoft-com:office:smarttags" w:element="country-region">
        <w:r w:rsidRPr="00A27C50">
          <w:t>Finland</w:t>
        </w:r>
      </w:smartTag>
      <w:r w:rsidRPr="00A27C50">
        <w:t xml:space="preserve">, </w:t>
      </w:r>
      <w:smartTag w:uri="urn:schemas-microsoft-com:office:smarttags" w:element="country-region">
        <w:r w:rsidRPr="00A27C50">
          <w:t>Iceland</w:t>
        </w:r>
      </w:smartTag>
      <w:r w:rsidRPr="00A27C50">
        <w:t xml:space="preserve">, </w:t>
      </w:r>
      <w:smartTag w:uri="urn:schemas-microsoft-com:office:smarttags" w:element="country-region">
        <w:r w:rsidRPr="00A27C50">
          <w:t>Norway</w:t>
        </w:r>
      </w:smartTag>
      <w:r w:rsidRPr="00A27C50">
        <w:t xml:space="preserve">, </w:t>
      </w:r>
      <w:smartTag w:uri="urn:schemas-microsoft-com:office:smarttags" w:element="country-region">
        <w:r w:rsidRPr="00A27C50">
          <w:t>Russia</w:t>
        </w:r>
      </w:smartTag>
      <w:r w:rsidRPr="00A27C50">
        <w:t xml:space="preserve"> and </w:t>
      </w:r>
      <w:smartTag w:uri="urn:schemas-microsoft-com:office:smarttags" w:element="place">
        <w:smartTag w:uri="urn:schemas-microsoft-com:office:smarttags" w:element="country-region">
          <w:r w:rsidRPr="00A27C50">
            <w:t>Sweden</w:t>
          </w:r>
        </w:smartTag>
      </w:smartTag>
      <w:r w:rsidRPr="00A27C50">
        <w:t>,</w:t>
      </w:r>
    </w:p>
    <w:p w:rsidR="000D6448" w:rsidRPr="00A27C50" w:rsidRDefault="000D6448">
      <w:pPr>
        <w:pStyle w:val="Normaltindrag"/>
      </w:pPr>
      <w:r w:rsidRPr="00A27C50">
        <w:t xml:space="preserve">Meeting in Nuuk, Kalaallit Nunaat, </w:t>
      </w:r>
      <w:smartTag w:uri="urn:schemas-microsoft-com:office:smarttags" w:element="place">
        <w:r w:rsidRPr="00A27C50">
          <w:t>Greenland</w:t>
        </w:r>
      </w:smartTag>
      <w:r w:rsidRPr="00A27C50">
        <w:t>, on 3–6 September 2004, to discuss shared concerns and responsibilities related to the Arctic region,</w:t>
      </w:r>
    </w:p>
    <w:tbl>
      <w:tblPr>
        <w:tblW w:w="0" w:type="auto"/>
        <w:tblLayout w:type="fixed"/>
        <w:tblCellMar>
          <w:left w:w="70" w:type="dxa"/>
          <w:right w:w="70" w:type="dxa"/>
        </w:tblCellMar>
        <w:tblLook w:val="0000" w:firstRow="0" w:lastRow="0" w:firstColumn="0" w:lastColumn="0" w:noHBand="0" w:noVBand="0"/>
      </w:tblPr>
      <w:tblGrid>
        <w:gridCol w:w="493"/>
        <w:gridCol w:w="5528"/>
      </w:tblGrid>
      <w:tr w:rsidR="000D6448" w:rsidRPr="00A27C50">
        <w:tblPrEx>
          <w:tblCellMar>
            <w:top w:w="0" w:type="dxa"/>
            <w:bottom w:w="0" w:type="dxa"/>
          </w:tblCellMar>
        </w:tblPrEx>
        <w:trPr>
          <w:cantSplit/>
        </w:trPr>
        <w:tc>
          <w:tcPr>
            <w:tcW w:w="493" w:type="dxa"/>
          </w:tcPr>
          <w:p w:rsidR="000D6448" w:rsidRPr="00A27C50" w:rsidRDefault="000D6448">
            <w:pPr>
              <w:pStyle w:val="Normaltindrag"/>
              <w:ind w:firstLine="0"/>
            </w:pPr>
            <w:r w:rsidRPr="00A27C50">
              <w:t>1)</w:t>
            </w:r>
          </w:p>
        </w:tc>
        <w:tc>
          <w:tcPr>
            <w:tcW w:w="5528" w:type="dxa"/>
          </w:tcPr>
          <w:p w:rsidR="000D6448" w:rsidRPr="00A27C50" w:rsidRDefault="000D6448">
            <w:pPr>
              <w:pStyle w:val="Normaltindrag"/>
              <w:ind w:firstLine="0"/>
            </w:pPr>
            <w:r w:rsidRPr="00A27C50">
              <w:rPr>
                <w:b/>
              </w:rPr>
              <w:t>Recalling</w:t>
            </w:r>
            <w:r w:rsidRPr="00A27C50">
              <w:t xml:space="preserve"> the Conference Statements from the five previous Confe</w:t>
            </w:r>
            <w:r w:rsidRPr="00A27C50">
              <w:t>r</w:t>
            </w:r>
            <w:r w:rsidRPr="00A27C50">
              <w:t>ences of Parliamentarians of the Arctic Region held 1993–2002;</w:t>
            </w:r>
          </w:p>
        </w:tc>
      </w:tr>
      <w:tr w:rsidR="000D6448" w:rsidRPr="00A27C50">
        <w:tblPrEx>
          <w:tblCellMar>
            <w:top w:w="0" w:type="dxa"/>
            <w:bottom w:w="0" w:type="dxa"/>
          </w:tblCellMar>
        </w:tblPrEx>
        <w:trPr>
          <w:cantSplit/>
        </w:trPr>
        <w:tc>
          <w:tcPr>
            <w:tcW w:w="493" w:type="dxa"/>
          </w:tcPr>
          <w:p w:rsidR="000D6448" w:rsidRPr="00A27C50" w:rsidRDefault="000D6448">
            <w:pPr>
              <w:pStyle w:val="Normaltindrag"/>
              <w:spacing w:before="62"/>
              <w:ind w:firstLine="0"/>
            </w:pPr>
            <w:r w:rsidRPr="00A27C50">
              <w:t>2)</w:t>
            </w:r>
          </w:p>
        </w:tc>
        <w:tc>
          <w:tcPr>
            <w:tcW w:w="5528" w:type="dxa"/>
          </w:tcPr>
          <w:p w:rsidR="000D6448" w:rsidRPr="00A27C50" w:rsidRDefault="000D6448">
            <w:pPr>
              <w:pStyle w:val="Normaltindrag"/>
              <w:spacing w:before="62"/>
              <w:ind w:firstLine="0"/>
            </w:pPr>
            <w:r w:rsidRPr="00A27C50">
              <w:rPr>
                <w:b/>
              </w:rPr>
              <w:t>Convinced</w:t>
            </w:r>
            <w:r w:rsidRPr="00A27C50">
              <w:t xml:space="preserve"> that these Conferences, and the jointly agreed Conference Statements emerging from them, serve a valuable purpose in bringing a focus on shared or common Arctic issues among circumpolar n</w:t>
            </w:r>
            <w:r w:rsidRPr="00A27C50">
              <w:t>a</w:t>
            </w:r>
            <w:r w:rsidRPr="00A27C50">
              <w:t>tions and Parliaments, and that they help to identify practical areas where actions can be taken by national governments that will be not only to the benefit of individual countries and to the Arctic regions in general; but will also enhance international co-operation and the co</w:t>
            </w:r>
            <w:r w:rsidRPr="00A27C50">
              <w:t>n</w:t>
            </w:r>
            <w:r w:rsidRPr="00A27C50">
              <w:t>tribution that Arctic countries make toward addressing major world-wide enviro</w:t>
            </w:r>
            <w:r w:rsidRPr="00A27C50">
              <w:t>n</w:t>
            </w:r>
            <w:r w:rsidRPr="00A27C50">
              <w:t>mental, economic, and social problems;</w:t>
            </w:r>
          </w:p>
        </w:tc>
      </w:tr>
    </w:tbl>
    <w:p w:rsidR="000D6448" w:rsidRPr="00A27C50" w:rsidRDefault="000D6448">
      <w:pPr>
        <w:pStyle w:val="R3"/>
        <w:ind w:left="340" w:hanging="340"/>
      </w:pPr>
      <w:r w:rsidRPr="00A27C50">
        <w:t>A. Noting</w:t>
      </w:r>
    </w:p>
    <w:tbl>
      <w:tblPr>
        <w:tblW w:w="0" w:type="auto"/>
        <w:tblLayout w:type="fixed"/>
        <w:tblCellMar>
          <w:left w:w="70" w:type="dxa"/>
          <w:right w:w="70" w:type="dxa"/>
        </w:tblCellMar>
        <w:tblLook w:val="0000" w:firstRow="0" w:lastRow="0" w:firstColumn="0" w:lastColumn="0" w:noHBand="0" w:noVBand="0"/>
      </w:tblPr>
      <w:tblGrid>
        <w:gridCol w:w="493"/>
        <w:gridCol w:w="5528"/>
      </w:tblGrid>
      <w:tr w:rsidR="000D6448" w:rsidRPr="00A27C50">
        <w:tblPrEx>
          <w:tblCellMar>
            <w:top w:w="0" w:type="dxa"/>
            <w:bottom w:w="0" w:type="dxa"/>
          </w:tblCellMar>
        </w:tblPrEx>
        <w:trPr>
          <w:cantSplit/>
        </w:trPr>
        <w:tc>
          <w:tcPr>
            <w:tcW w:w="493" w:type="dxa"/>
          </w:tcPr>
          <w:p w:rsidR="000D6448" w:rsidRPr="00A27C50" w:rsidRDefault="000D6448">
            <w:pPr>
              <w:pStyle w:val="Normaltindrag"/>
              <w:spacing w:before="120"/>
              <w:ind w:firstLine="0"/>
            </w:pPr>
            <w:r w:rsidRPr="00A27C50">
              <w:t>3)</w:t>
            </w:r>
          </w:p>
        </w:tc>
        <w:tc>
          <w:tcPr>
            <w:tcW w:w="5528" w:type="dxa"/>
          </w:tcPr>
          <w:p w:rsidR="000D6448" w:rsidRPr="00A27C50" w:rsidRDefault="000D6448">
            <w:pPr>
              <w:pStyle w:val="Normaltindrag"/>
              <w:spacing w:before="120"/>
              <w:ind w:firstLine="0"/>
            </w:pPr>
            <w:r w:rsidRPr="00A27C50">
              <w:t>The increasing evidence that the dominant economic and resource use practices and policies in most parts of the world, including the Arctic, are not sustainable and are leading to environmental degradation, hardship in many Arctic communities and cultural stress, especially within indigenous societies, raising the responsibility and urgency for policies, activities and support for practical sustainable development, as outlined at the United Nations World Summit on Sustainable D</w:t>
            </w:r>
            <w:r w:rsidRPr="00A27C50">
              <w:t>e</w:t>
            </w:r>
            <w:r w:rsidRPr="00A27C50">
              <w:t>velopment held in Johannesburg 2002;</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4)</w:t>
            </w:r>
          </w:p>
        </w:tc>
        <w:tc>
          <w:tcPr>
            <w:tcW w:w="5528" w:type="dxa"/>
          </w:tcPr>
          <w:p w:rsidR="000D6448" w:rsidRPr="00A27C50" w:rsidRDefault="000D6448">
            <w:pPr>
              <w:pStyle w:val="Normaltindrag"/>
              <w:spacing w:before="62"/>
              <w:ind w:firstLine="0"/>
            </w:pPr>
            <w:r w:rsidRPr="00A27C50">
              <w:t>The world-wide consequences of rapid climate change and ultraviolet radiation in the Arctic, an important cause of which are human infl</w:t>
            </w:r>
            <w:r w:rsidRPr="00A27C50">
              <w:t>u</w:t>
            </w:r>
            <w:r w:rsidRPr="00A27C50">
              <w:t>ences, particularly increased emissions of CO</w:t>
            </w:r>
            <w:r w:rsidRPr="00A27C50">
              <w:rPr>
                <w:vertAlign w:val="subscript"/>
              </w:rPr>
              <w:t>2</w:t>
            </w:r>
            <w:r w:rsidRPr="00A27C50">
              <w:t xml:space="preserve"> and other greenhouse gases, and the global scale of these changes;</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5)</w:t>
            </w:r>
          </w:p>
        </w:tc>
        <w:tc>
          <w:tcPr>
            <w:tcW w:w="5528" w:type="dxa"/>
          </w:tcPr>
          <w:p w:rsidR="000D6448" w:rsidRPr="00A27C50" w:rsidRDefault="000D6448">
            <w:pPr>
              <w:pStyle w:val="Normaltindrag"/>
              <w:spacing w:before="62"/>
              <w:ind w:firstLine="0"/>
            </w:pPr>
            <w:r w:rsidRPr="00A27C50">
              <w:t>The profound environmental impacts on ecosystems, wildlife and habitat, including genetic changes and loss of biodiversity, which rapid climate change and increasing economic activity are having in the Arctic, and the multi-faceted threats and challenges that this i</w:t>
            </w:r>
            <w:r w:rsidRPr="00A27C50">
              <w:t>n</w:t>
            </w:r>
            <w:r w:rsidRPr="00A27C50">
              <w:t>volves for the well-being of Arctic residents;</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6)</w:t>
            </w:r>
          </w:p>
        </w:tc>
        <w:tc>
          <w:tcPr>
            <w:tcW w:w="5528" w:type="dxa"/>
          </w:tcPr>
          <w:p w:rsidR="000D6448" w:rsidRPr="00A27C50" w:rsidRDefault="000D6448">
            <w:pPr>
              <w:pStyle w:val="Normaltindrag"/>
              <w:spacing w:before="62"/>
              <w:ind w:firstLine="0"/>
            </w:pPr>
            <w:r w:rsidRPr="00A27C50">
              <w:t>The likelihood of increased utilization of Arctic shipping routes, in</w:t>
            </w:r>
            <w:r w:rsidRPr="00A27C50">
              <w:softHyphen/>
              <w:t>cluding the Northern Sea Route and the Northwest Passage, as well as the interest in development of resources on the Arctic continental shelf;</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7)</w:t>
            </w:r>
          </w:p>
        </w:tc>
        <w:tc>
          <w:tcPr>
            <w:tcW w:w="5528" w:type="dxa"/>
          </w:tcPr>
          <w:p w:rsidR="000D6448" w:rsidRPr="00A27C50" w:rsidRDefault="000D6448">
            <w:pPr>
              <w:pStyle w:val="Normaltindrag"/>
              <w:spacing w:before="62"/>
              <w:ind w:firstLine="0"/>
            </w:pPr>
            <w:r w:rsidRPr="00A27C50">
              <w:t>The environmental risks of large-scale shipping in Arctic waters, particularly shipment of oil and other dangerous materials, and the ensuing threats this may pose to coastal communities and the living resources on which they depend. These risks increase the responsibil</w:t>
            </w:r>
            <w:r w:rsidRPr="00A27C50">
              <w:t>i</w:t>
            </w:r>
            <w:r w:rsidRPr="00A27C50">
              <w:t>ties of northern and Arctic peoples and local governments with respect to Arctic shipping, coastal protection, and management of maritime living resources, and the increasing use of multi-mode (marine, land, air) transportation in the Arctic;</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8)</w:t>
            </w:r>
          </w:p>
        </w:tc>
        <w:tc>
          <w:tcPr>
            <w:tcW w:w="5528" w:type="dxa"/>
          </w:tcPr>
          <w:p w:rsidR="000D6448" w:rsidRPr="00A27C50" w:rsidRDefault="000D6448">
            <w:pPr>
              <w:pStyle w:val="Normaltindrag"/>
              <w:spacing w:before="62"/>
              <w:ind w:firstLine="0"/>
            </w:pPr>
            <w:r w:rsidRPr="00A27C50">
              <w:t>The urgency with which rapid climate, environmental, social and economic forces of change occurring within the Arctic need to be responded to and addressed by governments and policy makers, so as to ensure the diversity and conservation of the Arctic environment as well as the sustainable cultural, social and economic well-being of Arctic residents, including indig</w:t>
            </w:r>
            <w:r w:rsidRPr="00A27C50">
              <w:t>e</w:t>
            </w:r>
            <w:r w:rsidRPr="00A27C50">
              <w:t>nous peoples;</w:t>
            </w:r>
          </w:p>
        </w:tc>
      </w:tr>
      <w:tr w:rsidR="000D6448" w:rsidRPr="00A27C50">
        <w:tblPrEx>
          <w:tblCellMar>
            <w:top w:w="0" w:type="dxa"/>
            <w:bottom w:w="0" w:type="dxa"/>
          </w:tblCellMar>
        </w:tblPrEx>
        <w:tc>
          <w:tcPr>
            <w:tcW w:w="493" w:type="dxa"/>
          </w:tcPr>
          <w:p w:rsidR="000D6448" w:rsidRPr="00A27C50" w:rsidRDefault="000D6448">
            <w:pPr>
              <w:pStyle w:val="Normaltindrag"/>
              <w:spacing w:before="62"/>
              <w:ind w:firstLine="0"/>
            </w:pPr>
            <w:r w:rsidRPr="00A27C50">
              <w:t>9)</w:t>
            </w:r>
          </w:p>
        </w:tc>
        <w:tc>
          <w:tcPr>
            <w:tcW w:w="5528" w:type="dxa"/>
          </w:tcPr>
          <w:p w:rsidR="000D6448" w:rsidRPr="00A27C50" w:rsidRDefault="000D6448">
            <w:pPr>
              <w:pStyle w:val="Normaltindrag"/>
              <w:spacing w:before="62"/>
              <w:ind w:firstLine="0"/>
            </w:pPr>
            <w:r w:rsidRPr="00A27C50">
              <w:t>The cultural diversity, resilience and dynamism of Arctic commun</w:t>
            </w:r>
            <w:r w:rsidRPr="00A27C50">
              <w:t>i</w:t>
            </w:r>
            <w:r w:rsidRPr="00A27C50">
              <w:t>ties, and the potential for new technologies and conditions to be e</w:t>
            </w:r>
            <w:r w:rsidRPr="00A27C50">
              <w:t>n</w:t>
            </w:r>
            <w:r w:rsidRPr="00A27C50">
              <w:t xml:space="preserve">joined with ancient cultural practices and traditions to attain new forms of community viability in the </w:t>
            </w:r>
            <w:smartTag w:uri="urn:schemas-microsoft-com:office:smarttags" w:element="place">
              <w:r w:rsidRPr="00A27C50">
                <w:t>Arctic</w:t>
              </w:r>
            </w:smartTag>
            <w:r w:rsidRPr="00A27C50">
              <w:t xml:space="preserve"> in the face of global change.</w:t>
            </w:r>
          </w:p>
        </w:tc>
      </w:tr>
    </w:tbl>
    <w:p w:rsidR="000D6448" w:rsidRPr="00A27C50" w:rsidRDefault="000D6448">
      <w:pPr>
        <w:pStyle w:val="R3"/>
        <w:ind w:left="340" w:hanging="340"/>
      </w:pPr>
      <w:r w:rsidRPr="00A27C50">
        <w:t>B.</w:t>
      </w:r>
      <w:r w:rsidRPr="00A27C50">
        <w:tab/>
        <w:t>Taking into Account</w:t>
      </w:r>
    </w:p>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120"/>
              <w:ind w:firstLine="0"/>
            </w:pPr>
            <w:r w:rsidRPr="00A27C50">
              <w:t>10)</w:t>
            </w:r>
          </w:p>
        </w:tc>
        <w:tc>
          <w:tcPr>
            <w:tcW w:w="5528" w:type="dxa"/>
          </w:tcPr>
          <w:p w:rsidR="000D6448" w:rsidRPr="00A27C50" w:rsidRDefault="000D6448">
            <w:pPr>
              <w:pStyle w:val="Normaltindrag"/>
              <w:spacing w:before="120"/>
              <w:ind w:firstLine="0"/>
            </w:pPr>
            <w:r w:rsidRPr="00A27C50">
              <w:t>The increasing success of the Arctic Council (AC) in achieving co-operation and coherence among the activities of Arctic countries and in giving voice to the role of the Arctic in international affairs as ou</w:t>
            </w:r>
            <w:r w:rsidRPr="00A27C50">
              <w:t>t</w:t>
            </w:r>
            <w:r w:rsidRPr="00A27C50">
              <w:t>lined in the Inari Declaration in 2002; noting especially the success under the Icelandic Chairmanship to make ICT a priority of the Arctic Council; the steps forward taken to increase cooperation between the Arctic Council and the European Union (EU); the successful efforts made to strengthen scientific and technological cooperation in the Arctic and the conclusions of the Arctic Science Summit Week; the work towards strengthening financial support, accountability and maximum cost efficiency of Arctic Council projects through an AC Project Support Fund; and the steps taken to make the Arctic an inte</w:t>
            </w:r>
            <w:r w:rsidRPr="00A27C50">
              <w:t>r</w:t>
            </w:r>
            <w:r w:rsidRPr="00A27C50">
              <w:t>national example of alternative use of renewable energy sources;</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11)</w:t>
            </w:r>
          </w:p>
        </w:tc>
        <w:tc>
          <w:tcPr>
            <w:tcW w:w="5528" w:type="dxa"/>
          </w:tcPr>
          <w:p w:rsidR="000D6448" w:rsidRPr="00A27C50" w:rsidRDefault="000D6448">
            <w:pPr>
              <w:pStyle w:val="Normaltindrag"/>
              <w:spacing w:before="62"/>
              <w:ind w:firstLine="0"/>
            </w:pPr>
            <w:r w:rsidRPr="00A27C50">
              <w:t>The comprehensive findings of the Arctic Climate Impact Assessment (ACIA), and the conclusions of the Intergovernmental Panel on Cl</w:t>
            </w:r>
            <w:r w:rsidRPr="00A27C50">
              <w:t>i</w:t>
            </w:r>
            <w:r w:rsidRPr="00A27C50">
              <w:t>mate Change, which confirm rapid and significant changes of climate in Arctic regions with major environmental, economic, social and political conseque</w:t>
            </w:r>
            <w:r w:rsidRPr="00A27C50">
              <w:t>n</w:t>
            </w:r>
            <w:r w:rsidRPr="00A27C50">
              <w:t>ces;</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12)</w:t>
            </w:r>
          </w:p>
        </w:tc>
        <w:tc>
          <w:tcPr>
            <w:tcW w:w="5528" w:type="dxa"/>
          </w:tcPr>
          <w:p w:rsidR="000D6448" w:rsidRPr="00A27C50" w:rsidRDefault="000D6448">
            <w:pPr>
              <w:pStyle w:val="Normaltindrag"/>
              <w:spacing w:before="62"/>
              <w:ind w:firstLine="0"/>
            </w:pPr>
            <w:r w:rsidRPr="00A27C50">
              <w:t>The decision to produce an Arctic Human Development Report (AHDR) at the AC Inari Ministerial Meeting in 2002 for presentation at the AC Reykjavik Ministerial Meeting in November 2004;</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 xml:space="preserve">13) </w:t>
            </w:r>
          </w:p>
        </w:tc>
        <w:tc>
          <w:tcPr>
            <w:tcW w:w="5528" w:type="dxa"/>
          </w:tcPr>
          <w:p w:rsidR="000D6448" w:rsidRPr="00A27C50" w:rsidRDefault="000D6448">
            <w:pPr>
              <w:pStyle w:val="Normaltindrag"/>
              <w:spacing w:before="62"/>
              <w:ind w:firstLine="0"/>
            </w:pPr>
            <w:r w:rsidRPr="00A27C50">
              <w:t>The ongoing development of the Arctic Marine Strategic Plan (AMSP) to be presented at the AC Reykjavik Ministerial Meeting in November 2004;</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 xml:space="preserve">14) </w:t>
            </w:r>
          </w:p>
        </w:tc>
        <w:tc>
          <w:tcPr>
            <w:tcW w:w="5528" w:type="dxa"/>
          </w:tcPr>
          <w:p w:rsidR="000D6448" w:rsidRPr="00A27C50" w:rsidRDefault="000D6448">
            <w:pPr>
              <w:pStyle w:val="Normaltindrag"/>
              <w:spacing w:before="62"/>
              <w:ind w:firstLine="0"/>
            </w:pPr>
            <w:r w:rsidRPr="00A27C50">
              <w:t>The resolution of the United Nations Environmental Programme, February 2004, for increased environmental monitoring in the Arctic region;</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ind w:firstLine="0"/>
            </w:pPr>
            <w:r w:rsidRPr="00A27C50">
              <w:t xml:space="preserve">15) </w:t>
            </w:r>
          </w:p>
        </w:tc>
        <w:tc>
          <w:tcPr>
            <w:tcW w:w="5528" w:type="dxa"/>
          </w:tcPr>
          <w:p w:rsidR="000D6448" w:rsidRPr="00A27C50" w:rsidRDefault="000D6448">
            <w:pPr>
              <w:pStyle w:val="Normaltindrag"/>
              <w:ind w:firstLine="0"/>
            </w:pPr>
            <w:r w:rsidRPr="00A27C50">
              <w:t>The remarkable progress in the development of the University of the Arctic, and the importance of its academic and mobility programs for capacity bui</w:t>
            </w:r>
            <w:r w:rsidRPr="00A27C50">
              <w:t>l</w:t>
            </w:r>
            <w:r w:rsidRPr="00A27C50">
              <w:t xml:space="preserve">ding in the </w:t>
            </w:r>
            <w:smartTag w:uri="urn:schemas-microsoft-com:office:smarttags" w:element="place">
              <w:r w:rsidRPr="00A27C50">
                <w:t>Arctic</w:t>
              </w:r>
            </w:smartTag>
            <w:r w:rsidRPr="00A27C50">
              <w:t>;</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 xml:space="preserve">16) </w:t>
            </w:r>
          </w:p>
        </w:tc>
        <w:tc>
          <w:tcPr>
            <w:tcW w:w="5528" w:type="dxa"/>
          </w:tcPr>
          <w:p w:rsidR="000D6448" w:rsidRPr="00A27C50" w:rsidRDefault="000D6448">
            <w:pPr>
              <w:pStyle w:val="Normaltindrag"/>
              <w:spacing w:before="62"/>
              <w:ind w:firstLine="0"/>
            </w:pPr>
            <w:r w:rsidRPr="00A27C50">
              <w:t>The declaration of the First Meeting of Ministers of Education and Science of the Arctic Council member states, adopted in June 2004;</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17)</w:t>
            </w:r>
          </w:p>
        </w:tc>
        <w:tc>
          <w:tcPr>
            <w:tcW w:w="5528" w:type="dxa"/>
          </w:tcPr>
          <w:p w:rsidR="000D6448" w:rsidRPr="00A27C50" w:rsidRDefault="000D6448">
            <w:pPr>
              <w:pStyle w:val="Normaltindrag"/>
              <w:spacing w:before="62"/>
              <w:ind w:firstLine="0"/>
            </w:pPr>
            <w:r w:rsidRPr="00A27C50">
              <w:t>The Second Action Plan for the Northern Dimension in the external and cross-border or regional development co-operation of the Eur</w:t>
            </w:r>
            <w:r w:rsidRPr="00A27C50">
              <w:t>o</w:t>
            </w:r>
            <w:r w:rsidRPr="00A27C50">
              <w:t>pean Union including the ND Environmental Partnership, the Social Partnership and the Northern e-Dimension, and, in addition, the Northern Dimension of Canada’s Foreign Policy and the implement</w:t>
            </w:r>
            <w:r w:rsidRPr="00A27C50">
              <w:t>a</w:t>
            </w:r>
            <w:r w:rsidRPr="00A27C50">
              <w:t>tion of the U.S. plan for an Enhanced Partnership in Northern Europe (e-PINE);</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18)</w:t>
            </w:r>
          </w:p>
        </w:tc>
        <w:tc>
          <w:tcPr>
            <w:tcW w:w="5528" w:type="dxa"/>
          </w:tcPr>
          <w:p w:rsidR="000D6448" w:rsidRPr="00A27C50" w:rsidRDefault="000D6448">
            <w:pPr>
              <w:pStyle w:val="Normaltindrag"/>
              <w:spacing w:before="62"/>
              <w:ind w:firstLine="0"/>
            </w:pPr>
            <w:r w:rsidRPr="00A27C50">
              <w:t>Initiations to prepare regional or global protocols on motorized tran</w:t>
            </w:r>
            <w:r w:rsidRPr="00A27C50">
              <w:t>s</w:t>
            </w:r>
            <w:r w:rsidRPr="00A27C50">
              <w:t>port in order to promote the use of clean technology vehi</w:t>
            </w:r>
            <w:r w:rsidRPr="00A27C50">
              <w:t>c</w:t>
            </w:r>
            <w:r w:rsidRPr="00A27C50">
              <w:t>les;</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 xml:space="preserve">19) </w:t>
            </w:r>
          </w:p>
        </w:tc>
        <w:tc>
          <w:tcPr>
            <w:tcW w:w="5528" w:type="dxa"/>
          </w:tcPr>
          <w:p w:rsidR="000D6448" w:rsidRPr="00A27C50" w:rsidRDefault="000D6448">
            <w:pPr>
              <w:pStyle w:val="Normaltindrag"/>
              <w:spacing w:before="62"/>
              <w:ind w:firstLine="0"/>
            </w:pPr>
            <w:r w:rsidRPr="00A27C50">
              <w:t xml:space="preserve">The World </w:t>
            </w:r>
            <w:smartTag w:uri="urn:schemas-microsoft-com:office:smarttags" w:element="place">
              <w:smartTag w:uri="urn:schemas-microsoft-com:office:smarttags" w:element="City">
                <w:r w:rsidRPr="00A27C50">
                  <w:t>Summit</w:t>
                </w:r>
              </w:smartTag>
            </w:smartTag>
            <w:r w:rsidRPr="00A27C50">
              <w:t xml:space="preserve"> on the Information Society, 2003;</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 xml:space="preserve">20) </w:t>
            </w:r>
          </w:p>
        </w:tc>
        <w:tc>
          <w:tcPr>
            <w:tcW w:w="5528" w:type="dxa"/>
          </w:tcPr>
          <w:p w:rsidR="000D6448" w:rsidRPr="00A27C50" w:rsidRDefault="000D6448">
            <w:pPr>
              <w:pStyle w:val="Normaltindrag"/>
              <w:spacing w:before="62"/>
              <w:ind w:firstLine="0"/>
            </w:pPr>
            <w:r w:rsidRPr="00A27C50">
              <w:t>The Communiqué of the Barents Euro-Arctic Council, 2003;</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21)</w:t>
            </w:r>
          </w:p>
        </w:tc>
        <w:tc>
          <w:tcPr>
            <w:tcW w:w="5528" w:type="dxa"/>
          </w:tcPr>
          <w:p w:rsidR="000D6448" w:rsidRPr="00A27C50" w:rsidRDefault="000D6448">
            <w:pPr>
              <w:pStyle w:val="Normaltindrag"/>
              <w:spacing w:before="62"/>
              <w:ind w:firstLine="0"/>
            </w:pPr>
            <w:r w:rsidRPr="00A27C50">
              <w:t>The decisions and recommendations of the World Ecotourism Su</w:t>
            </w:r>
            <w:r w:rsidRPr="00A27C50">
              <w:t>m</w:t>
            </w:r>
            <w:r w:rsidRPr="00A27C50">
              <w:t>mit, organized by the World Tourist Organization and the United Nations Env</w:t>
            </w:r>
            <w:r w:rsidRPr="00A27C50">
              <w:t>i</w:t>
            </w:r>
            <w:r w:rsidRPr="00A27C50">
              <w:t>ronment Programme, 2002;</w:t>
            </w:r>
          </w:p>
        </w:tc>
      </w:tr>
      <w:tr w:rsidR="000D6448" w:rsidRPr="00A27C50">
        <w:tblPrEx>
          <w:tblCellMar>
            <w:top w:w="0" w:type="dxa"/>
            <w:bottom w:w="0" w:type="dxa"/>
          </w:tblCellMar>
        </w:tblPrEx>
        <w:trPr>
          <w:cantSplit/>
        </w:trPr>
        <w:tc>
          <w:tcPr>
            <w:tcW w:w="496" w:type="dxa"/>
          </w:tcPr>
          <w:p w:rsidR="000D6448" w:rsidRPr="00A27C50" w:rsidRDefault="000D6448">
            <w:pPr>
              <w:pStyle w:val="Normaltindrag"/>
              <w:spacing w:before="62"/>
              <w:ind w:firstLine="0"/>
            </w:pPr>
            <w:r w:rsidRPr="00A27C50">
              <w:t>22)</w:t>
            </w:r>
          </w:p>
        </w:tc>
        <w:tc>
          <w:tcPr>
            <w:tcW w:w="5528" w:type="dxa"/>
          </w:tcPr>
          <w:p w:rsidR="000D6448" w:rsidRPr="00A27C50" w:rsidRDefault="000D6448">
            <w:pPr>
              <w:pStyle w:val="Normaltindrag"/>
              <w:spacing w:before="62"/>
              <w:ind w:firstLine="0"/>
            </w:pPr>
            <w:r w:rsidRPr="00A27C50">
              <w:t>The progress toward a major international interdisciplinary scientific research program, the International Polar Year 2007–2008, with cre</w:t>
            </w:r>
            <w:r w:rsidRPr="00A27C50">
              <w:t>a</w:t>
            </w:r>
            <w:r w:rsidRPr="00A27C50">
              <w:t>tion of national IPY committees in Arctic cou</w:t>
            </w:r>
            <w:r w:rsidRPr="00A27C50">
              <w:t>n</w:t>
            </w:r>
            <w:r w:rsidRPr="00A27C50">
              <w:t>tries;</w:t>
            </w:r>
          </w:p>
        </w:tc>
      </w:tr>
    </w:tbl>
    <w:p w:rsidR="000D6448" w:rsidRPr="00A27C50" w:rsidRDefault="000D6448">
      <w:pPr>
        <w:pStyle w:val="R3"/>
        <w:ind w:left="340" w:hanging="340"/>
      </w:pPr>
      <w:r w:rsidRPr="00A27C50">
        <w:t>C.</w:t>
      </w:r>
      <w:r w:rsidRPr="00A27C50">
        <w:tab/>
        <w:t>Ask governments in the Arctic region and the institutions of the European Union to</w:t>
      </w:r>
    </w:p>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c>
          <w:tcPr>
            <w:tcW w:w="496" w:type="dxa"/>
          </w:tcPr>
          <w:p w:rsidR="000D6448" w:rsidRPr="00A27C50" w:rsidRDefault="000D6448">
            <w:pPr>
              <w:pStyle w:val="Normaltindrag"/>
              <w:spacing w:before="120"/>
              <w:ind w:firstLine="0"/>
            </w:pPr>
            <w:r w:rsidRPr="00A27C50">
              <w:t>23)</w:t>
            </w:r>
          </w:p>
        </w:tc>
        <w:tc>
          <w:tcPr>
            <w:tcW w:w="5528" w:type="dxa"/>
          </w:tcPr>
          <w:p w:rsidR="000D6448" w:rsidRPr="00A27C50" w:rsidRDefault="000D6448">
            <w:pPr>
              <w:pStyle w:val="Upprkniiii"/>
              <w:tabs>
                <w:tab w:val="clear" w:pos="720"/>
              </w:tabs>
              <w:ind w:left="397" w:hanging="397"/>
            </w:pPr>
            <w:r w:rsidRPr="00A27C50">
              <w:t>Develop without delay necessary policies and recommendations for implementation through international organizations to a</w:t>
            </w:r>
            <w:r w:rsidRPr="00A27C50">
              <w:t>d</w:t>
            </w:r>
            <w:r w:rsidRPr="00A27C50">
              <w:t xml:space="preserve">dress rapid climate change in the </w:t>
            </w:r>
            <w:smartTag w:uri="urn:schemas-microsoft-com:office:smarttags" w:element="place">
              <w:r w:rsidRPr="00A27C50">
                <w:t>Arctic</w:t>
              </w:r>
            </w:smartTag>
            <w:r w:rsidRPr="00A27C50">
              <w:t>;</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In light of new scientific knowledge, and changing responsibil</w:t>
            </w:r>
            <w:r w:rsidRPr="00A27C50">
              <w:t>i</w:t>
            </w:r>
            <w:r w:rsidRPr="00A27C50">
              <w:t xml:space="preserve">ties and administrative structures in the </w:t>
            </w:r>
            <w:smartTag w:uri="urn:schemas-microsoft-com:office:smarttags" w:element="place">
              <w:r w:rsidRPr="00A27C50">
                <w:t>Arctic</w:t>
              </w:r>
            </w:smartTag>
            <w:r w:rsidRPr="00A27C50">
              <w:t>, develop manag</w:t>
            </w:r>
            <w:r w:rsidRPr="00A27C50">
              <w:t>e</w:t>
            </w:r>
            <w:r w:rsidRPr="00A27C50">
              <w:t>ment procedures to support Arctic communities in adapting to climate change;</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Acknowledge that adaption is a necessary but insufficient stra</w:t>
            </w:r>
            <w:r w:rsidRPr="00A27C50">
              <w:t>t</w:t>
            </w:r>
            <w:r w:rsidRPr="00A27C50">
              <w:t>egy in response to climate change, and therefore take mitigative action to reduce emissions of greenhouse gases, promote the d</w:t>
            </w:r>
            <w:r w:rsidRPr="00A27C50">
              <w:t>e</w:t>
            </w:r>
            <w:r w:rsidRPr="00A27C50">
              <w:t>velopment and adoption of alternative energy sources, and i</w:t>
            </w:r>
            <w:r w:rsidRPr="00A27C50">
              <w:t>m</w:t>
            </w:r>
            <w:r w:rsidRPr="00A27C50">
              <w:t>plement policies to increase the energy efficiency of Arctic economies and the conservation of carbon sinks;</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Continue research on Arctic climate and follow-up on the r</w:t>
            </w:r>
            <w:r w:rsidRPr="00A27C50">
              <w:t>e</w:t>
            </w:r>
            <w:r w:rsidRPr="00A27C50">
              <w:t>maining gaps in knowledge, as well as linking circumpolar r</w:t>
            </w:r>
            <w:r w:rsidRPr="00A27C50">
              <w:t>e</w:t>
            </w:r>
            <w:r w:rsidRPr="00A27C50">
              <w:t>search networks;</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spacing w:before="0"/>
              <w:ind w:left="397" w:hanging="397"/>
            </w:pPr>
            <w:r w:rsidRPr="00A27C50">
              <w:t>Put special resources into investigating further the effects of climate change and increased UV radiation on human health and devise public programs to address these risks, with particular a</w:t>
            </w:r>
            <w:r w:rsidRPr="00A27C50">
              <w:t>t</w:t>
            </w:r>
            <w:r w:rsidRPr="00A27C50">
              <w:t>tention to indigenous p</w:t>
            </w:r>
            <w:r w:rsidRPr="00A27C50">
              <w:t>e</w:t>
            </w:r>
            <w:r w:rsidRPr="00A27C50">
              <w:t>oples;</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Re-evaluate nature conservation policies in light of changes in climate and its ecological cons</w:t>
            </w:r>
            <w:r w:rsidRPr="00A27C50">
              <w:t>e</w:t>
            </w:r>
            <w:r w:rsidRPr="00A27C50">
              <w:t>quences;</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Actively communicate the findings of ACIA within the Arctic region as well as internationally, drawing attention to the poss</w:t>
            </w:r>
            <w:r w:rsidRPr="00A27C50">
              <w:t>i</w:t>
            </w:r>
            <w:r w:rsidRPr="00A27C50">
              <w:t xml:space="preserve">ble far-reaching effects of climate change on </w:t>
            </w:r>
            <w:smartTag w:uri="urn:schemas-microsoft-com:office:smarttags" w:element="place">
              <w:r w:rsidRPr="00A27C50">
                <w:t>Arctic</w:t>
              </w:r>
            </w:smartTag>
            <w:r w:rsidRPr="00A27C50">
              <w:t xml:space="preserve"> and global eco</w:t>
            </w:r>
            <w:r w:rsidRPr="00A27C50">
              <w:softHyphen/>
              <w:t>systems and on the cultural, social and economic well-being of Arctic res</w:t>
            </w:r>
            <w:r w:rsidRPr="00A27C50">
              <w:t>i</w:t>
            </w:r>
            <w:r w:rsidRPr="00A27C50">
              <w:t>dents;</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pPr>
            <w:r w:rsidRPr="00A27C50">
              <w:t>Incorporate materials from the ACIA process into relevant ed</w:t>
            </w:r>
            <w:r w:rsidRPr="00A27C50">
              <w:t>u</w:t>
            </w:r>
            <w:r w:rsidRPr="00A27C50">
              <w:t xml:space="preserve">cation,  research and training programs; </w:t>
            </w:r>
          </w:p>
        </w:tc>
      </w:tr>
      <w:tr w:rsidR="000D6448" w:rsidRPr="00A27C50">
        <w:tblPrEx>
          <w:tblCellMar>
            <w:top w:w="0" w:type="dxa"/>
            <w:bottom w:w="0" w:type="dxa"/>
          </w:tblCellMar>
        </w:tblPrEx>
        <w:tc>
          <w:tcPr>
            <w:tcW w:w="496" w:type="dxa"/>
          </w:tcPr>
          <w:p w:rsidR="000D6448" w:rsidRPr="00A27C50" w:rsidRDefault="000D6448">
            <w:pPr>
              <w:pStyle w:val="Normaltindrag"/>
              <w:ind w:firstLine="0"/>
            </w:pPr>
          </w:p>
        </w:tc>
        <w:tc>
          <w:tcPr>
            <w:tcW w:w="5528" w:type="dxa"/>
          </w:tcPr>
          <w:p w:rsidR="000D6448" w:rsidRPr="00A27C50" w:rsidRDefault="000D6448">
            <w:pPr>
              <w:pStyle w:val="Upprkniiii"/>
              <w:tabs>
                <w:tab w:val="clear" w:pos="720"/>
              </w:tabs>
              <w:ind w:left="397" w:hanging="397"/>
              <w:rPr>
                <w:spacing w:val="-2"/>
              </w:rPr>
            </w:pPr>
            <w:r w:rsidRPr="00A27C50">
              <w:rPr>
                <w:spacing w:val="-2"/>
              </w:rPr>
              <w:t xml:space="preserve">Encourage the University of the </w:t>
            </w:r>
            <w:smartTag w:uri="urn:schemas-microsoft-com:office:smarttags" w:element="place">
              <w:r w:rsidRPr="00A27C50">
                <w:rPr>
                  <w:spacing w:val="-2"/>
                </w:rPr>
                <w:t>Arctic</w:t>
              </w:r>
            </w:smartTag>
            <w:r w:rsidRPr="00A27C50">
              <w:rPr>
                <w:spacing w:val="-2"/>
              </w:rPr>
              <w:t xml:space="preserve"> to develop curricula based on the findings of ACIA, especially in relation to societies and communities that are particularly vulnerable to climate change.</w:t>
            </w:r>
          </w:p>
        </w:tc>
      </w:tr>
      <w:tr w:rsidR="000D6448" w:rsidRPr="00A27C50">
        <w:tblPrEx>
          <w:tblCellMar>
            <w:top w:w="0" w:type="dxa"/>
            <w:bottom w:w="0" w:type="dxa"/>
          </w:tblCellMar>
        </w:tblPrEx>
        <w:tc>
          <w:tcPr>
            <w:tcW w:w="496" w:type="dxa"/>
          </w:tcPr>
          <w:p w:rsidR="000D6448" w:rsidRPr="00A27C50" w:rsidRDefault="000D6448">
            <w:r w:rsidRPr="00A27C50">
              <w:t>24)</w:t>
            </w:r>
          </w:p>
        </w:tc>
        <w:tc>
          <w:tcPr>
            <w:tcW w:w="5528" w:type="dxa"/>
          </w:tcPr>
          <w:p w:rsidR="000D6448" w:rsidRPr="00A27C50" w:rsidRDefault="000D6448">
            <w:r w:rsidRPr="00A27C50">
              <w:t>Ensure that there is a strong Arctic message in national and intern</w:t>
            </w:r>
            <w:r w:rsidRPr="00A27C50">
              <w:t>a</w:t>
            </w:r>
            <w:r w:rsidRPr="00A27C50">
              <w:t xml:space="preserve">tional work on the implementation of the Kyoto Protocol, as well as the results of the World Summit on Sustainable Development which </w:t>
            </w:r>
            <w:r w:rsidRPr="00A27C50">
              <w:br/>
              <w:t xml:space="preserve">include pertinent issues such as water supply, food security and </w:t>
            </w:r>
            <w:r w:rsidRPr="00A27C50">
              <w:br/>
              <w:t>ch</w:t>
            </w:r>
            <w:r w:rsidRPr="00A27C50">
              <w:t>e</w:t>
            </w:r>
            <w:r w:rsidRPr="00A27C50">
              <w:t>micals.</w:t>
            </w:r>
          </w:p>
        </w:tc>
      </w:tr>
      <w:tr w:rsidR="000D6448" w:rsidRPr="00A27C50">
        <w:tblPrEx>
          <w:tblCellMar>
            <w:top w:w="0" w:type="dxa"/>
            <w:bottom w:w="0" w:type="dxa"/>
          </w:tblCellMar>
        </w:tblPrEx>
        <w:tc>
          <w:tcPr>
            <w:tcW w:w="496" w:type="dxa"/>
          </w:tcPr>
          <w:p w:rsidR="000D6448" w:rsidRPr="00A27C50" w:rsidRDefault="000D6448">
            <w:r w:rsidRPr="00A27C50">
              <w:t>25)</w:t>
            </w:r>
          </w:p>
        </w:tc>
        <w:tc>
          <w:tcPr>
            <w:tcW w:w="5528" w:type="dxa"/>
          </w:tcPr>
          <w:p w:rsidR="000D6448" w:rsidRPr="00A27C50" w:rsidRDefault="000D6448">
            <w:r w:rsidRPr="00A27C50">
              <w:t>Give careful consideration to maritime shipping policies and their associated support and regulatory mechanisms, to ensure that they meet present and likely future national needs and international activ</w:t>
            </w:r>
            <w:r w:rsidRPr="00A27C50">
              <w:t>i</w:t>
            </w:r>
            <w:r w:rsidRPr="00A27C50">
              <w:t>ties, and to this effect take the foll</w:t>
            </w:r>
            <w:r w:rsidRPr="00A27C50">
              <w:t>o</w:t>
            </w:r>
            <w:r w:rsidRPr="00A27C50">
              <w:t>wing actions:</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numPr>
                <w:ilvl w:val="0"/>
                <w:numId w:val="18"/>
              </w:numPr>
              <w:ind w:left="397" w:hanging="397"/>
            </w:pPr>
            <w:r w:rsidRPr="00A27C50">
              <w:t>Pursue, in a sustainable way, the opportunities afforded by the fores</w:t>
            </w:r>
            <w:r w:rsidRPr="00A27C50">
              <w:t>e</w:t>
            </w:r>
            <w:r w:rsidRPr="00A27C50">
              <w:t xml:space="preserve">eable opening of new Arctic Sea Routes;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Design policies which reduce and prevent pollution in the Arctic marine environment, conserve Arctic marine biodiversity and e</w:t>
            </w:r>
            <w:r w:rsidRPr="00A27C50">
              <w:t>n</w:t>
            </w:r>
            <w:r w:rsidRPr="00A27C50">
              <w:t>sure the sustainab</w:t>
            </w:r>
            <w:r w:rsidRPr="00A27C50">
              <w:t>i</w:t>
            </w:r>
            <w:r w:rsidRPr="00A27C50">
              <w:t>lity of  Arctic marine resource use;</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Cooperate with the International Maritime Organization to e</w:t>
            </w:r>
            <w:r w:rsidRPr="00A27C50">
              <w:t>n</w:t>
            </w:r>
            <w:r w:rsidRPr="00A27C50">
              <w:t xml:space="preserve">sure that adequate environmental standards are incorporated into the Arctic Shipping Code now under development;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Encourage the development of improved ship technology for use in ice-infested waters and ensure more transparent and accurate information on the quality of  ships in Arctic waters;</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Ensure sufficient resources and capacity for effective and timely response to oil spills and accidents in the marine environment.</w:t>
            </w:r>
          </w:p>
        </w:tc>
      </w:tr>
    </w:tbl>
    <w:p w:rsidR="000D6448" w:rsidRPr="00A27C50" w:rsidRDefault="000D6448"/>
    <w:p w:rsidR="000D6448" w:rsidRPr="00A27C50" w:rsidRDefault="000D6448">
      <w:pPr>
        <w:spacing w:before="0" w:line="20" w:lineRule="exact"/>
      </w:pPr>
      <w:r w:rsidRPr="00A27C50">
        <w:br w:type="page"/>
      </w:r>
    </w:p>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c>
          <w:tcPr>
            <w:tcW w:w="496" w:type="dxa"/>
          </w:tcPr>
          <w:p w:rsidR="000D6448" w:rsidRPr="00A27C50" w:rsidRDefault="000D6448">
            <w:pPr>
              <w:spacing w:before="0"/>
            </w:pPr>
            <w:r w:rsidRPr="00A27C50">
              <w:t>26)</w:t>
            </w:r>
          </w:p>
        </w:tc>
        <w:tc>
          <w:tcPr>
            <w:tcW w:w="5528" w:type="dxa"/>
          </w:tcPr>
          <w:p w:rsidR="000D6448" w:rsidRPr="00A27C50" w:rsidRDefault="000D6448">
            <w:pPr>
              <w:spacing w:before="0"/>
              <w:rPr>
                <w:spacing w:val="-2"/>
              </w:rPr>
            </w:pPr>
            <w:r w:rsidRPr="00A27C50">
              <w:rPr>
                <w:spacing w:val="-2"/>
              </w:rPr>
              <w:t>Follow-up on the findings of the Arctic Human Development Report by:</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numPr>
                <w:ilvl w:val="0"/>
                <w:numId w:val="20"/>
              </w:numPr>
              <w:ind w:left="397" w:hanging="397"/>
            </w:pPr>
            <w:r w:rsidRPr="00A27C50">
              <w:t>Taking concrete action and research initiatives aimed at filling the gaps in knowledge identified in the report, thereby focusing circumpolar research on human development issues for the f</w:t>
            </w:r>
            <w:r w:rsidRPr="00A27C50">
              <w:t>u</w:t>
            </w:r>
            <w:r w:rsidRPr="00A27C50">
              <w:t xml:space="preserve">ture;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Using the findings of the AHDR to provide input into the sha</w:t>
            </w:r>
            <w:r w:rsidRPr="00A27C50">
              <w:t>p</w:t>
            </w:r>
            <w:r w:rsidRPr="00A27C50">
              <w:t>ing and sharpening of the human dimension agenda for the Inte</w:t>
            </w:r>
            <w:r w:rsidRPr="00A27C50">
              <w:t>r</w:t>
            </w:r>
            <w:r w:rsidRPr="00A27C50">
              <w:t xml:space="preserve">national Polar Year;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Communicating the results of the AHDR as educational material for research dissemination projects on the Internet, similar to the Human Dimensions of Arctic Environments (www.thearctic.is), thereby spreading awareness of the cultural diversity of Arctic residents;</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 xml:space="preserve">Periodically assessing the progress made on the issues addressed in the AHDR, with special attention to gender and the needs and opportunities of children and youth;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Working systematically towards filling the gaps of knowledge identified in the report as to the social, cultural and economic well-being of Arctic res</w:t>
            </w:r>
            <w:r w:rsidRPr="00A27C50">
              <w:t>i</w:t>
            </w:r>
            <w:r w:rsidRPr="00A27C50">
              <w:t xml:space="preserve">dents and  their political participation;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tabs>
                <w:tab w:val="clear" w:pos="720"/>
              </w:tabs>
              <w:ind w:left="397" w:hanging="397"/>
            </w:pPr>
            <w:r w:rsidRPr="00A27C50">
              <w:t xml:space="preserve">Encouraging the University of the </w:t>
            </w:r>
            <w:smartTag w:uri="urn:schemas-microsoft-com:office:smarttags" w:element="place">
              <w:r w:rsidRPr="00A27C50">
                <w:t>Arctic</w:t>
              </w:r>
            </w:smartTag>
            <w:r w:rsidRPr="00A27C50">
              <w:t xml:space="preserve"> to develop curricula based on he  findings of the AHDR; </w:t>
            </w:r>
          </w:p>
        </w:tc>
      </w:tr>
      <w:tr w:rsidR="000D6448" w:rsidRPr="00A27C50">
        <w:tblPrEx>
          <w:tblCellMar>
            <w:top w:w="0" w:type="dxa"/>
            <w:bottom w:w="0" w:type="dxa"/>
          </w:tblCellMar>
        </w:tblPrEx>
        <w:tc>
          <w:tcPr>
            <w:tcW w:w="496" w:type="dxa"/>
          </w:tcPr>
          <w:p w:rsidR="000D6448" w:rsidRPr="00A27C50" w:rsidRDefault="000D6448"/>
        </w:tc>
        <w:tc>
          <w:tcPr>
            <w:tcW w:w="5528" w:type="dxa"/>
          </w:tcPr>
          <w:p w:rsidR="000D6448" w:rsidRPr="00A27C50" w:rsidRDefault="000D6448">
            <w:pPr>
              <w:pStyle w:val="Upprkniiii"/>
              <w:numPr>
                <w:ilvl w:val="0"/>
                <w:numId w:val="16"/>
              </w:numPr>
              <w:tabs>
                <w:tab w:val="clear" w:pos="720"/>
              </w:tabs>
            </w:pPr>
            <w:r w:rsidRPr="00A27C50">
              <w:t xml:space="preserve">Strengthening attention to indigenous interests in relation to economic activities, and in particular in extractive industry, with a view to protecting the rights to self-determination, land rights and cultural rights of indigenous peoples of the </w:t>
            </w:r>
            <w:smartTag w:uri="urn:schemas-microsoft-com:office:smarttags" w:element="place">
              <w:r w:rsidRPr="00A27C50">
                <w:t>Arctic</w:t>
              </w:r>
            </w:smartTag>
            <w:r w:rsidRPr="00A27C50">
              <w:t>.</w:t>
            </w:r>
          </w:p>
        </w:tc>
      </w:tr>
      <w:tr w:rsidR="000D6448" w:rsidRPr="00A27C50">
        <w:tblPrEx>
          <w:tblCellMar>
            <w:top w:w="0" w:type="dxa"/>
            <w:bottom w:w="0" w:type="dxa"/>
          </w:tblCellMar>
        </w:tblPrEx>
        <w:tc>
          <w:tcPr>
            <w:tcW w:w="496" w:type="dxa"/>
          </w:tcPr>
          <w:p w:rsidR="000D6448" w:rsidRPr="00A27C50" w:rsidRDefault="000D6448">
            <w:r w:rsidRPr="00A27C50">
              <w:t>27)</w:t>
            </w:r>
          </w:p>
        </w:tc>
        <w:tc>
          <w:tcPr>
            <w:tcW w:w="5528" w:type="dxa"/>
          </w:tcPr>
          <w:p w:rsidR="000D6448" w:rsidRPr="00A27C50" w:rsidRDefault="000D6448">
            <w:r w:rsidRPr="00A27C50">
              <w:t>Encourage the Arctic Council to be a leader in the development of agendas for national and international activities related to sustainable development, climate change, health, health risks, gender, children’s rights, demographic and educational issues in the Arctic, which are interrelated and at the heart of the challenges facing Arctic regions;</w:t>
            </w:r>
          </w:p>
        </w:tc>
      </w:tr>
      <w:tr w:rsidR="000D6448" w:rsidRPr="00A27C50">
        <w:tblPrEx>
          <w:tblCellMar>
            <w:top w:w="0" w:type="dxa"/>
            <w:bottom w:w="0" w:type="dxa"/>
          </w:tblCellMar>
        </w:tblPrEx>
        <w:tc>
          <w:tcPr>
            <w:tcW w:w="496" w:type="dxa"/>
          </w:tcPr>
          <w:p w:rsidR="000D6448" w:rsidRPr="00A27C50" w:rsidRDefault="000D6448">
            <w:r w:rsidRPr="00A27C50">
              <w:t>28)</w:t>
            </w:r>
          </w:p>
        </w:tc>
        <w:tc>
          <w:tcPr>
            <w:tcW w:w="5528" w:type="dxa"/>
          </w:tcPr>
          <w:p w:rsidR="000D6448" w:rsidRPr="00A27C50" w:rsidRDefault="000D6448">
            <w:r w:rsidRPr="00A27C50">
              <w:t>Ensure the participation of indigenous peoples in all levels of scie</w:t>
            </w:r>
            <w:r w:rsidRPr="00A27C50">
              <w:t>n</w:t>
            </w:r>
            <w:r w:rsidRPr="00A27C50">
              <w:t>tific research and decision-making processes within the Arctic Cou</w:t>
            </w:r>
            <w:r w:rsidRPr="00A27C50">
              <w:t>n</w:t>
            </w:r>
            <w:r w:rsidRPr="00A27C50">
              <w:t>cil;</w:t>
            </w:r>
          </w:p>
        </w:tc>
      </w:tr>
      <w:tr w:rsidR="000D6448" w:rsidRPr="00A27C50">
        <w:tblPrEx>
          <w:tblCellMar>
            <w:top w:w="0" w:type="dxa"/>
            <w:bottom w:w="0" w:type="dxa"/>
          </w:tblCellMar>
        </w:tblPrEx>
        <w:tc>
          <w:tcPr>
            <w:tcW w:w="496" w:type="dxa"/>
          </w:tcPr>
          <w:p w:rsidR="000D6448" w:rsidRPr="00A27C50" w:rsidRDefault="000D6448">
            <w:r w:rsidRPr="00A27C50">
              <w:t>29)</w:t>
            </w:r>
          </w:p>
        </w:tc>
        <w:tc>
          <w:tcPr>
            <w:tcW w:w="5528" w:type="dxa"/>
          </w:tcPr>
          <w:p w:rsidR="000D6448" w:rsidRPr="00A27C50" w:rsidRDefault="000D6448">
            <w:r w:rsidRPr="00A27C50">
              <w:t>Strengthen further the co-operation and interaction between the Arctic Council and the EU, based on the Action Plan for the period 2004–2006 for the Northern Dimension policy of the EU, in which the Ar</w:t>
            </w:r>
            <w:r w:rsidRPr="00A27C50">
              <w:t>c</w:t>
            </w:r>
            <w:r w:rsidRPr="00A27C50">
              <w:t>tic has a more visible role than before;</w:t>
            </w:r>
          </w:p>
        </w:tc>
      </w:tr>
      <w:tr w:rsidR="000D6448" w:rsidRPr="00A27C50">
        <w:tblPrEx>
          <w:tblCellMar>
            <w:top w:w="0" w:type="dxa"/>
            <w:bottom w:w="0" w:type="dxa"/>
          </w:tblCellMar>
        </w:tblPrEx>
        <w:tc>
          <w:tcPr>
            <w:tcW w:w="496" w:type="dxa"/>
          </w:tcPr>
          <w:p w:rsidR="000D6448" w:rsidRPr="00A27C50" w:rsidRDefault="000D6448">
            <w:r w:rsidRPr="00A27C50">
              <w:t>30)</w:t>
            </w:r>
          </w:p>
        </w:tc>
        <w:tc>
          <w:tcPr>
            <w:tcW w:w="5528" w:type="dxa"/>
          </w:tcPr>
          <w:p w:rsidR="000D6448" w:rsidRPr="00A27C50" w:rsidRDefault="000D6448">
            <w:r w:rsidRPr="00A27C50">
              <w:t xml:space="preserve">Support the steps needed to enable the set-up of an Arctic Council </w:t>
            </w:r>
            <w:r w:rsidRPr="00A27C50">
              <w:rPr>
                <w:spacing w:val="-2"/>
              </w:rPr>
              <w:t>Project Support Fund or similar mechanism which will ensure that financial resources are mobilized for project preparation and impleme</w:t>
            </w:r>
            <w:r w:rsidRPr="00A27C50">
              <w:rPr>
                <w:spacing w:val="-2"/>
              </w:rPr>
              <w:t>n</w:t>
            </w:r>
            <w:r w:rsidRPr="00A27C50">
              <w:rPr>
                <w:spacing w:val="-2"/>
              </w:rPr>
              <w:t>tation within the Arctic Council in a more timely and effective way;</w:t>
            </w:r>
          </w:p>
        </w:tc>
      </w:tr>
    </w:tbl>
    <w:p w:rsidR="000D6448" w:rsidRPr="00A27C50" w:rsidRDefault="000D6448"/>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c>
          <w:tcPr>
            <w:tcW w:w="496" w:type="dxa"/>
          </w:tcPr>
          <w:p w:rsidR="000D6448" w:rsidRPr="00A27C50" w:rsidRDefault="000D6448">
            <w:pPr>
              <w:spacing w:before="0"/>
            </w:pPr>
            <w:r w:rsidRPr="00A27C50">
              <w:t>31)</w:t>
            </w:r>
          </w:p>
        </w:tc>
        <w:tc>
          <w:tcPr>
            <w:tcW w:w="5528" w:type="dxa"/>
          </w:tcPr>
          <w:p w:rsidR="000D6448" w:rsidRPr="00A27C50" w:rsidRDefault="000D6448">
            <w:pPr>
              <w:spacing w:before="0"/>
            </w:pPr>
            <w:r w:rsidRPr="00A27C50">
              <w:t xml:space="preserve">Ensure that core funding of the University of the </w:t>
            </w:r>
            <w:smartTag w:uri="urn:schemas-microsoft-com:office:smarttags" w:element="place">
              <w:r w:rsidRPr="00A27C50">
                <w:t>Arctic</w:t>
              </w:r>
            </w:smartTag>
            <w:r w:rsidRPr="00A27C50">
              <w:t xml:space="preserve"> is raised to an adequate and stable level;</w:t>
            </w:r>
          </w:p>
        </w:tc>
      </w:tr>
      <w:tr w:rsidR="000D6448" w:rsidRPr="00A27C50">
        <w:tblPrEx>
          <w:tblCellMar>
            <w:top w:w="0" w:type="dxa"/>
            <w:bottom w:w="0" w:type="dxa"/>
          </w:tblCellMar>
        </w:tblPrEx>
        <w:tc>
          <w:tcPr>
            <w:tcW w:w="496" w:type="dxa"/>
          </w:tcPr>
          <w:p w:rsidR="000D6448" w:rsidRPr="00A27C50" w:rsidRDefault="000D6448">
            <w:r w:rsidRPr="00A27C50">
              <w:t>32)</w:t>
            </w:r>
          </w:p>
        </w:tc>
        <w:tc>
          <w:tcPr>
            <w:tcW w:w="5528" w:type="dxa"/>
          </w:tcPr>
          <w:p w:rsidR="000D6448" w:rsidRPr="00A27C50" w:rsidRDefault="000D6448">
            <w:r w:rsidRPr="00A27C50">
              <w:t>Take an active part in the planning of the International Polar Year 2007–2008, supporting the creation and funding of National Commi</w:t>
            </w:r>
            <w:r w:rsidRPr="00A27C50">
              <w:t>t</w:t>
            </w:r>
            <w:r w:rsidRPr="00A27C50">
              <w:t>tees and the co-ordination by the International Council for Science, and encouraging the full inclusion of the social, cultural and economic dimension of the Arctic, including the traditional knowledge of nort</w:t>
            </w:r>
            <w:r w:rsidRPr="00A27C50">
              <w:t>h</w:t>
            </w:r>
            <w:r w:rsidRPr="00A27C50">
              <w:t>ern indigenous societies;</w:t>
            </w:r>
          </w:p>
        </w:tc>
      </w:tr>
      <w:tr w:rsidR="000D6448" w:rsidRPr="00A27C50">
        <w:tblPrEx>
          <w:tblCellMar>
            <w:top w:w="0" w:type="dxa"/>
            <w:bottom w:w="0" w:type="dxa"/>
          </w:tblCellMar>
        </w:tblPrEx>
        <w:tc>
          <w:tcPr>
            <w:tcW w:w="496" w:type="dxa"/>
          </w:tcPr>
          <w:p w:rsidR="000D6448" w:rsidRPr="00A27C50" w:rsidRDefault="000D6448">
            <w:r w:rsidRPr="00A27C50">
              <w:t>33)</w:t>
            </w:r>
          </w:p>
        </w:tc>
        <w:tc>
          <w:tcPr>
            <w:tcW w:w="5528" w:type="dxa"/>
          </w:tcPr>
          <w:p w:rsidR="000D6448" w:rsidRPr="00A27C50" w:rsidRDefault="000D6448">
            <w:r w:rsidRPr="00A27C50">
              <w:t>Encourage Arctic Council member states to strengthen and make more sustainable Arctic tourism, by adopting policies and regulations that support local ecotourism initiatives and tourist-related industries, ensuring that the activities are environmentally sound, acceptable to and protective of local cultures and values, and that they lead to pr</w:t>
            </w:r>
            <w:r w:rsidRPr="00A27C50">
              <w:t>o</w:t>
            </w:r>
            <w:r w:rsidRPr="00A27C50">
              <w:t>tection and long-term management of Arctic wildlife and historical resources. This would be assisted by encouraging and helping in the preparation of information and educational materials suitable for tou</w:t>
            </w:r>
            <w:r w:rsidRPr="00A27C50">
              <w:t>r</w:t>
            </w:r>
            <w:r w:rsidRPr="00A27C50">
              <w:t>ism in each particular region, and by assisting in the international communication and accounting that is essential to modem tourism. The development of an internationally approved standard for env</w:t>
            </w:r>
            <w:r w:rsidRPr="00A27C50">
              <w:t>i</w:t>
            </w:r>
            <w:r w:rsidRPr="00A27C50">
              <w:t>ronmentally sustainable Arctic tourist operators may be considered.</w:t>
            </w:r>
          </w:p>
        </w:tc>
      </w:tr>
    </w:tbl>
    <w:p w:rsidR="000D6448" w:rsidRPr="00A27C50" w:rsidRDefault="000D6448">
      <w:pPr>
        <w:pStyle w:val="R3"/>
        <w:ind w:left="340" w:hanging="340"/>
      </w:pPr>
      <w:r w:rsidRPr="00A27C50">
        <w:t>D.</w:t>
      </w:r>
      <w:r w:rsidRPr="00A27C50">
        <w:tab/>
        <w:t>Ask the Standing Committee of Parliamentarians of the Arctic Region to</w:t>
      </w:r>
    </w:p>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c>
          <w:tcPr>
            <w:tcW w:w="496" w:type="dxa"/>
          </w:tcPr>
          <w:p w:rsidR="000D6448" w:rsidRPr="00A27C50" w:rsidRDefault="000D6448">
            <w:r w:rsidRPr="00A27C50">
              <w:t>34)</w:t>
            </w:r>
          </w:p>
        </w:tc>
        <w:tc>
          <w:tcPr>
            <w:tcW w:w="5528" w:type="dxa"/>
          </w:tcPr>
          <w:p w:rsidR="000D6448" w:rsidRPr="00A27C50" w:rsidRDefault="000D6448">
            <w:r w:rsidRPr="00A27C50">
              <w:t>Carry to the governments of the Arctic states a strong message on the importance and seriousness of Arctic climate change and the urgency with which it needs to be addressed;</w:t>
            </w:r>
          </w:p>
        </w:tc>
      </w:tr>
      <w:tr w:rsidR="000D6448" w:rsidRPr="00A27C50">
        <w:tblPrEx>
          <w:tblCellMar>
            <w:top w:w="0" w:type="dxa"/>
            <w:bottom w:w="0" w:type="dxa"/>
          </w:tblCellMar>
        </w:tblPrEx>
        <w:tc>
          <w:tcPr>
            <w:tcW w:w="496" w:type="dxa"/>
          </w:tcPr>
          <w:p w:rsidR="000D6448" w:rsidRPr="00A27C50" w:rsidRDefault="000D6448">
            <w:r w:rsidRPr="00A27C50">
              <w:t>35)</w:t>
            </w:r>
          </w:p>
        </w:tc>
        <w:tc>
          <w:tcPr>
            <w:tcW w:w="5528" w:type="dxa"/>
          </w:tcPr>
          <w:p w:rsidR="000D6448" w:rsidRPr="00A27C50" w:rsidRDefault="000D6448">
            <w:r w:rsidRPr="00A27C50">
              <w:t>Actively participate in the evaluation and periodical follow-up of the Arctic Human Development Report;</w:t>
            </w:r>
          </w:p>
        </w:tc>
      </w:tr>
      <w:tr w:rsidR="000D6448" w:rsidRPr="00A27C50">
        <w:tblPrEx>
          <w:tblCellMar>
            <w:top w:w="0" w:type="dxa"/>
            <w:bottom w:w="0" w:type="dxa"/>
          </w:tblCellMar>
        </w:tblPrEx>
        <w:tc>
          <w:tcPr>
            <w:tcW w:w="496" w:type="dxa"/>
          </w:tcPr>
          <w:p w:rsidR="000D6448" w:rsidRPr="00A27C50" w:rsidRDefault="000D6448">
            <w:r w:rsidRPr="00A27C50">
              <w:t>36)</w:t>
            </w:r>
          </w:p>
        </w:tc>
        <w:tc>
          <w:tcPr>
            <w:tcW w:w="5528" w:type="dxa"/>
          </w:tcPr>
          <w:p w:rsidR="000D6448" w:rsidRPr="00A27C50" w:rsidRDefault="000D6448">
            <w:pPr>
              <w:rPr>
                <w:spacing w:val="-2"/>
              </w:rPr>
            </w:pPr>
            <w:r w:rsidRPr="00A27C50">
              <w:rPr>
                <w:spacing w:val="-2"/>
              </w:rPr>
              <w:t>Take active part in the Arctic Council Information and Communications Network, promoting the inclusion in the Arctic Council activities of an Arctic ICT pilot project, TRAICE (Target Region Arctic Information Communications Enquiry), already introduced to the Arctic Council;</w:t>
            </w:r>
          </w:p>
        </w:tc>
      </w:tr>
      <w:tr w:rsidR="000D6448" w:rsidRPr="00A27C50">
        <w:tblPrEx>
          <w:tblCellMar>
            <w:top w:w="0" w:type="dxa"/>
            <w:bottom w:w="0" w:type="dxa"/>
          </w:tblCellMar>
        </w:tblPrEx>
        <w:tc>
          <w:tcPr>
            <w:tcW w:w="496" w:type="dxa"/>
          </w:tcPr>
          <w:p w:rsidR="000D6448" w:rsidRPr="00A27C50" w:rsidRDefault="000D6448">
            <w:r w:rsidRPr="00A27C50">
              <w:t xml:space="preserve">37)  </w:t>
            </w:r>
          </w:p>
        </w:tc>
        <w:tc>
          <w:tcPr>
            <w:tcW w:w="5528" w:type="dxa"/>
          </w:tcPr>
          <w:p w:rsidR="000D6448" w:rsidRPr="00A27C50" w:rsidRDefault="000D6448">
            <w:r w:rsidRPr="00A27C50">
              <w:t>Request information on the implementation by the relevant authorities in each country of recommendations of the Arctic Council and of the Arctic Climate Impact Assessment, facilitate discussion in parliaments of the implications for the Arctic and for national and international policies and actions of the growing knowledge about Arctic climate change, and in particular encourage the co-ordination of the activities in response to climate change with the activities directed toward social and economic sustainability;</w:t>
            </w:r>
          </w:p>
        </w:tc>
      </w:tr>
      <w:tr w:rsidR="000D6448" w:rsidRPr="00A27C50">
        <w:tblPrEx>
          <w:tblCellMar>
            <w:top w:w="0" w:type="dxa"/>
            <w:bottom w:w="0" w:type="dxa"/>
          </w:tblCellMar>
        </w:tblPrEx>
        <w:tc>
          <w:tcPr>
            <w:tcW w:w="496" w:type="dxa"/>
          </w:tcPr>
          <w:p w:rsidR="000D6448" w:rsidRPr="00A27C50" w:rsidRDefault="000D6448">
            <w:r w:rsidRPr="00A27C50">
              <w:t xml:space="preserve">38)  </w:t>
            </w:r>
          </w:p>
        </w:tc>
        <w:tc>
          <w:tcPr>
            <w:tcW w:w="5528" w:type="dxa"/>
          </w:tcPr>
          <w:p w:rsidR="000D6448" w:rsidRPr="00A27C50" w:rsidRDefault="000D6448">
            <w:r w:rsidRPr="00A27C50">
              <w:t>Ensure that there is adequate and continuous follow-up, in parliaments of Arctic countries, of the implications for the Arctic regions and peoples of the conclusions, recommendations, and agreements from the Johannesburg Summit, and in this regard cooperate closely with the UN Commission on Sustainable Development;</w:t>
            </w:r>
          </w:p>
        </w:tc>
      </w:tr>
      <w:tr w:rsidR="000D6448" w:rsidRPr="00A27C50">
        <w:tblPrEx>
          <w:tblCellMar>
            <w:top w:w="0" w:type="dxa"/>
            <w:bottom w:w="0" w:type="dxa"/>
          </w:tblCellMar>
        </w:tblPrEx>
        <w:tc>
          <w:tcPr>
            <w:tcW w:w="496" w:type="dxa"/>
          </w:tcPr>
          <w:p w:rsidR="000D6448" w:rsidRPr="00A27C50" w:rsidRDefault="000D6448">
            <w:r w:rsidRPr="00A27C50">
              <w:t xml:space="preserve">39) </w:t>
            </w:r>
          </w:p>
        </w:tc>
        <w:tc>
          <w:tcPr>
            <w:tcW w:w="5528" w:type="dxa"/>
          </w:tcPr>
          <w:p w:rsidR="000D6448" w:rsidRPr="00A27C50" w:rsidRDefault="000D6448">
            <w:r w:rsidRPr="00A27C50">
              <w:t xml:space="preserve">Consider possibilities to initiate a process which over time could lead to a binding legal regime for conservation and sustainable use of the </w:t>
            </w:r>
            <w:smartTag w:uri="urn:schemas-microsoft-com:office:smarttags" w:element="place">
              <w:r w:rsidRPr="00A27C50">
                <w:t>Arctic</w:t>
              </w:r>
            </w:smartTag>
            <w:r w:rsidRPr="00A27C50">
              <w:t xml:space="preserve"> and its marine environment;</w:t>
            </w:r>
          </w:p>
        </w:tc>
      </w:tr>
      <w:tr w:rsidR="000D6448" w:rsidRPr="00A27C50">
        <w:tblPrEx>
          <w:tblCellMar>
            <w:top w:w="0" w:type="dxa"/>
            <w:bottom w:w="0" w:type="dxa"/>
          </w:tblCellMar>
        </w:tblPrEx>
        <w:tc>
          <w:tcPr>
            <w:tcW w:w="496" w:type="dxa"/>
          </w:tcPr>
          <w:p w:rsidR="000D6448" w:rsidRPr="00A27C50" w:rsidRDefault="000D6448">
            <w:r w:rsidRPr="00A27C50">
              <w:t xml:space="preserve">40) </w:t>
            </w:r>
          </w:p>
        </w:tc>
        <w:tc>
          <w:tcPr>
            <w:tcW w:w="5528" w:type="dxa"/>
          </w:tcPr>
          <w:p w:rsidR="000D6448" w:rsidRPr="00A27C50" w:rsidRDefault="000D6448">
            <w:r w:rsidRPr="00A27C50">
              <w:t>Consider putting discussion of the global relevance of the Intern</w:t>
            </w:r>
            <w:r w:rsidRPr="00A27C50">
              <w:t>a</w:t>
            </w:r>
            <w:r w:rsidRPr="00A27C50">
              <w:t>tional Polar Year on the agenda of the Eighth Conference of Parli</w:t>
            </w:r>
            <w:r w:rsidRPr="00A27C50">
              <w:t>a</w:t>
            </w:r>
            <w:r w:rsidRPr="00A27C50">
              <w:t>mentarians of the Arctic Region.</w:t>
            </w:r>
          </w:p>
        </w:tc>
      </w:tr>
    </w:tbl>
    <w:p w:rsidR="000D6448" w:rsidRPr="00A27C50" w:rsidRDefault="000D6448">
      <w:pPr>
        <w:pStyle w:val="R3"/>
        <w:ind w:left="340" w:hanging="340"/>
      </w:pPr>
      <w:r w:rsidRPr="00A27C50">
        <w:t>Conference</w:t>
      </w:r>
    </w:p>
    <w:tbl>
      <w:tblPr>
        <w:tblW w:w="0" w:type="auto"/>
        <w:tblLayout w:type="fixed"/>
        <w:tblCellMar>
          <w:left w:w="70" w:type="dxa"/>
          <w:right w:w="70" w:type="dxa"/>
        </w:tblCellMar>
        <w:tblLook w:val="0000" w:firstRow="0" w:lastRow="0" w:firstColumn="0" w:lastColumn="0" w:noHBand="0" w:noVBand="0"/>
      </w:tblPr>
      <w:tblGrid>
        <w:gridCol w:w="496"/>
        <w:gridCol w:w="5528"/>
      </w:tblGrid>
      <w:tr w:rsidR="000D6448" w:rsidRPr="00A27C50">
        <w:tblPrEx>
          <w:tblCellMar>
            <w:top w:w="0" w:type="dxa"/>
            <w:bottom w:w="0" w:type="dxa"/>
          </w:tblCellMar>
        </w:tblPrEx>
        <w:tc>
          <w:tcPr>
            <w:tcW w:w="496" w:type="dxa"/>
          </w:tcPr>
          <w:p w:rsidR="000D6448" w:rsidRPr="00A27C50" w:rsidRDefault="000D6448">
            <w:r w:rsidRPr="00A27C50">
              <w:t xml:space="preserve">41)  </w:t>
            </w:r>
          </w:p>
        </w:tc>
        <w:tc>
          <w:tcPr>
            <w:tcW w:w="5528" w:type="dxa"/>
          </w:tcPr>
          <w:p w:rsidR="000D6448" w:rsidRPr="00A27C50" w:rsidRDefault="000D6448">
            <w:r w:rsidRPr="00A27C50">
              <w:t>Acknowledges the interest and presence of parliamentary observers and representatives from governments and non-government agencies at this Conference, and recognizes their important role in carrying further the messages and supporting the actions herein d</w:t>
            </w:r>
            <w:r w:rsidRPr="00A27C50">
              <w:t>i</w:t>
            </w:r>
            <w:r w:rsidRPr="00A27C50">
              <w:t>scussed;</w:t>
            </w:r>
          </w:p>
        </w:tc>
      </w:tr>
      <w:tr w:rsidR="000D6448" w:rsidRPr="00A27C50">
        <w:tblPrEx>
          <w:tblCellMar>
            <w:top w:w="0" w:type="dxa"/>
            <w:bottom w:w="0" w:type="dxa"/>
          </w:tblCellMar>
        </w:tblPrEx>
        <w:tc>
          <w:tcPr>
            <w:tcW w:w="496" w:type="dxa"/>
          </w:tcPr>
          <w:p w:rsidR="000D6448" w:rsidRPr="00A27C50" w:rsidRDefault="000D6448">
            <w:r w:rsidRPr="00A27C50">
              <w:t xml:space="preserve">42)  </w:t>
            </w:r>
          </w:p>
        </w:tc>
        <w:tc>
          <w:tcPr>
            <w:tcW w:w="5528" w:type="dxa"/>
          </w:tcPr>
          <w:p w:rsidR="000D6448" w:rsidRPr="00A27C50" w:rsidRDefault="000D6448">
            <w:r w:rsidRPr="00A27C50">
              <w:t>Welcomes the forthcoming Russian Chairmanship of the Arctic Cou</w:t>
            </w:r>
            <w:r w:rsidRPr="00A27C50">
              <w:t>n</w:t>
            </w:r>
            <w:r w:rsidRPr="00A27C50">
              <w:t>cil and looks forward to continued co-operation with the Arctic Cou</w:t>
            </w:r>
            <w:r w:rsidRPr="00A27C50">
              <w:t>n</w:t>
            </w:r>
            <w:r w:rsidRPr="00A27C50">
              <w:t>cil in 2004–2006;</w:t>
            </w:r>
          </w:p>
        </w:tc>
      </w:tr>
      <w:tr w:rsidR="000D6448" w:rsidRPr="00A27C50">
        <w:tblPrEx>
          <w:tblCellMar>
            <w:top w:w="0" w:type="dxa"/>
            <w:bottom w:w="0" w:type="dxa"/>
          </w:tblCellMar>
        </w:tblPrEx>
        <w:tc>
          <w:tcPr>
            <w:tcW w:w="496" w:type="dxa"/>
          </w:tcPr>
          <w:p w:rsidR="000D6448" w:rsidRPr="00A27C50" w:rsidRDefault="000D6448">
            <w:r w:rsidRPr="00A27C50">
              <w:t xml:space="preserve">43)  </w:t>
            </w:r>
          </w:p>
        </w:tc>
        <w:tc>
          <w:tcPr>
            <w:tcW w:w="5528" w:type="dxa"/>
          </w:tcPr>
          <w:p w:rsidR="000D6448" w:rsidRPr="00A27C50" w:rsidRDefault="000D6448">
            <w:r w:rsidRPr="00A27C50">
              <w:t xml:space="preserve">Welcomes and accepts the kind invitation of </w:t>
            </w:r>
            <w:smartTag w:uri="urn:schemas-microsoft-com:office:smarttags" w:element="place">
              <w:smartTag w:uri="urn:schemas-microsoft-com:office:smarttags" w:element="country-region">
                <w:r w:rsidRPr="00A27C50">
                  <w:t>Sweden</w:t>
                </w:r>
              </w:smartTag>
            </w:smartTag>
            <w:r w:rsidRPr="00A27C50">
              <w:t xml:space="preserve"> to host the Se</w:t>
            </w:r>
            <w:r w:rsidRPr="00A27C50">
              <w:t>v</w:t>
            </w:r>
            <w:r w:rsidRPr="00A27C50">
              <w:t>enth Conference in 2006.</w:t>
            </w:r>
          </w:p>
        </w:tc>
      </w:tr>
    </w:tbl>
    <w:p w:rsidR="000D6448" w:rsidRPr="00A27C50" w:rsidRDefault="000D6448">
      <w:pPr>
        <w:pStyle w:val="Rubrik1"/>
        <w:rPr>
          <w:noProof w:val="0"/>
        </w:rPr>
      </w:pPr>
    </w:p>
    <w:p w:rsidR="000D6448" w:rsidRPr="00A27C50" w:rsidRDefault="000D6448"/>
    <w:p w:rsidR="000D6448" w:rsidRPr="00A27C50" w:rsidRDefault="000D6448">
      <w:pPr>
        <w:pStyle w:val="Tryckort"/>
        <w:framePr w:wrap="around"/>
        <w:jc w:val="right"/>
      </w:pPr>
      <w:r w:rsidRPr="00A27C50">
        <w:t>Elanders Gotab, Stockholm  2005</w:t>
      </w:r>
    </w:p>
    <w:p w:rsidR="000D6448" w:rsidRPr="00A27C50" w:rsidRDefault="000D6448">
      <w:pPr>
        <w:pStyle w:val="Normaltindrag"/>
      </w:pPr>
    </w:p>
    <w:sectPr w:rsidR="000D6448" w:rsidRPr="00A27C50">
      <w:headerReference w:type="even" r:id="rId104"/>
      <w:headerReference w:type="default" r:id="rId105"/>
      <w:footerReference w:type="even" r:id="rId106"/>
      <w:footerReference w:type="default" r:id="rId107"/>
      <w:headerReference w:type="first" r:id="rId108"/>
      <w:footerReference w:type="first" r:id="rId109"/>
      <w:pgSz w:w="11906" w:h="16838"/>
      <w:pgMar w:top="907" w:right="4649" w:bottom="4508" w:left="1304" w:header="340" w:footer="22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BEC" w:rsidRPr="00A27C50" w:rsidRDefault="00F34BEC">
      <w:r w:rsidRPr="00A27C50">
        <w:separator/>
      </w:r>
    </w:p>
  </w:endnote>
  <w:endnote w:type="continuationSeparator" w:id="0">
    <w:p w:rsidR="00F34BEC" w:rsidRPr="00A27C50" w:rsidRDefault="00F34BEC">
      <w:r w:rsidRPr="00A27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2</w:t>
    </w:r>
    <w:r w:rsidRPr="00A27C50">
      <w:fldChar w:fldCharType="end"/>
    </w:r>
  </w:p>
  <w:p w:rsidR="008F5C5F" w:rsidRPr="00A27C50" w:rsidRDefault="008F5C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8</w:t>
    </w:r>
    <w:r w:rsidRPr="00A27C50">
      <w:fldChar w:fldCharType="end"/>
    </w:r>
  </w:p>
  <w:p w:rsidR="008F5C5F" w:rsidRPr="00A27C50" w:rsidRDefault="008F5C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7</w:t>
    </w:r>
    <w:r w:rsidRPr="00A27C50">
      <w:fldChar w:fldCharType="end"/>
    </w:r>
  </w:p>
  <w:p w:rsidR="008F5C5F" w:rsidRPr="00A27C50" w:rsidRDefault="008F5C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6</w:instrText>
    </w:r>
    <w:r w:rsidRPr="00A27C50">
      <w:fldChar w:fldCharType="end"/>
    </w:r>
    <w:r w:rsidRPr="00A27C50">
      <w:instrText xml:space="preserve">/2 </w:instrText>
    </w:r>
    <w:r w:rsidRPr="00A27C50">
      <w:fldChar w:fldCharType="separate"/>
    </w:r>
    <w:r w:rsidR="00430095" w:rsidRPr="00A27C50">
      <w:instrText>3</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6</w:instrText>
    </w:r>
    <w:r w:rsidRPr="00A27C50">
      <w:fldChar w:fldCharType="end"/>
    </w:r>
    <w:r w:rsidRPr="00A27C50">
      <w:instrText xml:space="preserve">/2) </w:instrText>
    </w:r>
    <w:r w:rsidRPr="00A27C50">
      <w:fldChar w:fldCharType="separate"/>
    </w:r>
    <w:r w:rsidR="00430095" w:rsidRPr="00A27C50">
      <w:instrText>3</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6</w:instrText>
    </w:r>
    <w:r w:rsidRPr="00A27C50">
      <w:fldChar w:fldCharType="end"/>
    </w:r>
  </w:p>
  <w:p w:rsidR="00430095" w:rsidRPr="00A27C50" w:rsidRDefault="008F5C5F">
    <w:pPr>
      <w:pStyle w:val="SidfotV"/>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7</w:instrText>
    </w:r>
    <w:r w:rsidRPr="00A27C50">
      <w:fldChar w:fldCharType="end"/>
    </w:r>
    <w:r w:rsidRPr="00A27C50">
      <w:instrText>"</w:instrText>
    </w:r>
    <w:r w:rsidR="00430095" w:rsidRPr="00A27C50">
      <w:fldChar w:fldCharType="separate"/>
    </w:r>
    <w:r w:rsidR="00430095" w:rsidRPr="00A27C50">
      <w:t>6</w:t>
    </w:r>
  </w:p>
  <w:p w:rsidR="008F5C5F" w:rsidRPr="00A27C50" w:rsidRDefault="008F5C5F">
    <w:pPr>
      <w:pStyle w:val="SidfotH"/>
      <w:framePr w:w="8957" w:h="283" w:hRule="exact" w:hSpace="0" w:vSpace="0" w:wrap="around" w:xAlign="inside" w:y="13040" w:anchorLock="0"/>
    </w:pPr>
    <w:r w:rsidRPr="00A27C50">
      <w:fldChar w:fldCharType="end"/>
    </w:r>
  </w:p>
  <w:p w:rsidR="008F5C5F" w:rsidRPr="00A27C50" w:rsidRDefault="008F5C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10</w:t>
    </w:r>
    <w:r w:rsidRPr="00A27C50">
      <w:fldChar w:fldCharType="end"/>
    </w:r>
  </w:p>
  <w:p w:rsidR="008F5C5F" w:rsidRPr="00A27C50" w:rsidRDefault="008F5C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11</w:t>
    </w:r>
    <w:r w:rsidRPr="00A27C50">
      <w:fldChar w:fldCharType="end"/>
    </w:r>
  </w:p>
  <w:p w:rsidR="008F5C5F" w:rsidRPr="00A27C50" w:rsidRDefault="008F5C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9</w:instrText>
    </w:r>
    <w:r w:rsidRPr="00A27C50">
      <w:fldChar w:fldCharType="end"/>
    </w:r>
    <w:r w:rsidRPr="00A27C50">
      <w:instrText xml:space="preserve">/2 </w:instrText>
    </w:r>
    <w:r w:rsidRPr="00A27C50">
      <w:fldChar w:fldCharType="separate"/>
    </w:r>
    <w:r w:rsidR="00430095" w:rsidRPr="00A27C50">
      <w:instrText>4,5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9</w:instrText>
    </w:r>
    <w:r w:rsidRPr="00A27C50">
      <w:fldChar w:fldCharType="end"/>
    </w:r>
    <w:r w:rsidRPr="00A27C50">
      <w:instrText xml:space="preserve">/2) </w:instrText>
    </w:r>
    <w:r w:rsidRPr="00A27C50">
      <w:fldChar w:fldCharType="separate"/>
    </w:r>
    <w:r w:rsidR="00430095" w:rsidRPr="00A27C50">
      <w:instrText>4</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10</w:instrText>
    </w:r>
    <w:r w:rsidRPr="00A27C50">
      <w:fldChar w:fldCharType="end"/>
    </w:r>
  </w:p>
  <w:p w:rsidR="008F5C5F" w:rsidRPr="00A27C50" w:rsidRDefault="008F5C5F">
    <w:pPr>
      <w:pStyle w:val="SidfotH"/>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9</w:instrText>
    </w:r>
    <w:r w:rsidRPr="00A27C50">
      <w:fldChar w:fldCharType="end"/>
    </w:r>
    <w:r w:rsidRPr="00A27C50">
      <w:instrText>"</w:instrText>
    </w:r>
    <w:r w:rsidR="00430095" w:rsidRPr="00A27C50">
      <w:fldChar w:fldCharType="separate"/>
    </w:r>
    <w:r w:rsidR="00430095" w:rsidRPr="00A27C50">
      <w:t>9</w:t>
    </w:r>
    <w:r w:rsidRPr="00A27C50">
      <w:fldChar w:fldCharType="end"/>
    </w:r>
  </w:p>
  <w:p w:rsidR="008F5C5F" w:rsidRPr="00A27C50" w:rsidRDefault="008F5C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14</w:t>
    </w:r>
    <w:r w:rsidRPr="00A27C50">
      <w:fldChar w:fldCharType="end"/>
    </w:r>
  </w:p>
  <w:p w:rsidR="008F5C5F" w:rsidRPr="00A27C50" w:rsidRDefault="008F5C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15</w:t>
    </w:r>
    <w:r w:rsidRPr="00A27C50">
      <w:fldChar w:fldCharType="end"/>
    </w:r>
  </w:p>
  <w:p w:rsidR="008F5C5F" w:rsidRPr="00A27C50" w:rsidRDefault="008F5C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12</w:instrText>
    </w:r>
    <w:r w:rsidRPr="00A27C50">
      <w:fldChar w:fldCharType="end"/>
    </w:r>
    <w:r w:rsidRPr="00A27C50">
      <w:instrText xml:space="preserve">/2 </w:instrText>
    </w:r>
    <w:r w:rsidRPr="00A27C50">
      <w:fldChar w:fldCharType="separate"/>
    </w:r>
    <w:r w:rsidR="00430095" w:rsidRPr="00A27C50">
      <w:instrText>6</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12</w:instrText>
    </w:r>
    <w:r w:rsidRPr="00A27C50">
      <w:fldChar w:fldCharType="end"/>
    </w:r>
    <w:r w:rsidRPr="00A27C50">
      <w:instrText xml:space="preserve">/2) </w:instrText>
    </w:r>
    <w:r w:rsidRPr="00A27C50">
      <w:fldChar w:fldCharType="separate"/>
    </w:r>
    <w:r w:rsidR="00430095" w:rsidRPr="00A27C50">
      <w:instrText>6</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12</w:instrText>
    </w:r>
    <w:r w:rsidRPr="00A27C50">
      <w:fldChar w:fldCharType="end"/>
    </w:r>
  </w:p>
  <w:p w:rsidR="00430095" w:rsidRPr="00A27C50" w:rsidRDefault="008F5C5F">
    <w:pPr>
      <w:pStyle w:val="SidfotV"/>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11</w:instrText>
    </w:r>
    <w:r w:rsidRPr="00A27C50">
      <w:fldChar w:fldCharType="end"/>
    </w:r>
    <w:r w:rsidRPr="00A27C50">
      <w:instrText>"</w:instrText>
    </w:r>
    <w:r w:rsidR="00430095" w:rsidRPr="00A27C50">
      <w:fldChar w:fldCharType="separate"/>
    </w:r>
    <w:r w:rsidR="00430095" w:rsidRPr="00A27C50">
      <w:t>12</w:t>
    </w:r>
  </w:p>
  <w:p w:rsidR="008F5C5F" w:rsidRPr="00A27C50" w:rsidRDefault="008F5C5F">
    <w:pPr>
      <w:pStyle w:val="SidfotH"/>
      <w:framePr w:w="8957" w:h="283" w:hRule="exact" w:hSpace="0" w:vSpace="0" w:wrap="around" w:xAlign="inside" w:y="13040" w:anchorLock="0"/>
    </w:pPr>
    <w:r w:rsidRPr="00A27C50">
      <w:fldChar w:fldCharType="end"/>
    </w:r>
  </w:p>
  <w:p w:rsidR="008F5C5F" w:rsidRPr="00A27C50" w:rsidRDefault="008F5C5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18</w:t>
    </w:r>
    <w:r w:rsidRPr="00A27C50">
      <w:fldChar w:fldCharType="end"/>
    </w:r>
  </w:p>
  <w:p w:rsidR="008F5C5F" w:rsidRPr="00A27C50" w:rsidRDefault="008F5C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w:t>
    </w:r>
    <w:r w:rsidRPr="00A27C50">
      <w:fldChar w:fldCharType="end"/>
    </w:r>
  </w:p>
  <w:p w:rsidR="008F5C5F" w:rsidRPr="00A27C50" w:rsidRDefault="008F5C5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17</w:t>
    </w:r>
    <w:r w:rsidRPr="00A27C50">
      <w:fldChar w:fldCharType="end"/>
    </w:r>
  </w:p>
  <w:p w:rsidR="008F5C5F" w:rsidRPr="00A27C50" w:rsidRDefault="008F5C5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16</w:instrText>
    </w:r>
    <w:r w:rsidRPr="00A27C50">
      <w:fldChar w:fldCharType="end"/>
    </w:r>
    <w:r w:rsidRPr="00A27C50">
      <w:instrText xml:space="preserve">/2 </w:instrText>
    </w:r>
    <w:r w:rsidRPr="00A27C50">
      <w:fldChar w:fldCharType="separate"/>
    </w:r>
    <w:r w:rsidR="00430095" w:rsidRPr="00A27C50">
      <w:instrText>8</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16</w:instrText>
    </w:r>
    <w:r w:rsidRPr="00A27C50">
      <w:fldChar w:fldCharType="end"/>
    </w:r>
    <w:r w:rsidRPr="00A27C50">
      <w:instrText xml:space="preserve">/2) </w:instrText>
    </w:r>
    <w:r w:rsidRPr="00A27C50">
      <w:fldChar w:fldCharType="separate"/>
    </w:r>
    <w:r w:rsidR="00430095" w:rsidRPr="00A27C50">
      <w:instrText>8</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16</w:instrText>
    </w:r>
    <w:r w:rsidRPr="00A27C50">
      <w:fldChar w:fldCharType="end"/>
    </w:r>
  </w:p>
  <w:p w:rsidR="00430095" w:rsidRPr="00A27C50" w:rsidRDefault="008F5C5F">
    <w:pPr>
      <w:pStyle w:val="SidfotV"/>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15</w:instrText>
    </w:r>
    <w:r w:rsidRPr="00A27C50">
      <w:fldChar w:fldCharType="end"/>
    </w:r>
    <w:r w:rsidRPr="00A27C50">
      <w:instrText>"</w:instrText>
    </w:r>
    <w:r w:rsidR="00430095" w:rsidRPr="00A27C50">
      <w:fldChar w:fldCharType="separate"/>
    </w:r>
    <w:r w:rsidR="00430095" w:rsidRPr="00A27C50">
      <w:t>16</w:t>
    </w:r>
  </w:p>
  <w:p w:rsidR="008F5C5F" w:rsidRPr="00A27C50" w:rsidRDefault="008F5C5F">
    <w:pPr>
      <w:pStyle w:val="SidfotH"/>
      <w:framePr w:w="8957" w:h="283" w:hRule="exact" w:hSpace="0" w:vSpace="0" w:wrap="around" w:xAlign="inside" w:y="13040" w:anchorLock="0"/>
    </w:pPr>
    <w:r w:rsidRPr="00A27C50">
      <w:fldChar w:fldCharType="end"/>
    </w:r>
  </w:p>
  <w:p w:rsidR="008F5C5F" w:rsidRPr="00A27C50" w:rsidRDefault="008F5C5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20</w:t>
    </w:r>
    <w:r w:rsidRPr="00A27C50">
      <w:fldChar w:fldCharType="end"/>
    </w:r>
  </w:p>
  <w:p w:rsidR="008F5C5F" w:rsidRPr="00A27C50" w:rsidRDefault="008F5C5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19</w:t>
    </w:r>
    <w:r w:rsidRPr="00A27C50">
      <w:fldChar w:fldCharType="end"/>
    </w:r>
  </w:p>
  <w:p w:rsidR="008F5C5F" w:rsidRPr="00A27C50" w:rsidRDefault="008F5C5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19</w:instrText>
    </w:r>
    <w:r w:rsidRPr="00A27C50">
      <w:fldChar w:fldCharType="end"/>
    </w:r>
    <w:r w:rsidRPr="00A27C50">
      <w:instrText xml:space="preserve">/2 </w:instrText>
    </w:r>
    <w:r w:rsidRPr="00A27C50">
      <w:fldChar w:fldCharType="separate"/>
    </w:r>
    <w:r w:rsidR="00430095" w:rsidRPr="00A27C50">
      <w:instrText>9,5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19</w:instrText>
    </w:r>
    <w:r w:rsidRPr="00A27C50">
      <w:fldChar w:fldCharType="end"/>
    </w:r>
    <w:r w:rsidRPr="00A27C50">
      <w:instrText xml:space="preserve">/2) </w:instrText>
    </w:r>
    <w:r w:rsidRPr="00A27C50">
      <w:fldChar w:fldCharType="separate"/>
    </w:r>
    <w:r w:rsidR="00430095" w:rsidRPr="00A27C50">
      <w:instrText>9</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18</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19</w:instrText>
    </w:r>
    <w:r w:rsidRPr="00A27C50">
      <w:fldChar w:fldCharType="end"/>
    </w:r>
    <w:r w:rsidRPr="00A27C50">
      <w:instrText>"</w:instrText>
    </w:r>
    <w:r w:rsidR="00430095" w:rsidRPr="00A27C50">
      <w:fldChar w:fldCharType="separate"/>
    </w:r>
    <w:r w:rsidR="00430095" w:rsidRPr="00A27C50">
      <w:t>19</w:t>
    </w:r>
    <w:r w:rsidRPr="00A27C50">
      <w:fldChar w:fldCharType="end"/>
    </w:r>
  </w:p>
  <w:p w:rsidR="008F5C5F" w:rsidRPr="00A27C50" w:rsidRDefault="008F5C5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24</w:t>
    </w:r>
    <w:r w:rsidRPr="00A27C50">
      <w:fldChar w:fldCharType="end"/>
    </w:r>
  </w:p>
  <w:p w:rsidR="008F5C5F" w:rsidRPr="00A27C50" w:rsidRDefault="008F5C5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23</w:t>
    </w:r>
    <w:r w:rsidRPr="00A27C50">
      <w:fldChar w:fldCharType="end"/>
    </w:r>
  </w:p>
  <w:p w:rsidR="008F5C5F" w:rsidRPr="00A27C50" w:rsidRDefault="008F5C5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20</w:instrText>
    </w:r>
    <w:r w:rsidRPr="00A27C50">
      <w:fldChar w:fldCharType="end"/>
    </w:r>
    <w:r w:rsidRPr="00A27C50">
      <w:instrText xml:space="preserve">/2 </w:instrText>
    </w:r>
    <w:r w:rsidRPr="00A27C50">
      <w:fldChar w:fldCharType="separate"/>
    </w:r>
    <w:r w:rsidR="00430095" w:rsidRPr="00A27C50">
      <w:instrText>10</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20</w:instrText>
    </w:r>
    <w:r w:rsidRPr="00A27C50">
      <w:fldChar w:fldCharType="end"/>
    </w:r>
    <w:r w:rsidRPr="00A27C50">
      <w:instrText xml:space="preserve">/2) </w:instrText>
    </w:r>
    <w:r w:rsidRPr="00A27C50">
      <w:fldChar w:fldCharType="separate"/>
    </w:r>
    <w:r w:rsidR="00430095" w:rsidRPr="00A27C50">
      <w:instrText>10</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20</w:instrText>
    </w:r>
    <w:r w:rsidRPr="00A27C50">
      <w:fldChar w:fldCharType="end"/>
    </w:r>
  </w:p>
  <w:p w:rsidR="00430095" w:rsidRPr="00A27C50" w:rsidRDefault="008F5C5F">
    <w:pPr>
      <w:pStyle w:val="SidfotV"/>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19</w:instrText>
    </w:r>
    <w:r w:rsidRPr="00A27C50">
      <w:fldChar w:fldCharType="end"/>
    </w:r>
    <w:r w:rsidRPr="00A27C50">
      <w:instrText>"</w:instrText>
    </w:r>
    <w:r w:rsidR="00430095" w:rsidRPr="00A27C50">
      <w:fldChar w:fldCharType="separate"/>
    </w:r>
    <w:r w:rsidR="00430095" w:rsidRPr="00A27C50">
      <w:t>20</w:t>
    </w:r>
  </w:p>
  <w:p w:rsidR="008F5C5F" w:rsidRPr="00A27C50" w:rsidRDefault="008F5C5F">
    <w:pPr>
      <w:pStyle w:val="SidfotH"/>
      <w:framePr w:w="8732" w:h="284" w:hRule="exact" w:hSpace="0" w:vSpace="0" w:wrap="around" w:xAlign="inside" w:y="13042" w:anchorLock="0"/>
    </w:pPr>
    <w:r w:rsidRPr="00A27C50">
      <w:fldChar w:fldCharType="end"/>
    </w:r>
  </w:p>
  <w:p w:rsidR="008F5C5F" w:rsidRPr="00A27C50" w:rsidRDefault="008F5C5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32</w:t>
    </w:r>
    <w:r w:rsidRPr="00A27C50">
      <w:fldChar w:fldCharType="end"/>
    </w:r>
  </w:p>
  <w:p w:rsidR="008F5C5F" w:rsidRPr="00A27C50" w:rsidRDefault="008F5C5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27</w:t>
    </w:r>
    <w:r w:rsidRPr="00A27C50">
      <w:fldChar w:fldCharType="end"/>
    </w:r>
  </w:p>
  <w:p w:rsidR="008F5C5F" w:rsidRPr="00A27C50" w:rsidRDefault="008F5C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A27C50">
      <w:rPr>
        <w:noProof/>
      </w:rPr>
      <w:instrText>1</w:instrText>
    </w:r>
    <w:r w:rsidRPr="00A27C50">
      <w:fldChar w:fldCharType="end"/>
    </w:r>
    <w:r w:rsidRPr="00A27C50">
      <w:instrText xml:space="preserve">/2 </w:instrText>
    </w:r>
    <w:r w:rsidRPr="00A27C50">
      <w:fldChar w:fldCharType="separate"/>
    </w:r>
    <w:r w:rsidR="00A27C50">
      <w:rPr>
        <w:noProof/>
      </w:rPr>
      <w:instrText>0,5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A27C50">
      <w:rPr>
        <w:noProof/>
      </w:rPr>
      <w:instrText>1</w:instrText>
    </w:r>
    <w:r w:rsidRPr="00A27C50">
      <w:fldChar w:fldCharType="end"/>
    </w:r>
    <w:r w:rsidRPr="00A27C50">
      <w:instrText xml:space="preserve">/2) </w:instrText>
    </w:r>
    <w:r w:rsidRPr="00A27C50">
      <w:fldChar w:fldCharType="separate"/>
    </w:r>
    <w:r w:rsidR="00A27C50">
      <w:rPr>
        <w:noProof/>
      </w:rPr>
      <w:instrText>0</w:instrText>
    </w:r>
    <w:r w:rsidRPr="00A27C50">
      <w:fldChar w:fldCharType="end"/>
    </w:r>
    <w:r w:rsidRPr="00A27C50">
      <w:fldChar w:fldCharType="separate"/>
    </w:r>
    <w:r w:rsidR="00A27C50">
      <w:rPr>
        <w:noProof/>
      </w:rPr>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14</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A27C50">
      <w:rPr>
        <w:noProof/>
      </w:rPr>
      <w:instrText>1</w:instrText>
    </w:r>
    <w:r w:rsidRPr="00A27C50">
      <w:fldChar w:fldCharType="end"/>
    </w:r>
    <w:r w:rsidRPr="00A27C50">
      <w:instrText>"</w:instrText>
    </w:r>
    <w:r w:rsidR="00430095" w:rsidRPr="00A27C50">
      <w:fldChar w:fldCharType="separate"/>
    </w:r>
    <w:r w:rsidR="00A27C50">
      <w:rPr>
        <w:noProof/>
      </w:rPr>
      <w:t>1</w:t>
    </w:r>
    <w:r w:rsidRPr="00A27C50">
      <w:fldChar w:fldCharType="end"/>
    </w:r>
  </w:p>
  <w:p w:rsidR="008F5C5F" w:rsidRPr="00A27C50" w:rsidRDefault="008F5C5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25</w:instrText>
    </w:r>
    <w:r w:rsidRPr="00A27C50">
      <w:fldChar w:fldCharType="end"/>
    </w:r>
    <w:r w:rsidRPr="00A27C50">
      <w:instrText xml:space="preserve">/2 </w:instrText>
    </w:r>
    <w:r w:rsidRPr="00A27C50">
      <w:fldChar w:fldCharType="separate"/>
    </w:r>
    <w:r w:rsidR="00430095" w:rsidRPr="00A27C50">
      <w:instrText>12,5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25</w:instrText>
    </w:r>
    <w:r w:rsidRPr="00A27C50">
      <w:fldChar w:fldCharType="end"/>
    </w:r>
    <w:r w:rsidRPr="00A27C50">
      <w:instrText xml:space="preserve">/2) </w:instrText>
    </w:r>
    <w:r w:rsidRPr="00A27C50">
      <w:fldChar w:fldCharType="separate"/>
    </w:r>
    <w:r w:rsidR="00430095" w:rsidRPr="00A27C50">
      <w:instrText>12</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24</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25</w:instrText>
    </w:r>
    <w:r w:rsidRPr="00A27C50">
      <w:fldChar w:fldCharType="end"/>
    </w:r>
    <w:r w:rsidRPr="00A27C50">
      <w:instrText>"</w:instrText>
    </w:r>
    <w:r w:rsidR="00430095" w:rsidRPr="00A27C50">
      <w:fldChar w:fldCharType="separate"/>
    </w:r>
    <w:r w:rsidR="00430095" w:rsidRPr="00A27C50">
      <w:t>25</w:t>
    </w:r>
    <w:r w:rsidRPr="00A27C50">
      <w:fldChar w:fldCharType="end"/>
    </w:r>
  </w:p>
  <w:p w:rsidR="008F5C5F" w:rsidRPr="00A27C50" w:rsidRDefault="008F5C5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34</w:t>
    </w:r>
    <w:r w:rsidRPr="00A27C50">
      <w:fldChar w:fldCharType="end"/>
    </w:r>
  </w:p>
  <w:p w:rsidR="008F5C5F" w:rsidRPr="00A27C50" w:rsidRDefault="008F5C5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33</w:t>
    </w:r>
    <w:r w:rsidRPr="00A27C50">
      <w:fldChar w:fldCharType="end"/>
    </w:r>
  </w:p>
  <w:p w:rsidR="008F5C5F" w:rsidRPr="00A27C50" w:rsidRDefault="008F5C5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33</w:instrText>
    </w:r>
    <w:r w:rsidRPr="00A27C50">
      <w:fldChar w:fldCharType="end"/>
    </w:r>
    <w:r w:rsidRPr="00A27C50">
      <w:instrText xml:space="preserve">/2 </w:instrText>
    </w:r>
    <w:r w:rsidRPr="00A27C50">
      <w:fldChar w:fldCharType="separate"/>
    </w:r>
    <w:r w:rsidR="00430095" w:rsidRPr="00A27C50">
      <w:instrText>16,5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33</w:instrText>
    </w:r>
    <w:r w:rsidRPr="00A27C50">
      <w:fldChar w:fldCharType="end"/>
    </w:r>
    <w:r w:rsidRPr="00A27C50">
      <w:instrText xml:space="preserve">/2) </w:instrText>
    </w:r>
    <w:r w:rsidRPr="00A27C50">
      <w:fldChar w:fldCharType="separate"/>
    </w:r>
    <w:r w:rsidR="00430095" w:rsidRPr="00A27C50">
      <w:instrText>16</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32</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33</w:instrText>
    </w:r>
    <w:r w:rsidRPr="00A27C50">
      <w:fldChar w:fldCharType="end"/>
    </w:r>
    <w:r w:rsidRPr="00A27C50">
      <w:instrText>"</w:instrText>
    </w:r>
    <w:r w:rsidR="00430095" w:rsidRPr="00A27C50">
      <w:fldChar w:fldCharType="separate"/>
    </w:r>
    <w:r w:rsidR="00430095" w:rsidRPr="00A27C50">
      <w:t>33</w:t>
    </w:r>
    <w:r w:rsidRPr="00A27C50">
      <w:fldChar w:fldCharType="end"/>
    </w:r>
  </w:p>
  <w:p w:rsidR="008F5C5F" w:rsidRPr="00A27C50" w:rsidRDefault="008F5C5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36</w:t>
    </w:r>
    <w:r w:rsidRPr="00A27C50">
      <w:fldChar w:fldCharType="end"/>
    </w:r>
  </w:p>
  <w:p w:rsidR="008F5C5F" w:rsidRPr="00A27C50" w:rsidRDefault="008F5C5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35</w:t>
    </w:r>
    <w:r w:rsidRPr="00A27C50">
      <w:fldChar w:fldCharType="end"/>
    </w:r>
  </w:p>
  <w:p w:rsidR="008F5C5F" w:rsidRPr="00A27C50" w:rsidRDefault="008F5C5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35</w:instrText>
    </w:r>
    <w:r w:rsidRPr="00A27C50">
      <w:fldChar w:fldCharType="end"/>
    </w:r>
    <w:r w:rsidRPr="00A27C50">
      <w:instrText xml:space="preserve">/2 </w:instrText>
    </w:r>
    <w:r w:rsidRPr="00A27C50">
      <w:fldChar w:fldCharType="separate"/>
    </w:r>
    <w:r w:rsidR="00430095" w:rsidRPr="00A27C50">
      <w:instrText>17,5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35</w:instrText>
    </w:r>
    <w:r w:rsidRPr="00A27C50">
      <w:fldChar w:fldCharType="end"/>
    </w:r>
    <w:r w:rsidRPr="00A27C50">
      <w:instrText xml:space="preserve">/2) </w:instrText>
    </w:r>
    <w:r w:rsidRPr="00A27C50">
      <w:fldChar w:fldCharType="separate"/>
    </w:r>
    <w:r w:rsidR="00430095" w:rsidRPr="00A27C50">
      <w:instrText>17</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34</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35</w:instrText>
    </w:r>
    <w:r w:rsidRPr="00A27C50">
      <w:fldChar w:fldCharType="end"/>
    </w:r>
    <w:r w:rsidRPr="00A27C50">
      <w:instrText>"</w:instrText>
    </w:r>
    <w:r w:rsidR="00430095" w:rsidRPr="00A27C50">
      <w:fldChar w:fldCharType="separate"/>
    </w:r>
    <w:r w:rsidR="00430095" w:rsidRPr="00A27C50">
      <w:t>35</w:t>
    </w:r>
    <w:r w:rsidRPr="00A27C50">
      <w:fldChar w:fldCharType="end"/>
    </w:r>
  </w:p>
  <w:p w:rsidR="008F5C5F" w:rsidRPr="00A27C50" w:rsidRDefault="008F5C5F">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38</w:t>
    </w:r>
    <w:r w:rsidRPr="00A27C50">
      <w:fldChar w:fldCharType="end"/>
    </w:r>
  </w:p>
  <w:p w:rsidR="008F5C5F" w:rsidRPr="00A27C50" w:rsidRDefault="008F5C5F">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37</w:t>
    </w:r>
    <w:r w:rsidRPr="00A27C50">
      <w:fldChar w:fldCharType="end"/>
    </w:r>
  </w:p>
  <w:p w:rsidR="008F5C5F" w:rsidRPr="00A27C50" w:rsidRDefault="008F5C5F">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37</w:instrText>
    </w:r>
    <w:r w:rsidRPr="00A27C50">
      <w:fldChar w:fldCharType="end"/>
    </w:r>
    <w:r w:rsidRPr="00A27C50">
      <w:instrText xml:space="preserve">/2 </w:instrText>
    </w:r>
    <w:r w:rsidRPr="00A27C50">
      <w:fldChar w:fldCharType="separate"/>
    </w:r>
    <w:r w:rsidR="00430095" w:rsidRPr="00A27C50">
      <w:instrText>18,5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37</w:instrText>
    </w:r>
    <w:r w:rsidRPr="00A27C50">
      <w:fldChar w:fldCharType="end"/>
    </w:r>
    <w:r w:rsidRPr="00A27C50">
      <w:instrText xml:space="preserve">/2) </w:instrText>
    </w:r>
    <w:r w:rsidRPr="00A27C50">
      <w:fldChar w:fldCharType="separate"/>
    </w:r>
    <w:r w:rsidR="00430095" w:rsidRPr="00A27C50">
      <w:instrText>18</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36</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37</w:instrText>
    </w:r>
    <w:r w:rsidRPr="00A27C50">
      <w:fldChar w:fldCharType="end"/>
    </w:r>
    <w:r w:rsidRPr="00A27C50">
      <w:instrText>"</w:instrText>
    </w:r>
    <w:r w:rsidR="00430095" w:rsidRPr="00A27C50">
      <w:fldChar w:fldCharType="separate"/>
    </w:r>
    <w:r w:rsidR="00430095" w:rsidRPr="00A27C50">
      <w:t>37</w:t>
    </w:r>
    <w:r w:rsidRPr="00A27C50">
      <w:fldChar w:fldCharType="end"/>
    </w:r>
  </w:p>
  <w:p w:rsidR="008F5C5F" w:rsidRPr="00A27C50" w:rsidRDefault="008F5C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2</w:t>
    </w:r>
    <w:r w:rsidRPr="00A27C50">
      <w:fldChar w:fldCharType="end"/>
    </w:r>
  </w:p>
  <w:p w:rsidR="008F5C5F" w:rsidRPr="00A27C50" w:rsidRDefault="008F5C5F">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40</w:t>
    </w:r>
    <w:r w:rsidRPr="00A27C50">
      <w:fldChar w:fldCharType="end"/>
    </w:r>
  </w:p>
  <w:p w:rsidR="008F5C5F" w:rsidRPr="00A27C50" w:rsidRDefault="008F5C5F">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39</w:t>
    </w:r>
    <w:r w:rsidRPr="00A27C50">
      <w:fldChar w:fldCharType="end"/>
    </w:r>
  </w:p>
  <w:p w:rsidR="008F5C5F" w:rsidRPr="00A27C50" w:rsidRDefault="008F5C5F">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39</w:instrText>
    </w:r>
    <w:r w:rsidRPr="00A27C50">
      <w:fldChar w:fldCharType="end"/>
    </w:r>
    <w:r w:rsidRPr="00A27C50">
      <w:instrText xml:space="preserve">/2 </w:instrText>
    </w:r>
    <w:r w:rsidRPr="00A27C50">
      <w:fldChar w:fldCharType="separate"/>
    </w:r>
    <w:r w:rsidR="00430095" w:rsidRPr="00A27C50">
      <w:instrText>19,5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39</w:instrText>
    </w:r>
    <w:r w:rsidRPr="00A27C50">
      <w:fldChar w:fldCharType="end"/>
    </w:r>
    <w:r w:rsidRPr="00A27C50">
      <w:instrText xml:space="preserve">/2) </w:instrText>
    </w:r>
    <w:r w:rsidRPr="00A27C50">
      <w:fldChar w:fldCharType="separate"/>
    </w:r>
    <w:r w:rsidR="00430095" w:rsidRPr="00A27C50">
      <w:instrText>19</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38</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39</w:instrText>
    </w:r>
    <w:r w:rsidRPr="00A27C50">
      <w:fldChar w:fldCharType="end"/>
    </w:r>
    <w:r w:rsidRPr="00A27C50">
      <w:instrText>"</w:instrText>
    </w:r>
    <w:r w:rsidR="00430095" w:rsidRPr="00A27C50">
      <w:fldChar w:fldCharType="separate"/>
    </w:r>
    <w:r w:rsidR="00430095" w:rsidRPr="00A27C50">
      <w:t>39</w:t>
    </w:r>
    <w:r w:rsidRPr="00A27C50">
      <w:fldChar w:fldCharType="end"/>
    </w:r>
  </w:p>
  <w:p w:rsidR="008F5C5F" w:rsidRPr="00A27C50" w:rsidRDefault="008F5C5F">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52</w:t>
    </w:r>
    <w:r w:rsidRPr="00A27C50">
      <w:fldChar w:fldCharType="end"/>
    </w:r>
  </w:p>
  <w:p w:rsidR="008F5C5F" w:rsidRPr="00A27C50" w:rsidRDefault="008F5C5F">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53</w:t>
    </w:r>
    <w:r w:rsidRPr="00A27C50">
      <w:fldChar w:fldCharType="end"/>
    </w:r>
  </w:p>
  <w:p w:rsidR="008F5C5F" w:rsidRPr="00A27C50" w:rsidRDefault="008F5C5F">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41</w:instrText>
    </w:r>
    <w:r w:rsidRPr="00A27C50">
      <w:fldChar w:fldCharType="end"/>
    </w:r>
    <w:r w:rsidRPr="00A27C50">
      <w:instrText xml:space="preserve">/2 </w:instrText>
    </w:r>
    <w:r w:rsidRPr="00A27C50">
      <w:fldChar w:fldCharType="separate"/>
    </w:r>
    <w:r w:rsidR="00430095" w:rsidRPr="00A27C50">
      <w:instrText>20,5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41</w:instrText>
    </w:r>
    <w:r w:rsidRPr="00A27C50">
      <w:fldChar w:fldCharType="end"/>
    </w:r>
    <w:r w:rsidRPr="00A27C50">
      <w:instrText xml:space="preserve">/2) </w:instrText>
    </w:r>
    <w:r w:rsidRPr="00A27C50">
      <w:fldChar w:fldCharType="separate"/>
    </w:r>
    <w:r w:rsidR="00430095" w:rsidRPr="00A27C50">
      <w:instrText>20</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40</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41</w:instrText>
    </w:r>
    <w:r w:rsidRPr="00A27C50">
      <w:fldChar w:fldCharType="end"/>
    </w:r>
    <w:r w:rsidRPr="00A27C50">
      <w:instrText>"</w:instrText>
    </w:r>
    <w:r w:rsidR="00430095" w:rsidRPr="00A27C50">
      <w:fldChar w:fldCharType="separate"/>
    </w:r>
    <w:r w:rsidR="00430095" w:rsidRPr="00A27C50">
      <w:t>41</w:t>
    </w:r>
    <w:r w:rsidRPr="00A27C50">
      <w:fldChar w:fldCharType="end"/>
    </w:r>
  </w:p>
  <w:p w:rsidR="008F5C5F" w:rsidRPr="00A27C50" w:rsidRDefault="008F5C5F">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56</w:t>
    </w:r>
    <w:r w:rsidRPr="00A27C50">
      <w:fldChar w:fldCharType="end"/>
    </w:r>
  </w:p>
  <w:p w:rsidR="008F5C5F" w:rsidRPr="00A27C50" w:rsidRDefault="008F5C5F">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55</w:t>
    </w:r>
    <w:r w:rsidRPr="00A27C50">
      <w:fldChar w:fldCharType="end"/>
    </w:r>
  </w:p>
  <w:p w:rsidR="008F5C5F" w:rsidRPr="00A27C50" w:rsidRDefault="008F5C5F">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54</w:instrText>
    </w:r>
    <w:r w:rsidRPr="00A27C50">
      <w:fldChar w:fldCharType="end"/>
    </w:r>
    <w:r w:rsidRPr="00A27C50">
      <w:instrText xml:space="preserve">/2 </w:instrText>
    </w:r>
    <w:r w:rsidRPr="00A27C50">
      <w:fldChar w:fldCharType="separate"/>
    </w:r>
    <w:r w:rsidR="00430095" w:rsidRPr="00A27C50">
      <w:instrText>27</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54</w:instrText>
    </w:r>
    <w:r w:rsidRPr="00A27C50">
      <w:fldChar w:fldCharType="end"/>
    </w:r>
    <w:r w:rsidRPr="00A27C50">
      <w:instrText xml:space="preserve">/2) </w:instrText>
    </w:r>
    <w:r w:rsidRPr="00A27C50">
      <w:fldChar w:fldCharType="separate"/>
    </w:r>
    <w:r w:rsidR="00430095" w:rsidRPr="00A27C50">
      <w:instrText>27</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54</w:instrText>
    </w:r>
    <w:r w:rsidRPr="00A27C50">
      <w:fldChar w:fldCharType="end"/>
    </w:r>
  </w:p>
  <w:p w:rsidR="00430095" w:rsidRPr="00A27C50" w:rsidRDefault="008F5C5F">
    <w:pPr>
      <w:pStyle w:val="SidfotV"/>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53</w:instrText>
    </w:r>
    <w:r w:rsidRPr="00A27C50">
      <w:fldChar w:fldCharType="end"/>
    </w:r>
    <w:r w:rsidRPr="00A27C50">
      <w:instrText>"</w:instrText>
    </w:r>
    <w:r w:rsidR="00430095" w:rsidRPr="00A27C50">
      <w:fldChar w:fldCharType="separate"/>
    </w:r>
    <w:r w:rsidR="00430095" w:rsidRPr="00A27C50">
      <w:t>54</w:t>
    </w:r>
  </w:p>
  <w:p w:rsidR="008F5C5F" w:rsidRPr="00A27C50" w:rsidRDefault="008F5C5F">
    <w:pPr>
      <w:pStyle w:val="SidfotH"/>
      <w:framePr w:w="8957" w:h="283" w:hRule="exact" w:hSpace="0" w:vSpace="0" w:wrap="around" w:xAlign="inside" w:y="13040" w:anchorLock="0"/>
    </w:pPr>
    <w:r w:rsidRPr="00A27C50">
      <w:fldChar w:fldCharType="end"/>
    </w:r>
  </w:p>
  <w:p w:rsidR="008F5C5F" w:rsidRPr="00A27C50" w:rsidRDefault="008F5C5F">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58</w:t>
    </w:r>
    <w:r w:rsidRPr="00A27C50">
      <w:fldChar w:fldCharType="end"/>
    </w:r>
  </w:p>
  <w:p w:rsidR="008F5C5F" w:rsidRPr="00A27C50" w:rsidRDefault="008F5C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t>3</w:t>
    </w:r>
    <w:r w:rsidRPr="00A27C50">
      <w:fldChar w:fldCharType="end"/>
    </w:r>
  </w:p>
  <w:p w:rsidR="008F5C5F" w:rsidRPr="00A27C50" w:rsidRDefault="008F5C5F">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732" w:h="284" w:hRule="exact" w:hSpace="0" w:vSpace="0" w:wrap="around" w:xAlign="inside" w:y="13042"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59</w:t>
    </w:r>
    <w:r w:rsidRPr="00A27C50">
      <w:fldChar w:fldCharType="end"/>
    </w:r>
  </w:p>
  <w:p w:rsidR="008F5C5F" w:rsidRPr="00A27C50" w:rsidRDefault="008F5C5F">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57</w:instrText>
    </w:r>
    <w:r w:rsidRPr="00A27C50">
      <w:fldChar w:fldCharType="end"/>
    </w:r>
    <w:r w:rsidRPr="00A27C50">
      <w:instrText xml:space="preserve">/2 </w:instrText>
    </w:r>
    <w:r w:rsidRPr="00A27C50">
      <w:fldChar w:fldCharType="separate"/>
    </w:r>
    <w:r w:rsidR="00430095" w:rsidRPr="00A27C50">
      <w:instrText>28,5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57</w:instrText>
    </w:r>
    <w:r w:rsidRPr="00A27C50">
      <w:fldChar w:fldCharType="end"/>
    </w:r>
    <w:r w:rsidRPr="00A27C50">
      <w:instrText xml:space="preserve">/2) </w:instrText>
    </w:r>
    <w:r w:rsidRPr="00A27C50">
      <w:fldChar w:fldCharType="separate"/>
    </w:r>
    <w:r w:rsidR="00430095" w:rsidRPr="00A27C50">
      <w:instrText>28</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56</w:instrText>
    </w:r>
    <w:r w:rsidRPr="00A27C50">
      <w:fldChar w:fldCharType="end"/>
    </w:r>
  </w:p>
  <w:p w:rsidR="008F5C5F" w:rsidRPr="00A27C50" w:rsidRDefault="008F5C5F">
    <w:pPr>
      <w:pStyle w:val="SidfotH"/>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57</w:instrText>
    </w:r>
    <w:r w:rsidRPr="00A27C50">
      <w:fldChar w:fldCharType="end"/>
    </w:r>
    <w:r w:rsidRPr="00A27C50">
      <w:instrText>"</w:instrText>
    </w:r>
    <w:r w:rsidR="00430095" w:rsidRPr="00A27C50">
      <w:fldChar w:fldCharType="separate"/>
    </w:r>
    <w:r w:rsidR="00430095" w:rsidRPr="00A27C50">
      <w:t>57</w:t>
    </w:r>
    <w:r w:rsidRPr="00A27C50">
      <w:fldChar w:fldCharType="end"/>
    </w:r>
  </w:p>
  <w:p w:rsidR="008F5C5F" w:rsidRPr="00A27C50" w:rsidRDefault="008F5C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732" w:h="284" w:hRule="exact" w:hSpace="0" w:vSpace="0" w:wrap="around" w:xAlign="inside" w:y="13042"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2</w:instrText>
    </w:r>
    <w:r w:rsidRPr="00A27C50">
      <w:fldChar w:fldCharType="end"/>
    </w:r>
    <w:r w:rsidRPr="00A27C50">
      <w:instrText xml:space="preserve">/2 </w:instrText>
    </w:r>
    <w:r w:rsidRPr="00A27C50">
      <w:fldChar w:fldCharType="separate"/>
    </w:r>
    <w:r w:rsidR="00430095" w:rsidRPr="00A27C50">
      <w:instrText>1</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2</w:instrText>
    </w:r>
    <w:r w:rsidRPr="00A27C50">
      <w:fldChar w:fldCharType="end"/>
    </w:r>
    <w:r w:rsidRPr="00A27C50">
      <w:instrText xml:space="preserve">/2) </w:instrText>
    </w:r>
    <w:r w:rsidRPr="00A27C50">
      <w:fldChar w:fldCharType="separate"/>
    </w:r>
    <w:r w:rsidR="00430095" w:rsidRPr="00A27C50">
      <w:instrText>1</w:instrText>
    </w:r>
    <w:r w:rsidRPr="00A27C50">
      <w:fldChar w:fldCharType="end"/>
    </w:r>
    <w:r w:rsidRPr="00A27C50">
      <w:fldChar w:fldCharType="separate"/>
    </w:r>
    <w:r w:rsidR="00430095" w:rsidRPr="00A27C50">
      <w:instrText>0</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2</w:instrText>
    </w:r>
    <w:r w:rsidRPr="00A27C50">
      <w:fldChar w:fldCharType="end"/>
    </w:r>
  </w:p>
  <w:p w:rsidR="00430095" w:rsidRPr="00A27C50" w:rsidRDefault="008F5C5F">
    <w:pPr>
      <w:pStyle w:val="SidfotV"/>
      <w:framePr w:w="8732" w:h="284" w:hRule="exact" w:hSpace="0" w:vSpace="0" w:wrap="around" w:xAlign="inside" w:y="13042"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1</w:instrText>
    </w:r>
    <w:r w:rsidRPr="00A27C50">
      <w:fldChar w:fldCharType="end"/>
    </w:r>
    <w:r w:rsidRPr="00A27C50">
      <w:instrText>"</w:instrText>
    </w:r>
    <w:r w:rsidR="00430095" w:rsidRPr="00A27C50">
      <w:fldChar w:fldCharType="separate"/>
    </w:r>
    <w:r w:rsidR="00430095" w:rsidRPr="00A27C50">
      <w:t>2</w:t>
    </w:r>
  </w:p>
  <w:p w:rsidR="008F5C5F" w:rsidRPr="00A27C50" w:rsidRDefault="008F5C5F">
    <w:pPr>
      <w:pStyle w:val="SidfotH"/>
      <w:framePr w:w="8732" w:h="284" w:hRule="exact" w:hSpace="0" w:vSpace="0" w:wrap="around" w:xAlign="inside" w:y="13042" w:anchorLock="0"/>
    </w:pPr>
    <w:r w:rsidRPr="00A27C50">
      <w:fldChar w:fldCharType="end"/>
    </w:r>
  </w:p>
  <w:p w:rsidR="008F5C5F" w:rsidRPr="00A27C50" w:rsidRDefault="008F5C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4</w:t>
    </w:r>
    <w:r w:rsidRPr="00A27C50">
      <w:fldChar w:fldCharType="end"/>
    </w:r>
  </w:p>
  <w:p w:rsidR="008F5C5F" w:rsidRPr="00A27C50" w:rsidRDefault="008F5C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H"/>
      <w:framePr w:w="8957" w:h="283" w:hRule="exact" w:hSpace="0" w:vSpace="0" w:wrap="around" w:xAlign="inside" w:y="13040" w:anchorLock="0"/>
    </w:pP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t>5</w:t>
    </w:r>
    <w:r w:rsidRPr="00A27C50">
      <w:fldChar w:fldCharType="end"/>
    </w:r>
  </w:p>
  <w:p w:rsidR="008F5C5F" w:rsidRPr="00A27C50" w:rsidRDefault="008F5C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fotV"/>
      <w:framePr w:w="8957" w:h="283" w:hRule="exact" w:hSpace="0" w:vSpace="0" w:wrap="around" w:xAlign="inside" w:y="13040" w:anchorLock="0"/>
    </w:pPr>
    <w:r w:rsidRPr="00A27C50">
      <w:fldChar w:fldCharType="begin" w:fldLock="1"/>
    </w:r>
    <w:r w:rsidRPr="00A27C50">
      <w:instrText xml:space="preserve"> if </w:instrText>
    </w:r>
    <w:r w:rsidRPr="00A27C50">
      <w:fldChar w:fldCharType="begin" w:fldLock="1"/>
    </w:r>
    <w:r w:rsidRPr="00A27C50">
      <w:instrText xml:space="preserve"> = </w:instrText>
    </w:r>
    <w:r w:rsidRPr="00A27C50">
      <w:fldChar w:fldCharType="begin" w:fldLock="1"/>
    </w:r>
    <w:r w:rsidRPr="00A27C50">
      <w:instrText xml:space="preserve"> = </w:instrText>
    </w:r>
    <w:r w:rsidRPr="00A27C50">
      <w:fldChar w:fldCharType="begin" w:fldLock="1"/>
    </w:r>
    <w:r w:rsidRPr="00A27C50">
      <w:instrText xml:space="preserve"> page</w:instrText>
    </w:r>
    <w:r w:rsidRPr="00A27C50">
      <w:fldChar w:fldCharType="separate"/>
    </w:r>
    <w:r w:rsidR="00430095" w:rsidRPr="00A27C50">
      <w:instrText>3</w:instrText>
    </w:r>
    <w:r w:rsidRPr="00A27C50">
      <w:fldChar w:fldCharType="end"/>
    </w:r>
    <w:r w:rsidRPr="00A27C50">
      <w:instrText xml:space="preserve">/2 </w:instrText>
    </w:r>
    <w:r w:rsidRPr="00A27C50">
      <w:fldChar w:fldCharType="separate"/>
    </w:r>
    <w:r w:rsidR="00430095" w:rsidRPr="00A27C50">
      <w:instrText>1,5</w:instrText>
    </w:r>
    <w:r w:rsidRPr="00A27C50">
      <w:fldChar w:fldCharType="end"/>
    </w:r>
    <w:r w:rsidRPr="00A27C50">
      <w:instrText xml:space="preserve"> - </w:instrText>
    </w:r>
    <w:r w:rsidRPr="00A27C50">
      <w:fldChar w:fldCharType="begin" w:fldLock="1"/>
    </w:r>
    <w:r w:rsidRPr="00A27C50">
      <w:instrText xml:space="preserve"> = int(</w:instrText>
    </w:r>
    <w:r w:rsidRPr="00A27C50">
      <w:fldChar w:fldCharType="begin" w:fldLock="1"/>
    </w:r>
    <w:r w:rsidRPr="00A27C50">
      <w:instrText xml:space="preserve"> page</w:instrText>
    </w:r>
    <w:r w:rsidRPr="00A27C50">
      <w:fldChar w:fldCharType="separate"/>
    </w:r>
    <w:r w:rsidR="00430095" w:rsidRPr="00A27C50">
      <w:instrText>3</w:instrText>
    </w:r>
    <w:r w:rsidRPr="00A27C50">
      <w:fldChar w:fldCharType="end"/>
    </w:r>
    <w:r w:rsidRPr="00A27C50">
      <w:instrText xml:space="preserve">/2) </w:instrText>
    </w:r>
    <w:r w:rsidRPr="00A27C50">
      <w:fldChar w:fldCharType="separate"/>
    </w:r>
    <w:r w:rsidR="00430095" w:rsidRPr="00A27C50">
      <w:instrText>1</w:instrText>
    </w:r>
    <w:r w:rsidRPr="00A27C50">
      <w:fldChar w:fldCharType="end"/>
    </w:r>
    <w:r w:rsidRPr="00A27C50">
      <w:fldChar w:fldCharType="separate"/>
    </w:r>
    <w:r w:rsidR="00430095" w:rsidRPr="00A27C50">
      <w:instrText>0,5</w:instrText>
    </w:r>
    <w:r w:rsidRPr="00A27C50">
      <w:fldChar w:fldCharType="end"/>
    </w:r>
    <w:r w:rsidRPr="00A27C50">
      <w:instrText xml:space="preserve"> = 0 "</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Pr="00A27C50">
      <w:instrText>4</w:instrText>
    </w:r>
    <w:r w:rsidRPr="00A27C50">
      <w:fldChar w:fldCharType="end"/>
    </w:r>
  </w:p>
  <w:p w:rsidR="008F5C5F" w:rsidRPr="00A27C50" w:rsidRDefault="008F5C5F">
    <w:pPr>
      <w:pStyle w:val="SidfotH"/>
      <w:framePr w:w="8957" w:h="283" w:hRule="exact" w:hSpace="0" w:vSpace="0" w:wrap="around" w:xAlign="inside" w:y="13040" w:anchorLock="0"/>
    </w:pPr>
    <w:r w:rsidRPr="00A27C50">
      <w:instrText>""</w:instrText>
    </w:r>
    <w:r w:rsidRPr="00A27C50">
      <w:fldChar w:fldCharType="begin" w:fldLock="1"/>
    </w:r>
    <w:r w:rsidRPr="00A27C50">
      <w:instrText xml:space="preserve"> P</w:instrText>
    </w:r>
    <w:r w:rsidRPr="00A27C50">
      <w:instrText>A</w:instrText>
    </w:r>
    <w:r w:rsidRPr="00A27C50">
      <w:instrText xml:space="preserve">GE </w:instrText>
    </w:r>
    <w:r w:rsidRPr="00A27C50">
      <w:fldChar w:fldCharType="separate"/>
    </w:r>
    <w:r w:rsidR="00430095" w:rsidRPr="00A27C50">
      <w:instrText>3</w:instrText>
    </w:r>
    <w:r w:rsidRPr="00A27C50">
      <w:fldChar w:fldCharType="end"/>
    </w:r>
    <w:r w:rsidRPr="00A27C50">
      <w:instrText>"</w:instrText>
    </w:r>
    <w:r w:rsidR="00430095" w:rsidRPr="00A27C50">
      <w:fldChar w:fldCharType="separate"/>
    </w:r>
    <w:r w:rsidR="00430095" w:rsidRPr="00A27C50">
      <w:t>3</w:t>
    </w:r>
    <w:r w:rsidRPr="00A27C50">
      <w:fldChar w:fldCharType="end"/>
    </w:r>
  </w:p>
  <w:p w:rsidR="008F5C5F" w:rsidRPr="00A27C50" w:rsidRDefault="008F5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BEC" w:rsidRPr="00A27C50" w:rsidRDefault="00F34BEC">
      <w:pPr>
        <w:pStyle w:val="Sidfot"/>
      </w:pPr>
    </w:p>
  </w:footnote>
  <w:footnote w:type="continuationSeparator" w:id="0">
    <w:p w:rsidR="00F34BEC" w:rsidRPr="00A27C50" w:rsidRDefault="00F34BEC">
      <w:pPr>
        <w:pStyle w:val="Sidfot"/>
      </w:pPr>
    </w:p>
  </w:footnote>
  <w:footnote w:id="1">
    <w:p w:rsidR="008F5C5F" w:rsidRPr="00A27C50" w:rsidRDefault="008F5C5F">
      <w:pPr>
        <w:pStyle w:val="Fotnotstext"/>
      </w:pPr>
      <w:r w:rsidRPr="00A27C50">
        <w:rPr>
          <w:rStyle w:val="Fotnotsreferens"/>
        </w:rPr>
        <w:footnoteRef/>
      </w:r>
      <w:r w:rsidRPr="00A27C50">
        <w:t xml:space="preserve"> Vedtatt av Presidiet 4. mars 2004 i Stockholm</w:t>
      </w:r>
    </w:p>
  </w:footnote>
  <w:footnote w:id="2">
    <w:p w:rsidR="008F5C5F" w:rsidRPr="00A27C50" w:rsidRDefault="008F5C5F">
      <w:pPr>
        <w:pStyle w:val="Fotnotstext"/>
      </w:pPr>
      <w:r w:rsidRPr="00A27C50">
        <w:rPr>
          <w:rStyle w:val="Fotnotsreferens"/>
        </w:rPr>
        <w:footnoteRef/>
      </w:r>
      <w:r w:rsidRPr="00A27C50">
        <w:t xml:space="preserve"> Vedtatt av Presidiet 4. mars 2004 i Stockholm</w:t>
      </w:r>
    </w:p>
  </w:footnote>
  <w:footnote w:id="3">
    <w:p w:rsidR="008F5C5F" w:rsidRPr="00A27C50" w:rsidRDefault="008F5C5F">
      <w:pPr>
        <w:pStyle w:val="Fotnotstext"/>
      </w:pPr>
      <w:r w:rsidRPr="00A27C50">
        <w:rPr>
          <w:rStyle w:val="Fotnotsreferens"/>
        </w:rPr>
        <w:footnoteRef/>
      </w:r>
      <w:r w:rsidRPr="00A27C50">
        <w:t xml:space="preserve"> Vedtatt av Presidiet 4. mars 2004 i Stockholm</w:t>
      </w:r>
    </w:p>
  </w:footnote>
  <w:footnote w:id="4">
    <w:p w:rsidR="008F5C5F" w:rsidRPr="00A27C50" w:rsidRDefault="008F5C5F">
      <w:pPr>
        <w:pStyle w:val="Fotnotstext"/>
      </w:pPr>
      <w:r w:rsidRPr="00A27C50">
        <w:rPr>
          <w:rStyle w:val="Fotnotsreferens"/>
        </w:rPr>
        <w:footnoteRef/>
      </w:r>
      <w:r w:rsidRPr="00A27C50">
        <w:t xml:space="preserve"> Vedtatt av Presidiet 30. juni 2004 i Kristiansand</w:t>
      </w:r>
    </w:p>
  </w:footnote>
  <w:footnote w:id="5">
    <w:p w:rsidR="008F5C5F" w:rsidRPr="00A27C50" w:rsidRDefault="008F5C5F">
      <w:pPr>
        <w:pStyle w:val="Fotnotstext"/>
      </w:pPr>
      <w:r w:rsidRPr="00A27C50">
        <w:rPr>
          <w:rStyle w:val="Fotnotsreferens"/>
        </w:rPr>
        <w:footnoteRef/>
      </w:r>
      <w:r w:rsidRPr="00A27C50">
        <w:t xml:space="preserve"> Vedtatt av Presidiet 22. september 2004 i Mariehamn</w:t>
      </w:r>
    </w:p>
  </w:footnote>
  <w:footnote w:id="6">
    <w:p w:rsidR="008F5C5F" w:rsidRPr="00A27C50" w:rsidRDefault="008F5C5F">
      <w:pPr>
        <w:pStyle w:val="Fotnotstext"/>
      </w:pPr>
      <w:r w:rsidRPr="00A27C50">
        <w:rPr>
          <w:rStyle w:val="Fotnotsreferens"/>
        </w:rPr>
        <w:footnoteRef/>
      </w:r>
      <w:r w:rsidRPr="00A27C50">
        <w:t xml:space="preserve"> Vedtatt av Presidiet 22. september 2004 i Mariehamn</w:t>
      </w:r>
    </w:p>
  </w:footnote>
  <w:footnote w:id="7">
    <w:p w:rsidR="008F5C5F" w:rsidRPr="00A27C50" w:rsidRDefault="008F5C5F">
      <w:pPr>
        <w:pStyle w:val="Fotnotstext"/>
      </w:pPr>
      <w:r w:rsidRPr="00A27C50">
        <w:rPr>
          <w:rStyle w:val="Fotnotsreferens"/>
        </w:rPr>
        <w:footnoteRef/>
      </w:r>
      <w:r w:rsidRPr="00A27C50">
        <w:t xml:space="preserve"> Vedtatt av Presidiet 1. november 2004 i Stockholm</w:t>
      </w:r>
    </w:p>
  </w:footnote>
  <w:footnote w:id="8">
    <w:p w:rsidR="008F5C5F" w:rsidRPr="00A27C50" w:rsidRDefault="008F5C5F">
      <w:pPr>
        <w:pStyle w:val="Fotnotstext"/>
      </w:pPr>
      <w:r w:rsidRPr="00A27C50">
        <w:rPr>
          <w:rStyle w:val="Fotnotsreferens"/>
        </w:rPr>
        <w:footnoteRef/>
      </w:r>
      <w:r w:rsidRPr="00A27C50">
        <w:t xml:space="preserve"> Vedtatt av Presidiet 1. november 2004 i Stockholm</w:t>
      </w:r>
    </w:p>
  </w:footnote>
  <w:footnote w:id="9">
    <w:p w:rsidR="008F5C5F" w:rsidRPr="00A27C50" w:rsidRDefault="008F5C5F">
      <w:pPr>
        <w:pStyle w:val="Fotnotstext"/>
      </w:pPr>
      <w:r w:rsidRPr="00A27C50">
        <w:rPr>
          <w:rStyle w:val="Fotnotsreferens"/>
        </w:rPr>
        <w:footnoteRef/>
      </w:r>
      <w:r w:rsidRPr="00A27C50">
        <w:t xml:space="preserve"> Vedtatt av Presidiet 22. september 2004 i Mariehamn</w:t>
      </w:r>
    </w:p>
  </w:footnote>
  <w:footnote w:id="10">
    <w:p w:rsidR="008F5C5F" w:rsidRPr="00A27C50" w:rsidRDefault="008F5C5F">
      <w:pPr>
        <w:pStyle w:val="Fotnotstext"/>
      </w:pPr>
      <w:r w:rsidRPr="00A27C50">
        <w:rPr>
          <w:rStyle w:val="Fotnotsreferens"/>
        </w:rPr>
        <w:footnoteRef/>
      </w:r>
      <w:r w:rsidRPr="00A27C50">
        <w:t xml:space="preserve"> Vedtatt av Presidiet 1. november 2004 i Stockholm</w:t>
      </w:r>
    </w:p>
  </w:footnote>
  <w:footnote w:id="11">
    <w:p w:rsidR="008F5C5F" w:rsidRPr="00A27C50" w:rsidRDefault="008F5C5F">
      <w:pPr>
        <w:pStyle w:val="Fotnotstext"/>
      </w:pPr>
      <w:r w:rsidRPr="00A27C50">
        <w:rPr>
          <w:rStyle w:val="Fotnotsreferens"/>
        </w:rPr>
        <w:sym w:font="Symbol" w:char="F02A"/>
      </w:r>
      <w:r w:rsidRPr="00A27C50">
        <w:t>Baltiska församlingen, Sankt Petersburgs stad, Danmark, Estland, Ryska federati</w:t>
      </w:r>
      <w:r w:rsidRPr="00A27C50">
        <w:t>o</w:t>
      </w:r>
      <w:r w:rsidRPr="00A27C50">
        <w:t>nens federala församling, Förbundsrepubliken Tyskland, Finland, Fria hansastaden Bremen, Fria hansastaden Hamburg, Lettland, Litauen, Mecklenburg-Vorpommern, Nordiska rådet, Norge, Europarådets parlamentarikerförsamling, Polen, Schleswig-Holstein, Sverige och Åland.</w:t>
      </w:r>
    </w:p>
    <w:p w:rsidR="008F5C5F" w:rsidRPr="00A27C50" w:rsidRDefault="008F5C5F">
      <w:pPr>
        <w:pStyle w:val="Tryckort"/>
      </w:pPr>
      <w:r w:rsidRPr="00A27C50">
        <w:t>Elanders Gotab, Stockholm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 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BetänkandeNr</w:instrText>
    </w:r>
    <w:r w:rsidRPr="00A27C50">
      <w:rPr>
        <w:rStyle w:val="SidhuvudUtskott"/>
      </w:rPr>
      <w:fldChar w:fldCharType="separate"/>
    </w:r>
    <w:r w:rsidRPr="00A27C50">
      <w:rPr>
        <w:rStyle w:val="SidhuvudUtskott"/>
      </w:rPr>
      <w:t>1</w:t>
    </w:r>
    <w:r w:rsidRPr="00A27C50">
      <w:rPr>
        <w:rStyle w:val="SidhuvudUtskott"/>
      </w:rPr>
      <w:fldChar w:fldCharType="end"/>
    </w:r>
    <w:r w:rsidRPr="00A27C50">
      <w:t xml:space="preserve">     </w:t>
    </w:r>
    <w:r w:rsidRPr="00A27C50">
      <w:rPr>
        <w:rStyle w:val="SidhuvudBilaga"/>
      </w:rPr>
      <w:t xml:space="preserve"> </w:t>
    </w: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Innehållsförteckning</w:t>
    </w:r>
    <w:r w:rsidRPr="00A27C50">
      <w:rPr>
        <w:rStyle w:val="SidhuvudRubrikReferens"/>
      </w:rPr>
      <w:fldChar w:fldCharType="end"/>
    </w:r>
  </w:p>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Status</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    </w:instrText>
    </w:r>
    <w:r w:rsidRPr="00A27C50">
      <w:rPr>
        <w:rStyle w:val="SidhuvudUtskott"/>
      </w:rPr>
      <w:fldChar w:fldCharType="begin" w:fldLock="1"/>
    </w:r>
    <w:r w:rsidRPr="00A27C50">
      <w:rPr>
        <w:rStyle w:val="SidhuvudUtskott"/>
      </w:rPr>
      <w:instrText xml:space="preserve"> PRINTDATE \@ "yyyy-MM-dd HH.mm"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p>
  <w:p w:rsidR="008F5C5F" w:rsidRPr="00A27C50" w:rsidRDefault="008F5C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2 Sveriges delegation</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1" w:h="567" w:hRule="exact" w:vSpace="0" w:wrap="around" w:vAnchor="page" w:y="341" w:anchorLock="0"/>
    </w:pPr>
    <w:r w:rsidRPr="00A27C50">
      <w:rPr>
        <w:rStyle w:val="SidhuvudRubrikReferens"/>
      </w:rPr>
      <w:t>2 Sveriges delegation</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1"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1" w:h="567" w:hRule="exact" w:vSpace="0" w:wrap="around" w:vAnchor="page" w:y="341" w:anchorLock="0"/>
    </w:pPr>
  </w:p>
  <w:p w:rsidR="008F5C5F" w:rsidRPr="00A27C50" w:rsidRDefault="00430095">
    <w:pPr>
      <w:pStyle w:val="SidhuvudKantUdda"/>
      <w:framePr w:w="8731"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3 Samarbetet i Norden och i norra Europa</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1" w:h="567" w:hRule="exact" w:vSpace="0" w:wrap="around" w:vAnchor="page" w:y="341" w:anchorLock="0"/>
    </w:pPr>
    <w:r w:rsidRPr="00A27C50">
      <w:rPr>
        <w:rStyle w:val="SidhuvudRubrikReferens"/>
      </w:rPr>
      <w:t>3 Samarbetet i Norden och i norra Europa</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1"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4 Gränshinder i Norden</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1" w:h="567" w:hRule="exact" w:vSpace="0" w:wrap="around" w:vAnchor="page" w:y="341" w:anchorLock="0"/>
    </w:pPr>
    <w:r w:rsidRPr="00A27C50">
      <w:rPr>
        <w:rStyle w:val="SidhuvudRubrikReferens"/>
      </w:rPr>
      <w:t>4 Gränshinder i Norden</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1"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1" w:h="567" w:hRule="exact" w:vSpace="0" w:wrap="around" w:vAnchor="page" w:y="341" w:anchorLock="0"/>
    </w:pPr>
  </w:p>
  <w:p w:rsidR="008F5C5F" w:rsidRPr="00A27C50" w:rsidRDefault="00430095">
    <w:pPr>
      <w:pStyle w:val="SidhuvudKantUdda"/>
      <w:framePr w:w="8731"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5 Alkoholpolitik i Norden</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Innehållsförteckning</w:t>
    </w:r>
    <w:r w:rsidRPr="00A27C50">
      <w:rPr>
        <w:rStyle w:val="SidhuvudRubrikReferens"/>
      </w:rPr>
      <w:fldChar w:fldCharType="end"/>
    </w:r>
    <w:r w:rsidRPr="00A27C50">
      <w:rPr>
        <w:rStyle w:val="SidhuvudBilaga"/>
      </w:rPr>
      <w:t xml:space="preserve">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1" w:h="567" w:hRule="exact" w:vSpace="0" w:wrap="around" w:vAnchor="page" w:y="341" w:anchorLock="0"/>
    </w:pPr>
    <w:r w:rsidRPr="00A27C50">
      <w:rPr>
        <w:rStyle w:val="SidhuvudRubrikReferens"/>
      </w:rPr>
      <w:t>5 Alkoholpolitik i Norden</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1"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1" w:h="567" w:hRule="exact" w:vSpace="0" w:wrap="around" w:vAnchor="page" w:y="341" w:anchorLock="0"/>
    </w:pPr>
  </w:p>
  <w:p w:rsidR="008F5C5F" w:rsidRPr="00A27C50" w:rsidRDefault="00430095">
    <w:pPr>
      <w:pStyle w:val="SidhuvudKantUdda"/>
      <w:framePr w:w="8731"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 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BetänkandeNr</w:instrText>
    </w:r>
    <w:r w:rsidRPr="00A27C50">
      <w:rPr>
        <w:rStyle w:val="SidhuvudUtskott"/>
      </w:rPr>
      <w:fldChar w:fldCharType="separate"/>
    </w:r>
    <w:r w:rsidRPr="00A27C50">
      <w:rPr>
        <w:rStyle w:val="SidhuvudUtskott"/>
      </w:rPr>
      <w:t>1</w:t>
    </w:r>
    <w:r w:rsidRPr="00A27C50">
      <w:rPr>
        <w:rStyle w:val="SidhuvudUtskott"/>
      </w:rPr>
      <w:fldChar w:fldCharType="end"/>
    </w:r>
    <w:r w:rsidRPr="00A27C50">
      <w:t xml:space="preserve">     </w:t>
    </w:r>
    <w:r w:rsidRPr="00A27C50">
      <w:rPr>
        <w:rStyle w:val="SidhuvudBilaga"/>
      </w:rPr>
      <w:t xml:space="preserve"> </w:t>
    </w: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end"/>
    </w:r>
  </w:p>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Status</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    </w:instrText>
    </w:r>
    <w:r w:rsidRPr="00A27C50">
      <w:rPr>
        <w:rStyle w:val="SidhuvudUtskott"/>
      </w:rPr>
      <w:fldChar w:fldCharType="begin" w:fldLock="1"/>
    </w:r>
    <w:r w:rsidRPr="00A27C50">
      <w:rPr>
        <w:rStyle w:val="SidhuvudUtskott"/>
      </w:rPr>
      <w:instrText xml:space="preserve"> PRINTDATE \@ "yyyy-MM-dd HH.mm"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p>
  <w:p w:rsidR="008F5C5F" w:rsidRPr="00A27C50" w:rsidRDefault="008F5C5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end"/>
    </w:r>
    <w:r w:rsidRPr="00A27C50">
      <w:rPr>
        <w:rStyle w:val="SidhuvudBilaga"/>
      </w:rPr>
      <w:t xml:space="preserve">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7 Nordiska rådets 56:e session i Stockholm den 1–3 november 2004</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2" w:h="567" w:hRule="exact" w:vSpace="0" w:wrap="around" w:vAnchor="page" w:y="341" w:anchorLock="0"/>
    </w:pPr>
    <w:r w:rsidRPr="00A27C50">
      <w:rPr>
        <w:rStyle w:val="SidhuvudRubrikReferens"/>
      </w:rPr>
      <w:t>7 Nordiska rådets 56:e session i Stockholm den 1–3 november 2004</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2"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2" w:h="567" w:hRule="exact" w:vSpace="0" w:wrap="around" w:vAnchor="page" w:y="341" w:anchorLock="0"/>
    </w:pPr>
  </w:p>
  <w:p w:rsidR="008F5C5F" w:rsidRPr="00A27C50" w:rsidRDefault="00430095">
    <w:pPr>
      <w:pStyle w:val="SidhuvudKantUdda"/>
      <w:framePr w:w="8732"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8 Presidiet, utskotten och kontrollkommittén</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2" w:h="567" w:hRule="exact" w:vSpace="0" w:wrap="around" w:vAnchor="page" w:y="341" w:anchorLock="0"/>
    </w:pPr>
    <w:r w:rsidRPr="00A27C50">
      <w:rPr>
        <w:rStyle w:val="SidhuvudRubrikReferens"/>
      </w:rPr>
      <w:t>8 Presidiet, utskotten och kontrollkommittén</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2" w:h="567" w:hRule="exact" w:vSpace="0" w:wrap="around" w:vAnchor="page" w:y="341" w:anchorLock="0"/>
    </w:pPr>
    <w:r w:rsidRPr="00A27C50">
      <w:t xml:space="preserve"> </w:t>
    </w:r>
  </w:p>
  <w:p w:rsidR="008F5C5F" w:rsidRPr="00A27C50" w:rsidRDefault="008F5C5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9 Östersjösamarbetet</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8 Presidiet, utskotten och kontrollkommittén</w:t>
    </w:r>
    <w:r w:rsidRPr="00A27C50">
      <w:rPr>
        <w:rStyle w:val="SidhuvudRubrikReferens"/>
      </w:rPr>
      <w:fldChar w:fldCharType="end"/>
    </w:r>
    <w:r w:rsidRPr="00A27C50">
      <w:rPr>
        <w:rStyle w:val="SidhuvudBilaga"/>
      </w:rPr>
      <w:t xml:space="preserve">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10 Arktiskt samarbete</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9 Östersjösamarbetet</w:t>
    </w:r>
    <w:r w:rsidRPr="00A27C50">
      <w:rPr>
        <w:rStyle w:val="SidhuvudRubrikReferens"/>
      </w:rPr>
      <w:fldChar w:fldCharType="end"/>
    </w:r>
    <w:r w:rsidRPr="00A27C50">
      <w:rPr>
        <w:rStyle w:val="SidhuvudBilaga"/>
      </w:rPr>
      <w:t xml:space="preserve">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Bilaga 1   </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end"/>
    </w:r>
    <w:r w:rsidRPr="00A27C50">
      <w:rPr>
        <w:rStyle w:val="SidhuvudBilaga"/>
      </w:rPr>
      <w:t xml:space="preserve">   Bilaga 1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w:instrText>
    </w:r>
    <w:r w:rsidRPr="00A27C50">
      <w:rPr>
        <w:rStyle w:val="SidhuvudUtskott"/>
      </w:rPr>
      <w:instrText>C</w:instrText>
    </w:r>
    <w:r w:rsidRPr="00A27C50">
      <w:rPr>
        <w:rStyle w:val="SidhuvudUtskott"/>
      </w:rPr>
      <w:instrText>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 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BetänkandeNr</w:instrText>
    </w:r>
    <w:r w:rsidRPr="00A27C50">
      <w:rPr>
        <w:rStyle w:val="SidhuvudUtskott"/>
      </w:rPr>
      <w:fldChar w:fldCharType="separate"/>
    </w:r>
    <w:r w:rsidRPr="00A27C50">
      <w:rPr>
        <w:rStyle w:val="SidhuvudUtskott"/>
      </w:rPr>
      <w:t>1</w:t>
    </w:r>
    <w:r w:rsidRPr="00A27C50">
      <w:rPr>
        <w:rStyle w:val="SidhuvudUtskott"/>
      </w:rPr>
      <w:fldChar w:fldCharType="end"/>
    </w:r>
    <w:r w:rsidRPr="00A27C50">
      <w:t xml:space="preserve">     </w:t>
    </w:r>
    <w:r w:rsidRPr="00A27C50">
      <w:rPr>
        <w:rStyle w:val="SidhuvudBilaga"/>
      </w:rPr>
      <w:t xml:space="preserve"> </w:t>
    </w: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Innehållsförteckning</w:t>
    </w:r>
    <w:r w:rsidRPr="00A27C50">
      <w:rPr>
        <w:rStyle w:val="SidhuvudRubrikReferens"/>
      </w:rPr>
      <w:fldChar w:fldCharType="end"/>
    </w:r>
  </w:p>
  <w:p w:rsidR="008F5C5F" w:rsidRPr="00A27C50" w:rsidRDefault="008F5C5F">
    <w:pPr>
      <w:pStyle w:val="SidhuvudKantJmn"/>
      <w:framePr w:w="8732" w:h="567" w:hRule="exact" w:vSpace="0" w:wrap="around" w:vAnchor="page" w:y="341" w:anchorLock="0"/>
    </w:pPr>
    <w:r w:rsidRPr="00A27C50">
      <w:rPr>
        <w:rStyle w:val="SidhuvudUtskott"/>
      </w:rPr>
      <w:fldChar w:fldCharType="begin" w:fldLock="1"/>
    </w:r>
    <w:r w:rsidRPr="00A27C50">
      <w:rPr>
        <w:rStyle w:val="SidhuvudUtskott"/>
      </w:rPr>
      <w:instrText xml:space="preserve"> DOCPROPERTY Status</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    </w:instrText>
    </w:r>
    <w:r w:rsidRPr="00A27C50">
      <w:rPr>
        <w:rStyle w:val="SidhuvudUtskott"/>
      </w:rPr>
      <w:fldChar w:fldCharType="begin" w:fldLock="1"/>
    </w:r>
    <w:r w:rsidRPr="00A27C50">
      <w:rPr>
        <w:rStyle w:val="SidhuvudUtskott"/>
      </w:rPr>
      <w:instrText xml:space="preserve"> PRINTDATE \@ "yyyy-MM-dd HH.mm"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p>
  <w:p w:rsidR="008F5C5F" w:rsidRPr="00A27C50" w:rsidRDefault="008F5C5F">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Bilaga 2   </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end"/>
    </w:r>
    <w:r w:rsidRPr="00A27C50">
      <w:rPr>
        <w:rStyle w:val="SidhuvudBilaga"/>
      </w:rPr>
      <w:t xml:space="preserve">   Bilaga 2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w:instrText>
    </w:r>
    <w:r w:rsidRPr="00A27C50">
      <w:rPr>
        <w:rStyle w:val="SidhuvudUtskott"/>
      </w:rPr>
      <w:instrText>C</w:instrText>
    </w:r>
    <w:r w:rsidRPr="00A27C50">
      <w:rPr>
        <w:rStyle w:val="SidhuvudUtskott"/>
      </w:rPr>
      <w:instrText>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Bilaga 3   </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Bilaga"/>
      </w:rPr>
      <w:t xml:space="preserve">   Bilaga 3 </w:t>
    </w: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Bilaga 4   </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1" w:h="567" w:hRule="exact" w:vSpace="0" w:wrap="around" w:vAnchor="page" w:y="341" w:anchorLock="0"/>
    </w:pPr>
    <w:r w:rsidRPr="00A27C50">
      <w:rPr>
        <w:rStyle w:val="SidhuvudBilaga"/>
      </w:rPr>
      <w:t xml:space="preserve">   Bilaga 4 </w:t>
    </w:r>
    <w:r w:rsidRPr="00A27C50">
      <w:t xml:space="preserve">     </w:t>
    </w:r>
    <w:r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1"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1" w:h="567" w:hRule="exact" w:vSpace="0" w:wrap="around" w:vAnchor="page" w:y="341" w:anchorLock="0"/>
    </w:pPr>
  </w:p>
  <w:p w:rsidR="008F5C5F" w:rsidRPr="00A27C50" w:rsidRDefault="00430095">
    <w:pPr>
      <w:pStyle w:val="SidhuvudKantUdda"/>
      <w:framePr w:w="8731"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2" w:h="567" w:hRule="exact" w:vSpace="0" w:wrap="around" w:vAnchor="page" w:y="341" w:anchorLock="0"/>
    </w:pPr>
    <w:r w:rsidRPr="00A27C50">
      <w:rPr>
        <w:rStyle w:val="SidhuvudUtskott"/>
      </w:rPr>
      <w:t>2004/05:NR1</w:t>
    </w:r>
    <w:r w:rsidRPr="00A27C50">
      <w:t xml:space="preserve">     </w:t>
    </w:r>
    <w:r w:rsidRPr="00A27C50">
      <w:rPr>
        <w:rStyle w:val="SidhuvudBilaga"/>
      </w:rPr>
      <w:t xml:space="preserve"> Bilaga 5   </w:t>
    </w:r>
  </w:p>
  <w:p w:rsidR="008F5C5F" w:rsidRPr="00A27C50" w:rsidRDefault="008F5C5F">
    <w:pPr>
      <w:pStyle w:val="SidhuvudKantJmn"/>
      <w:framePr w:w="8732" w:h="567" w:hRule="exact" w:vSpace="0" w:wrap="around" w:vAnchor="page" w:y="341" w:anchorLock="0"/>
    </w:pPr>
  </w:p>
  <w:p w:rsidR="008F5C5F" w:rsidRPr="00A27C50" w:rsidRDefault="008F5C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RubrikReferens"/>
      </w:rPr>
      <w:fldChar w:fldCharType="begin" w:fldLock="1"/>
    </w:r>
    <w:r w:rsidRPr="00A27C50">
      <w:rPr>
        <w:rStyle w:val="SidhuvudRubrikReferens"/>
      </w:rPr>
      <w:instrText xml:space="preserve"> StyleREF "Rubrik 1" </w:instrText>
    </w:r>
    <w:r w:rsidRPr="00A27C50">
      <w:rPr>
        <w:rStyle w:val="SidhuvudRubrikReferens"/>
      </w:rPr>
      <w:fldChar w:fldCharType="separate"/>
    </w:r>
    <w:r w:rsidRPr="00A27C50">
      <w:rPr>
        <w:rStyle w:val="SidhuvudRubrikReferens"/>
      </w:rPr>
      <w:t>Innehållsförteckning</w:t>
    </w:r>
    <w:r w:rsidRPr="00A27C50">
      <w:rPr>
        <w:rStyle w:val="SidhuvudRubrikReferens"/>
      </w:rPr>
      <w:fldChar w:fldCharType="end"/>
    </w:r>
    <w:r w:rsidRPr="00A27C50">
      <w:rPr>
        <w:rStyle w:val="SidhuvudBilaga"/>
      </w:rPr>
      <w:t xml:space="preserve"> </w:t>
    </w:r>
    <w:r w:rsidRPr="00A27C50">
      <w:t xml:space="preserve">     </w:t>
    </w:r>
    <w:r w:rsidRPr="00A27C50">
      <w:rPr>
        <w:rStyle w:val="SidhuvudUtskott"/>
      </w:rPr>
      <w:fldChar w:fldCharType="begin" w:fldLock="1"/>
    </w:r>
    <w:r w:rsidRPr="00A27C50">
      <w:rPr>
        <w:rStyle w:val="SidhuvudUtskott"/>
      </w:rPr>
      <w:instrText xml:space="preserve"> DOCPROPERTY BetänkandeÅr</w:instrText>
    </w:r>
    <w:r w:rsidRPr="00A27C50">
      <w:rPr>
        <w:rStyle w:val="SidhuvudUtskott"/>
      </w:rPr>
      <w:fldChar w:fldCharType="separate"/>
    </w:r>
    <w:r w:rsidRPr="00A27C50">
      <w:rPr>
        <w:rStyle w:val="SidhuvudUtskott"/>
      </w:rPr>
      <w:t>2004/05</w:t>
    </w:r>
    <w:r w:rsidRPr="00A27C50">
      <w:rPr>
        <w:rStyle w:val="SidhuvudUtskott"/>
      </w:rPr>
      <w:fldChar w:fldCharType="end"/>
    </w:r>
    <w:r w:rsidRPr="00A27C50">
      <w:rPr>
        <w:rStyle w:val="SidhuvudUtskott"/>
      </w:rPr>
      <w:t>:</w:t>
    </w:r>
    <w:r w:rsidRPr="00A27C50">
      <w:rPr>
        <w:rStyle w:val="SidhuvudUtskott"/>
      </w:rPr>
      <w:fldChar w:fldCharType="begin" w:fldLock="1"/>
    </w:r>
    <w:r w:rsidRPr="00A27C50">
      <w:rPr>
        <w:rStyle w:val="SidhuvudUtskott"/>
      </w:rPr>
      <w:instrText xml:space="preserve"> DOCPROPERTY</w:instrText>
    </w:r>
    <w:r w:rsidRPr="00A27C50">
      <w:instrText xml:space="preserve"> </w:instrText>
    </w:r>
    <w:r w:rsidRPr="00A27C50">
      <w:rPr>
        <w:rStyle w:val="SidhuvudUtskott"/>
      </w:rPr>
      <w:instrText>Utskott</w:instrText>
    </w:r>
    <w:r w:rsidRPr="00A27C50">
      <w:rPr>
        <w:rStyle w:val="SidhuvudUtskott"/>
      </w:rPr>
      <w:fldChar w:fldCharType="separate"/>
    </w:r>
    <w:r w:rsidRPr="00A27C50">
      <w:rPr>
        <w:rStyle w:val="SidhuvudUtskott"/>
      </w:rPr>
      <w:t>NR</w: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DOCPROPERTY Betä</w:instrText>
    </w:r>
    <w:r w:rsidRPr="00A27C50">
      <w:rPr>
        <w:rStyle w:val="SidhuvudUtskott"/>
      </w:rPr>
      <w:instrText>n</w:instrText>
    </w:r>
    <w:r w:rsidRPr="00A27C50">
      <w:rPr>
        <w:rStyle w:val="SidhuvudUtskott"/>
      </w:rPr>
      <w:instrText>kandeNr</w:instrText>
    </w:r>
    <w:r w:rsidRPr="00A27C50">
      <w:rPr>
        <w:rStyle w:val="SidhuvudUtskott"/>
      </w:rPr>
      <w:fldChar w:fldCharType="separate"/>
    </w:r>
    <w:r w:rsidRPr="00A27C50">
      <w:rPr>
        <w:rStyle w:val="SidhuvudUtskott"/>
      </w:rPr>
      <w:t>1</w:t>
    </w:r>
    <w:r w:rsidRPr="00A27C50">
      <w:rPr>
        <w:rStyle w:val="SidhuvudUtskott"/>
      </w:rPr>
      <w:fldChar w:fldCharType="end"/>
    </w:r>
  </w:p>
  <w:p w:rsidR="008F5C5F" w:rsidRPr="00A27C50" w:rsidRDefault="008F5C5F">
    <w:pPr>
      <w:pStyle w:val="SidhuvudKantUdda"/>
      <w:framePr w:w="8732" w:h="567" w:hRule="exact" w:vSpace="0" w:wrap="around" w:vAnchor="page" w:y="341" w:anchorLock="0"/>
    </w:pPr>
    <w:r w:rsidRPr="00A27C50">
      <w:rPr>
        <w:rStyle w:val="SidhuvudUtskott"/>
      </w:rPr>
      <w:fldChar w:fldCharType="begin" w:fldLock="1"/>
    </w:r>
    <w:r w:rsidRPr="00A27C50">
      <w:rPr>
        <w:rStyle w:val="SidhuvudUtskott"/>
      </w:rPr>
      <w:instrText xml:space="preserve"> if </w:instrText>
    </w:r>
    <w:r w:rsidRPr="00A27C50">
      <w:rPr>
        <w:rStyle w:val="SidhuvudUtskott"/>
      </w:rPr>
      <w:fldChar w:fldCharType="begin" w:fldLock="1"/>
    </w:r>
    <w:r w:rsidRPr="00A27C50">
      <w:rPr>
        <w:rStyle w:val="SidhuvudUtskott"/>
      </w:rPr>
      <w:instrText xml:space="preserve"> DOCPROPERTY "UtkastDatum"</w:instrText>
    </w:r>
    <w:r w:rsidRPr="00A27C50">
      <w:rPr>
        <w:rStyle w:val="SidhuvudUtskott"/>
      </w:rPr>
      <w:fldChar w:fldCharType="separate"/>
    </w:r>
    <w:r w:rsidRPr="00A27C50">
      <w:rPr>
        <w:rStyle w:val="SidhuvudUtskott"/>
      </w:rPr>
      <w:instrText>Nej</w:instrText>
    </w:r>
    <w:r w:rsidRPr="00A27C50">
      <w:rPr>
        <w:rStyle w:val="SidhuvudUtskott"/>
      </w:rPr>
      <w:fldChar w:fldCharType="end"/>
    </w:r>
    <w:r w:rsidRPr="00A27C50">
      <w:rPr>
        <w:rStyle w:val="SidhuvudUtskott"/>
      </w:rPr>
      <w:instrText xml:space="preserve"> = "Ja" "</w:instrText>
    </w:r>
    <w:r w:rsidRPr="00A27C50">
      <w:rPr>
        <w:rStyle w:val="SidhuvudUtskott"/>
      </w:rPr>
      <w:fldChar w:fldCharType="begin" w:fldLock="1"/>
    </w:r>
    <w:r w:rsidRPr="00A27C50">
      <w:rPr>
        <w:rStyle w:val="SidhuvudUtskott"/>
      </w:rPr>
      <w:instrText xml:space="preserve"> PRINTDATE \@ "yyyy-MM-dd HH.mm    " </w:instrText>
    </w:r>
    <w:r w:rsidRPr="00A27C50">
      <w:rPr>
        <w:rStyle w:val="SidhuvudUtskott"/>
      </w:rPr>
      <w:fldChar w:fldCharType="separate"/>
    </w:r>
    <w:r w:rsidRPr="00A27C50">
      <w:rPr>
        <w:rStyle w:val="SidhuvudUtskott"/>
      </w:rPr>
      <w:instrText>2000-08-11 16.42</w:instrText>
    </w:r>
    <w:r w:rsidRPr="00A27C50">
      <w:rPr>
        <w:rStyle w:val="SidhuvudUtskott"/>
      </w:rPr>
      <w:fldChar w:fldCharType="end"/>
    </w:r>
    <w:r w:rsidRPr="00A27C50">
      <w:rPr>
        <w:rStyle w:val="SidhuvudUtskott"/>
      </w:rPr>
      <w:instrText xml:space="preserve">" </w:instrText>
    </w:r>
    <w:r w:rsidRPr="00A27C50">
      <w:rPr>
        <w:rStyle w:val="SidhuvudUtskott"/>
      </w:rPr>
      <w:fldChar w:fldCharType="end"/>
    </w:r>
    <w:r w:rsidRPr="00A27C50">
      <w:rPr>
        <w:rStyle w:val="SidhuvudUtskott"/>
      </w:rPr>
      <w:fldChar w:fldCharType="begin" w:fldLock="1"/>
    </w:r>
    <w:r w:rsidRPr="00A27C50">
      <w:rPr>
        <w:rStyle w:val="SidhuvudUtskott"/>
      </w:rPr>
      <w:instrText xml:space="preserve"> DOCPR</w:instrText>
    </w:r>
    <w:r w:rsidRPr="00A27C50">
      <w:rPr>
        <w:rStyle w:val="SidhuvudUtskott"/>
      </w:rPr>
      <w:instrText>O</w:instrText>
    </w:r>
    <w:r w:rsidRPr="00A27C50">
      <w:rPr>
        <w:rStyle w:val="SidhuvudUtskott"/>
      </w:rPr>
      <w:instrText>PERTY Status</w:instrText>
    </w:r>
    <w:r w:rsidRPr="00A27C50">
      <w:rPr>
        <w:rStyle w:val="SidhuvudUtskott"/>
      </w:rPr>
      <w:fldChar w:fldCharType="end"/>
    </w:r>
  </w:p>
  <w:p w:rsidR="008F5C5F" w:rsidRPr="00A27C50" w:rsidRDefault="008F5C5F">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Udda"/>
      <w:framePr w:w="8732" w:h="567" w:hRule="exact" w:vSpace="0" w:wrap="around" w:vAnchor="page" w:y="341" w:anchorLock="0"/>
    </w:pPr>
    <w:r w:rsidRPr="00A27C50">
      <w:rPr>
        <w:rStyle w:val="SidhuvudBilaga"/>
      </w:rPr>
      <w:t xml:space="preserve">   Bilaga 5 </w:t>
    </w: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2"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2" w:h="567" w:hRule="exact" w:vSpace="0" w:wrap="around" w:vAnchor="page" w:y="341" w:anchorLock="0"/>
    </w:pPr>
  </w:p>
  <w:p w:rsidR="008F5C5F" w:rsidRPr="00A27C50" w:rsidRDefault="008F5C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Jmn"/>
      <w:framePr w:w="8732" w:h="567" w:hRule="exact" w:vSpace="0" w:wrap="around" w:vAnchor="page" w:y="341" w:anchorLock="0"/>
    </w:pPr>
    <w:r w:rsidRPr="00A27C50">
      <w:rPr>
        <w:rStyle w:val="SidhuvudUtskott"/>
      </w:rPr>
      <w:t>2004/05:NR1</w:t>
    </w:r>
    <w:r w:rsidRPr="00A27C50">
      <w:t xml:space="preserve">    </w:t>
    </w:r>
  </w:p>
  <w:p w:rsidR="00430095" w:rsidRPr="00A27C50" w:rsidRDefault="00430095">
    <w:pPr>
      <w:pStyle w:val="SidhuvudKantJmn"/>
      <w:framePr w:w="8732" w:h="567" w:hRule="exact" w:vSpace="0" w:wrap="around" w:vAnchor="page" w:y="341" w:anchorLock="0"/>
    </w:pPr>
  </w:p>
  <w:p w:rsidR="008F5C5F" w:rsidRPr="00A27C50" w:rsidRDefault="00430095">
    <w:pPr>
      <w:pStyle w:val="SidhuvudKantUdda"/>
      <w:framePr w:w="8732" w:h="567" w:hRule="exact" w:vSpace="0" w:wrap="around" w:vAnchor="page" w:y="341" w:anchorLock="0"/>
    </w:pPr>
    <w:r w:rsidRPr="00A27C50">
      <w:rPr>
        <w:rStyle w:val="SidhuvudRubrikReferens"/>
        <w:smallCaps w:val="0"/>
      </w:rPr>
      <w:t xml:space="preserve"> </w:t>
    </w:r>
  </w:p>
  <w:p w:rsidR="008F5C5F" w:rsidRPr="00A27C50" w:rsidRDefault="008F5C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8F5C5F">
    <w:pPr>
      <w:pStyle w:val="SidhuvudKantJmn"/>
      <w:framePr w:w="8731" w:h="567" w:hRule="exact" w:vSpace="0" w:wrap="around" w:vAnchor="page" w:y="341" w:anchorLock="0"/>
    </w:pPr>
    <w:r w:rsidRPr="00A27C50">
      <w:rPr>
        <w:rStyle w:val="SidhuvudUtskott"/>
      </w:rPr>
      <w:t>2004/05:NR1</w:t>
    </w:r>
    <w:r w:rsidRPr="00A27C50">
      <w:t xml:space="preserve">     </w:t>
    </w:r>
    <w:r w:rsidRPr="00A27C50">
      <w:rPr>
        <w:rStyle w:val="SidhuvudBilaga"/>
      </w:rPr>
      <w:t xml:space="preserve"> </w:t>
    </w:r>
    <w:r w:rsidR="00430095" w:rsidRPr="00A27C50">
      <w:rPr>
        <w:rStyle w:val="SidhuvudRubrikReferens"/>
      </w:rPr>
      <w:t>1 Inledning</w:t>
    </w:r>
  </w:p>
  <w:p w:rsidR="008F5C5F" w:rsidRPr="00A27C50" w:rsidRDefault="008F5C5F">
    <w:pPr>
      <w:pStyle w:val="SidhuvudKantJmn"/>
      <w:framePr w:w="8731" w:h="567" w:hRule="exact" w:vSpace="0" w:wrap="around" w:vAnchor="page" w:y="341" w:anchorLock="0"/>
    </w:pPr>
  </w:p>
  <w:p w:rsidR="008F5C5F" w:rsidRPr="00A27C50" w:rsidRDefault="008F5C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F" w:rsidRPr="00A27C50" w:rsidRDefault="00430095">
    <w:pPr>
      <w:pStyle w:val="SidhuvudKantUdda"/>
      <w:framePr w:w="8731" w:h="567" w:hRule="exact" w:vSpace="0" w:wrap="around" w:vAnchor="page" w:y="341" w:anchorLock="0"/>
    </w:pPr>
    <w:r w:rsidRPr="00A27C50">
      <w:rPr>
        <w:rStyle w:val="SidhuvudRubrikReferens"/>
      </w:rPr>
      <w:t>1 Inledning</w:t>
    </w:r>
    <w:r w:rsidR="008F5C5F" w:rsidRPr="00A27C50">
      <w:rPr>
        <w:rStyle w:val="SidhuvudBilaga"/>
      </w:rPr>
      <w:t xml:space="preserve"> </w:t>
    </w:r>
    <w:r w:rsidR="008F5C5F" w:rsidRPr="00A27C50">
      <w:t xml:space="preserve">     </w:t>
    </w:r>
    <w:r w:rsidR="008F5C5F"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95" w:rsidRPr="00A27C50" w:rsidRDefault="00430095">
    <w:pPr>
      <w:pStyle w:val="SidhuvudKantUdda"/>
      <w:framePr w:w="8731" w:h="567" w:hRule="exact" w:vSpace="0" w:wrap="around" w:vAnchor="page" w:y="341" w:anchorLock="0"/>
    </w:pPr>
    <w:r w:rsidRPr="00A27C50">
      <w:t xml:space="preserve">  </w:t>
    </w:r>
    <w:r w:rsidRPr="00A27C50">
      <w:rPr>
        <w:rStyle w:val="SidhuvudUtskott"/>
      </w:rPr>
      <w:t>2004/05:NR1</w:t>
    </w:r>
  </w:p>
  <w:p w:rsidR="008F5C5F" w:rsidRPr="00A27C50" w:rsidRDefault="008F5C5F">
    <w:pPr>
      <w:pStyle w:val="SidhuvudKantUdda"/>
      <w:framePr w:w="8731" w:h="567" w:hRule="exact" w:vSpace="0" w:wrap="around" w:vAnchor="page" w:y="341" w:anchorLock="0"/>
    </w:pPr>
  </w:p>
  <w:p w:rsidR="008F5C5F" w:rsidRPr="00A27C50" w:rsidRDefault="008F5C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E3E"/>
    <w:multiLevelType w:val="singleLevel"/>
    <w:tmpl w:val="2988B4E8"/>
    <w:lvl w:ilvl="0">
      <w:start w:val="1"/>
      <w:numFmt w:val="decimal"/>
      <w:lvlText w:val="%1)"/>
      <w:lvlJc w:val="left"/>
      <w:pPr>
        <w:tabs>
          <w:tab w:val="num" w:pos="360"/>
        </w:tabs>
        <w:ind w:left="360" w:hanging="360"/>
      </w:pPr>
    </w:lvl>
  </w:abstractNum>
  <w:abstractNum w:abstractNumId="1" w15:restartNumberingAfterBreak="0">
    <w:nsid w:val="10E4362A"/>
    <w:multiLevelType w:val="singleLevel"/>
    <w:tmpl w:val="AD807E20"/>
    <w:lvl w:ilvl="0">
      <w:start w:val="1"/>
      <w:numFmt w:val="lowerLetter"/>
      <w:pStyle w:val="Punktopstillingbogstaver"/>
      <w:lvlText w:val="%1)"/>
      <w:lvlJc w:val="left"/>
      <w:pPr>
        <w:tabs>
          <w:tab w:val="num" w:pos="567"/>
        </w:tabs>
        <w:ind w:left="567" w:hanging="567"/>
      </w:pPr>
    </w:lvl>
  </w:abstractNum>
  <w:abstractNum w:abstractNumId="2" w15:restartNumberingAfterBreak="0">
    <w:nsid w:val="1864757C"/>
    <w:multiLevelType w:val="singleLevel"/>
    <w:tmpl w:val="2988B4E8"/>
    <w:lvl w:ilvl="0">
      <w:start w:val="1"/>
      <w:numFmt w:val="decimal"/>
      <w:lvlText w:val="%1)"/>
      <w:lvlJc w:val="left"/>
      <w:pPr>
        <w:tabs>
          <w:tab w:val="num" w:pos="360"/>
        </w:tabs>
        <w:ind w:left="360" w:hanging="360"/>
      </w:pPr>
    </w:lvl>
  </w:abstractNum>
  <w:abstractNum w:abstractNumId="3" w15:restartNumberingAfterBreak="0">
    <w:nsid w:val="195765DF"/>
    <w:multiLevelType w:val="singleLevel"/>
    <w:tmpl w:val="C09C94B6"/>
    <w:lvl w:ilvl="0">
      <w:start w:val="1"/>
      <w:numFmt w:val="lowerRoman"/>
      <w:pStyle w:val="UpprknIIIII"/>
      <w:lvlText w:val="%1."/>
      <w:lvlJc w:val="left"/>
      <w:pPr>
        <w:tabs>
          <w:tab w:val="num" w:pos="2822"/>
        </w:tabs>
        <w:ind w:left="2822" w:hanging="720"/>
      </w:pPr>
      <w:rPr>
        <w:rFonts w:hint="default"/>
      </w:rPr>
    </w:lvl>
  </w:abstractNum>
  <w:abstractNum w:abstractNumId="4" w15:restartNumberingAfterBreak="0">
    <w:nsid w:val="2CD81F54"/>
    <w:multiLevelType w:val="singleLevel"/>
    <w:tmpl w:val="2988B4E8"/>
    <w:lvl w:ilvl="0">
      <w:start w:val="1"/>
      <w:numFmt w:val="decimal"/>
      <w:lvlText w:val="%1)"/>
      <w:lvlJc w:val="left"/>
      <w:pPr>
        <w:tabs>
          <w:tab w:val="num" w:pos="360"/>
        </w:tabs>
        <w:ind w:left="360" w:hanging="360"/>
      </w:pPr>
    </w:lvl>
  </w:abstractNum>
  <w:abstractNum w:abstractNumId="5" w15:restartNumberingAfterBreak="0">
    <w:nsid w:val="38060651"/>
    <w:multiLevelType w:val="singleLevel"/>
    <w:tmpl w:val="52761070"/>
    <w:lvl w:ilvl="0">
      <w:start w:val="1"/>
      <w:numFmt w:val="decimal"/>
      <w:lvlText w:val="%1)"/>
      <w:lvlJc w:val="left"/>
      <w:pPr>
        <w:tabs>
          <w:tab w:val="num" w:pos="360"/>
        </w:tabs>
        <w:ind w:left="360" w:hanging="360"/>
      </w:pPr>
      <w:rPr>
        <w:sz w:val="19"/>
      </w:rPr>
    </w:lvl>
  </w:abstractNum>
  <w:abstractNum w:abstractNumId="6" w15:restartNumberingAfterBreak="0">
    <w:nsid w:val="3DE37901"/>
    <w:multiLevelType w:val="singleLevel"/>
    <w:tmpl w:val="DB4C774E"/>
    <w:lvl w:ilvl="0">
      <w:start w:val="1"/>
      <w:numFmt w:val="decimal"/>
      <w:pStyle w:val="UpprknNummer"/>
      <w:lvlText w:val="%1)"/>
      <w:lvlJc w:val="left"/>
      <w:pPr>
        <w:tabs>
          <w:tab w:val="num" w:pos="734"/>
        </w:tabs>
        <w:ind w:left="734" w:hanging="360"/>
      </w:pPr>
      <w:rPr>
        <w:rFonts w:hint="default"/>
      </w:rPr>
    </w:lvl>
  </w:abstractNum>
  <w:abstractNum w:abstractNumId="7" w15:restartNumberingAfterBreak="0">
    <w:nsid w:val="51556478"/>
    <w:multiLevelType w:val="singleLevel"/>
    <w:tmpl w:val="2988B4E8"/>
    <w:lvl w:ilvl="0">
      <w:start w:val="1"/>
      <w:numFmt w:val="decimal"/>
      <w:lvlText w:val="%1)"/>
      <w:lvlJc w:val="left"/>
      <w:pPr>
        <w:tabs>
          <w:tab w:val="num" w:pos="360"/>
        </w:tabs>
        <w:ind w:left="360" w:hanging="360"/>
      </w:pPr>
    </w:lvl>
  </w:abstractNum>
  <w:abstractNum w:abstractNumId="8" w15:restartNumberingAfterBreak="0">
    <w:nsid w:val="581D2ACE"/>
    <w:multiLevelType w:val="singleLevel"/>
    <w:tmpl w:val="411AFDEE"/>
    <w:lvl w:ilvl="0">
      <w:numFmt w:val="bullet"/>
      <w:pStyle w:val="PunktlistaStreck"/>
      <w:lvlText w:val="–"/>
      <w:lvlJc w:val="left"/>
      <w:pPr>
        <w:tabs>
          <w:tab w:val="num" w:pos="360"/>
        </w:tabs>
        <w:ind w:left="227" w:hanging="227"/>
      </w:pPr>
      <w:rPr>
        <w:rFonts w:ascii="Times New Roman" w:eastAsia="AvantGarde" w:hAnsi="Times New Roman" w:hint="default"/>
      </w:rPr>
    </w:lvl>
  </w:abstractNum>
  <w:abstractNum w:abstractNumId="9" w15:restartNumberingAfterBreak="0">
    <w:nsid w:val="59E73E41"/>
    <w:multiLevelType w:val="singleLevel"/>
    <w:tmpl w:val="2988B4E8"/>
    <w:lvl w:ilvl="0">
      <w:start w:val="1"/>
      <w:numFmt w:val="decimal"/>
      <w:lvlText w:val="%1)"/>
      <w:lvlJc w:val="left"/>
      <w:pPr>
        <w:tabs>
          <w:tab w:val="num" w:pos="360"/>
        </w:tabs>
        <w:ind w:left="360" w:hanging="360"/>
      </w:pPr>
    </w:lvl>
  </w:abstractNum>
  <w:abstractNum w:abstractNumId="10" w15:restartNumberingAfterBreak="0">
    <w:nsid w:val="5B4B28B2"/>
    <w:multiLevelType w:val="singleLevel"/>
    <w:tmpl w:val="2988B4E8"/>
    <w:lvl w:ilvl="0">
      <w:start w:val="1"/>
      <w:numFmt w:val="decimal"/>
      <w:lvlText w:val="%1)"/>
      <w:lvlJc w:val="left"/>
      <w:pPr>
        <w:tabs>
          <w:tab w:val="num" w:pos="360"/>
        </w:tabs>
        <w:ind w:left="360" w:hanging="360"/>
      </w:pPr>
    </w:lvl>
  </w:abstractNum>
  <w:abstractNum w:abstractNumId="11" w15:restartNumberingAfterBreak="0">
    <w:nsid w:val="6CDE4F4C"/>
    <w:multiLevelType w:val="singleLevel"/>
    <w:tmpl w:val="E9E6CE32"/>
    <w:lvl w:ilvl="0">
      <w:start w:val="1"/>
      <w:numFmt w:val="lowerRoman"/>
      <w:pStyle w:val="Upprkniiii"/>
      <w:lvlText w:val="%1."/>
      <w:lvlJc w:val="left"/>
      <w:pPr>
        <w:tabs>
          <w:tab w:val="num" w:pos="720"/>
        </w:tabs>
        <w:ind w:left="340" w:hanging="340"/>
      </w:pPr>
      <w:rPr>
        <w:rFonts w:hint="default"/>
      </w:rPr>
    </w:lvl>
  </w:abstractNum>
  <w:abstractNum w:abstractNumId="12" w15:restartNumberingAfterBreak="0">
    <w:nsid w:val="6F555B85"/>
    <w:multiLevelType w:val="singleLevel"/>
    <w:tmpl w:val="2988B4E8"/>
    <w:lvl w:ilvl="0">
      <w:start w:val="1"/>
      <w:numFmt w:val="decimal"/>
      <w:lvlText w:val="%1)"/>
      <w:lvlJc w:val="left"/>
      <w:pPr>
        <w:tabs>
          <w:tab w:val="num" w:pos="360"/>
        </w:tabs>
        <w:ind w:left="360" w:hanging="360"/>
      </w:pPr>
    </w:lvl>
  </w:abstractNum>
  <w:abstractNum w:abstractNumId="13" w15:restartNumberingAfterBreak="0">
    <w:nsid w:val="72FE43D6"/>
    <w:multiLevelType w:val="singleLevel"/>
    <w:tmpl w:val="2988B4E8"/>
    <w:lvl w:ilvl="0">
      <w:start w:val="1"/>
      <w:numFmt w:val="decimal"/>
      <w:lvlText w:val="%1)"/>
      <w:lvlJc w:val="left"/>
      <w:pPr>
        <w:tabs>
          <w:tab w:val="num" w:pos="360"/>
        </w:tabs>
        <w:ind w:left="360" w:hanging="360"/>
      </w:pPr>
    </w:lvl>
  </w:abstractNum>
  <w:abstractNum w:abstractNumId="14" w15:restartNumberingAfterBreak="0">
    <w:nsid w:val="78FC2FA4"/>
    <w:multiLevelType w:val="singleLevel"/>
    <w:tmpl w:val="2988B4E8"/>
    <w:lvl w:ilvl="0">
      <w:start w:val="1"/>
      <w:numFmt w:val="decimal"/>
      <w:lvlText w:val="%1)"/>
      <w:lvlJc w:val="left"/>
      <w:pPr>
        <w:tabs>
          <w:tab w:val="num" w:pos="360"/>
        </w:tabs>
        <w:ind w:left="360" w:hanging="360"/>
      </w:pPr>
    </w:lvl>
  </w:abstractNum>
  <w:num w:numId="1" w16cid:durableId="961230209">
    <w:abstractNumId w:val="1"/>
  </w:num>
  <w:num w:numId="2" w16cid:durableId="1179857398">
    <w:abstractNumId w:val="0"/>
  </w:num>
  <w:num w:numId="3" w16cid:durableId="1810632242">
    <w:abstractNumId w:val="12"/>
  </w:num>
  <w:num w:numId="4" w16cid:durableId="1373916251">
    <w:abstractNumId w:val="9"/>
  </w:num>
  <w:num w:numId="5" w16cid:durableId="204874616">
    <w:abstractNumId w:val="5"/>
  </w:num>
  <w:num w:numId="6" w16cid:durableId="1502813903">
    <w:abstractNumId w:val="14"/>
  </w:num>
  <w:num w:numId="7" w16cid:durableId="524754186">
    <w:abstractNumId w:val="7"/>
  </w:num>
  <w:num w:numId="8" w16cid:durableId="1040940443">
    <w:abstractNumId w:val="2"/>
  </w:num>
  <w:num w:numId="9" w16cid:durableId="2102682758">
    <w:abstractNumId w:val="8"/>
  </w:num>
  <w:num w:numId="10" w16cid:durableId="1022240120">
    <w:abstractNumId w:val="8"/>
  </w:num>
  <w:num w:numId="11" w16cid:durableId="910432988">
    <w:abstractNumId w:val="13"/>
  </w:num>
  <w:num w:numId="12" w16cid:durableId="501357137">
    <w:abstractNumId w:val="4"/>
  </w:num>
  <w:num w:numId="13" w16cid:durableId="1201669173">
    <w:abstractNumId w:val="6"/>
  </w:num>
  <w:num w:numId="14" w16cid:durableId="161822273">
    <w:abstractNumId w:val="8"/>
  </w:num>
  <w:num w:numId="15" w16cid:durableId="317345442">
    <w:abstractNumId w:val="10"/>
  </w:num>
  <w:num w:numId="16" w16cid:durableId="1651592655">
    <w:abstractNumId w:val="11"/>
  </w:num>
  <w:num w:numId="17" w16cid:durableId="1322852611">
    <w:abstractNumId w:val="3"/>
  </w:num>
  <w:num w:numId="18" w16cid:durableId="695735532">
    <w:abstractNumId w:val="11"/>
    <w:lvlOverride w:ilvl="0">
      <w:startOverride w:val="1"/>
    </w:lvlOverride>
  </w:num>
  <w:num w:numId="19" w16cid:durableId="1726298775">
    <w:abstractNumId w:val="11"/>
  </w:num>
  <w:num w:numId="20" w16cid:durableId="1621256989">
    <w:abstractNumId w:val="11"/>
    <w:lvlOverride w:ilvl="0">
      <w:startOverride w:val="1"/>
    </w:lvlOverride>
  </w:num>
  <w:num w:numId="21" w16cid:durableId="2085107866">
    <w:abstractNumId w:val="8"/>
  </w:num>
  <w:num w:numId="22" w16cid:durableId="520896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405"/>
  </w:docVars>
  <w:rsids>
    <w:rsidRoot w:val="000D6448"/>
    <w:rsid w:val="000D6448"/>
    <w:rsid w:val="00430095"/>
    <w:rsid w:val="00877CC2"/>
    <w:rsid w:val="008F5C5F"/>
    <w:rsid w:val="00957355"/>
    <w:rsid w:val="00A27C50"/>
    <w:rsid w:val="00AA0B7E"/>
    <w:rsid w:val="00AE1E67"/>
    <w:rsid w:val="00AF20CB"/>
    <w:rsid w:val="00BC47B8"/>
    <w:rsid w:val="00E5735C"/>
    <w:rsid w:val="00E80B1E"/>
    <w:rsid w:val="00F34B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C23D6A8-051A-429B-B1B1-493792B8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pPr>
      <w:spacing w:before="0" w:after="120" w:line="240" w:lineRule="auto"/>
      <w:jc w:val="left"/>
    </w:pPr>
    <w:rPr>
      <w:sz w:val="24"/>
    </w:rPr>
  </w:style>
  <w:style w:type="paragraph" w:customStyle="1" w:styleId="Typografi35">
    <w:name w:val="Typografi35"/>
    <w:basedOn w:val="Normal"/>
    <w:pPr>
      <w:spacing w:before="0" w:after="280" w:line="240" w:lineRule="auto"/>
      <w:ind w:left="425"/>
      <w:jc w:val="left"/>
    </w:pPr>
    <w:rPr>
      <w:sz w:val="24"/>
      <w:lang w:val="da-DK"/>
    </w:rPr>
  </w:style>
  <w:style w:type="paragraph" w:customStyle="1" w:styleId="TabelNormal">
    <w:name w:val="Tabel Normal"/>
    <w:basedOn w:val="Sidhuvud"/>
    <w:pPr>
      <w:tabs>
        <w:tab w:val="clear" w:pos="4252"/>
        <w:tab w:val="clear" w:pos="8504"/>
      </w:tabs>
      <w:spacing w:after="120" w:line="240" w:lineRule="auto"/>
      <w:ind w:left="0"/>
      <w:jc w:val="both"/>
    </w:pPr>
    <w:rPr>
      <w:sz w:val="22"/>
      <w:lang w:val="nb-NO"/>
    </w:rPr>
  </w:style>
  <w:style w:type="paragraph" w:customStyle="1" w:styleId="Typografi3">
    <w:name w:val="Typografi3"/>
    <w:basedOn w:val="Normal"/>
    <w:pPr>
      <w:spacing w:before="0" w:line="300" w:lineRule="auto"/>
      <w:jc w:val="left"/>
    </w:pPr>
    <w:rPr>
      <w:rFonts w:ascii="Arial" w:hAnsi="Arial"/>
      <w:b/>
      <w:kern w:val="20"/>
      <w:sz w:val="24"/>
      <w:lang w:val="da-DK"/>
    </w:rPr>
  </w:style>
  <w:style w:type="paragraph" w:customStyle="1" w:styleId="Punktopstillingbogstaver">
    <w:name w:val="Punktopstilling bogstaver"/>
    <w:basedOn w:val="Normal"/>
    <w:pPr>
      <w:numPr>
        <w:numId w:val="1"/>
      </w:numPr>
      <w:tabs>
        <w:tab w:val="clear" w:pos="567"/>
        <w:tab w:val="num" w:pos="360"/>
      </w:tabs>
      <w:spacing w:before="0" w:line="240" w:lineRule="auto"/>
      <w:ind w:left="360" w:hanging="360"/>
    </w:pPr>
    <w:rPr>
      <w:sz w:val="22"/>
      <w:lang w:val="nb-NO"/>
    </w:rPr>
  </w:style>
  <w:style w:type="paragraph" w:customStyle="1" w:styleId="PunktlistaStreck">
    <w:name w:val="Punktlista_Streck"/>
    <w:basedOn w:val="Normal"/>
    <w:pPr>
      <w:numPr>
        <w:numId w:val="22"/>
      </w:numPr>
    </w:pPr>
  </w:style>
  <w:style w:type="paragraph" w:customStyle="1" w:styleId="Tabel">
    <w:name w:val="Tabel"/>
    <w:basedOn w:val="Normal"/>
    <w:pPr>
      <w:spacing w:before="0" w:after="120" w:line="240" w:lineRule="auto"/>
    </w:pPr>
    <w:rPr>
      <w:sz w:val="22"/>
      <w:lang w:val="nb-NO"/>
    </w:rPr>
  </w:style>
  <w:style w:type="paragraph" w:customStyle="1" w:styleId="TabelOverskrift">
    <w:name w:val="Tabel Overskrift"/>
    <w:basedOn w:val="Rubrik5"/>
    <w:pPr>
      <w:keepLines w:val="0"/>
      <w:suppressAutoHyphens w:val="0"/>
      <w:spacing w:before="0" w:after="120" w:line="240" w:lineRule="auto"/>
      <w:jc w:val="both"/>
    </w:pPr>
    <w:rPr>
      <w:noProof w:val="0"/>
      <w:sz w:val="22"/>
      <w:lang w:val="nb-NO"/>
    </w:rPr>
  </w:style>
  <w:style w:type="paragraph" w:styleId="Brdtextmedindrag">
    <w:name w:val="Body Text Indent"/>
    <w:basedOn w:val="Normal"/>
    <w:pPr>
      <w:autoSpaceDE w:val="0"/>
      <w:autoSpaceDN w:val="0"/>
      <w:adjustRightInd w:val="0"/>
      <w:spacing w:before="0" w:line="240" w:lineRule="auto"/>
      <w:ind w:left="284"/>
      <w:jc w:val="left"/>
    </w:pPr>
    <w:rPr>
      <w:rFonts w:ascii="TimesNewRoman" w:hAnsi="TimesNewRoman"/>
      <w:sz w:val="24"/>
    </w:rPr>
  </w:style>
  <w:style w:type="paragraph" w:customStyle="1" w:styleId="UpprknNummer">
    <w:name w:val="UppräknNummer"/>
    <w:basedOn w:val="Normal"/>
    <w:pPr>
      <w:numPr>
        <w:numId w:val="13"/>
      </w:numPr>
      <w:shd w:val="clear" w:color="auto" w:fill="FFFFFF"/>
      <w:spacing w:line="240" w:lineRule="atLeast"/>
      <w:ind w:right="45"/>
    </w:pPr>
  </w:style>
  <w:style w:type="paragraph" w:customStyle="1" w:styleId="Rubrik3Spec">
    <w:name w:val="Rubrik3Spec"/>
    <w:basedOn w:val="Rubrik3"/>
    <w:pPr>
      <w:tabs>
        <w:tab w:val="left" w:pos="567"/>
      </w:tabs>
      <w:suppressAutoHyphens w:val="0"/>
      <w:ind w:left="567" w:hanging="567"/>
    </w:pPr>
  </w:style>
  <w:style w:type="paragraph" w:customStyle="1" w:styleId="UpprknIIIII">
    <w:name w:val="UppräknIIIII"/>
    <w:basedOn w:val="Normal"/>
    <w:pPr>
      <w:numPr>
        <w:numId w:val="17"/>
      </w:numPr>
      <w:shd w:val="clear" w:color="auto" w:fill="FFFFFF"/>
      <w:spacing w:before="120" w:line="240" w:lineRule="exact"/>
    </w:pPr>
  </w:style>
  <w:style w:type="paragraph" w:customStyle="1" w:styleId="Upprkniiii">
    <w:name w:val="Uppräkniiii"/>
    <w:basedOn w:val="Normal"/>
    <w:pPr>
      <w:numPr>
        <w:numId w:val="19"/>
      </w:numPr>
      <w:tabs>
        <w:tab w:val="left" w:pos="397"/>
      </w:tabs>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16785</Words>
  <Characters>104575</Characters>
  <Application>Microsoft Office Word</Application>
  <DocSecurity>4</DocSecurity>
  <Lines>2376</Lines>
  <Paragraphs>831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Riksdagsförvaltningens skrivelse</vt:lpstr>
      <vt:lpstr>Riksdagsförvaltningens skrivelse</vt:lpstr>
    </vt:vector>
  </TitlesOfParts>
  <Company>Riksdagen</Company>
  <LinksUpToDate>false</LinksUpToDate>
  <CharactersWithSpaces>120529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dc:description/>
  <cp:lastModifiedBy>Lars Brink</cp:lastModifiedBy>
  <cp:revision>2</cp:revision>
  <cp:lastPrinted>2005-03-15T13:32:00Z</cp:lastPrinted>
  <dcterms:created xsi:type="dcterms:W3CDTF">2025-12-16T18:36:00Z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