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202" w:rsidRPr="0049359C" w:rsidRDefault="002D0202">
      <w:pPr>
        <w:pStyle w:val="Frslagsrubrik"/>
      </w:pPr>
      <w:r w:rsidRPr="0049359C">
        <w:t>Förslag till riksdagsbeslut</w:t>
      </w:r>
    </w:p>
    <w:p w:rsidR="002D0202" w:rsidRPr="0049359C" w:rsidRDefault="002D0202">
      <w:pPr>
        <w:pStyle w:val="Hemstlatt"/>
      </w:pPr>
      <w:r w:rsidRPr="0049359C">
        <w:t>Riksdagen avslår proposition 2011/12:92 Gemensam organisation för export- och investeringsfrämjande och begär att regeringen återkommer med ett nytt förslag om hur man kan stärka svenskt handels- och investeringsfrämjande.</w:t>
      </w:r>
    </w:p>
    <w:p w:rsidR="002D0202" w:rsidRPr="0049359C" w:rsidRDefault="002D0202">
      <w:pPr>
        <w:pStyle w:val="Rubrik1"/>
      </w:pPr>
      <w:r w:rsidRPr="0049359C">
        <w:t>Motivering</w:t>
      </w:r>
    </w:p>
    <w:p w:rsidR="002D0202" w:rsidRPr="0049359C" w:rsidRDefault="002D0202">
      <w:pPr>
        <w:pStyle w:val="Normalwebb"/>
      </w:pPr>
      <w:r w:rsidRPr="0049359C">
        <w:t>I proposition 2011/12:92 föreslås en sammanslagning av det statligt finansi</w:t>
      </w:r>
      <w:r w:rsidRPr="0049359C">
        <w:t>e</w:t>
      </w:r>
      <w:r w:rsidRPr="0049359C">
        <w:t xml:space="preserve">rade export- och investeringsfrämjande som utförs av Sveriges exportråd </w:t>
      </w:r>
      <w:r w:rsidRPr="0049359C">
        <w:rPr>
          <w:i/>
        </w:rPr>
        <w:t>(Exportrådet</w:t>
      </w:r>
      <w:r w:rsidRPr="0049359C">
        <w:t>) och Myndigheten för utländska investeringar i Sverige (</w:t>
      </w:r>
      <w:r w:rsidRPr="0049359C">
        <w:rPr>
          <w:i/>
        </w:rPr>
        <w:t>Invest Sweden</w:t>
      </w:r>
      <w:r w:rsidRPr="0049359C">
        <w:t>) i den nya organisationen Sveriges export- och investeringsråd. Ha</w:t>
      </w:r>
      <w:r w:rsidRPr="0049359C">
        <w:t>n</w:t>
      </w:r>
      <w:r w:rsidRPr="0049359C">
        <w:t>delspolitiken utgör en grundbult för den svenska näringspolitiken. Mer än hälften av vår BNP kommer från exportindustrin. För ett litet land som Sver</w:t>
      </w:r>
      <w:r w:rsidRPr="0049359C">
        <w:t>i</w:t>
      </w:r>
      <w:r w:rsidRPr="0049359C">
        <w:t>ge, som konkurrerar i en global ekonomi, är det av största vikt att handelsp</w:t>
      </w:r>
      <w:r w:rsidRPr="0049359C">
        <w:t>o</w:t>
      </w:r>
      <w:r w:rsidRPr="0049359C">
        <w:t>litiken bidrar till att underlätta export- och investeringsfrä</w:t>
      </w:r>
      <w:r w:rsidRPr="0049359C">
        <w:t>mjande.</w:t>
      </w:r>
    </w:p>
    <w:p w:rsidR="002D0202" w:rsidRPr="0049359C" w:rsidRDefault="002D0202">
      <w:pPr>
        <w:pStyle w:val="Normaltindrag"/>
      </w:pPr>
      <w:r w:rsidRPr="0049359C">
        <w:t>Vi socialdemokrater avvisar inte regeringens ambitioner att effektivisera verksamheterna för export- och investeringsfrämjande. Det är möjligt att det kan uppstå synergieffekter i samband med sammanslagning av handels- och investeringsfrämjandeverksamheterna. Vi vill dock peka på ett antal punkter som är problematiska i samband med förslaget om sammanslagning av E</w:t>
      </w:r>
      <w:r w:rsidRPr="0049359C">
        <w:t>x</w:t>
      </w:r>
      <w:r w:rsidRPr="0049359C">
        <w:t>portrådet och Invest Sweden.</w:t>
      </w:r>
    </w:p>
    <w:p w:rsidR="002D0202" w:rsidRPr="0049359C" w:rsidRDefault="002D0202">
      <w:pPr>
        <w:pStyle w:val="Normaltindrag"/>
      </w:pPr>
      <w:r w:rsidRPr="0049359C">
        <w:t>För det första är det viktigt att konstatera att Exportrådet och Invest Sw</w:t>
      </w:r>
      <w:r w:rsidRPr="0049359C">
        <w:t>e</w:t>
      </w:r>
      <w:r w:rsidRPr="0049359C">
        <w:t>den har olika mål och syften med sina verksamheter. Medan Exportrådet har som uppdrag att öka den svenska exporten, ska Invest Sweden vara en central kontaktpunkt för investeringsfrämjande och utforma en strategi för att öka utlandsinvesteringarna i Sverige. Behoven och inriktningen på dessa ver</w:t>
      </w:r>
      <w:r w:rsidRPr="0049359C">
        <w:t>k</w:t>
      </w:r>
      <w:r w:rsidRPr="0049359C">
        <w:t>samheter är olika och en sammanslagning är inte en garant för att effektivis</w:t>
      </w:r>
      <w:r w:rsidRPr="0049359C">
        <w:t>e</w:t>
      </w:r>
      <w:r w:rsidRPr="0049359C">
        <w:t xml:space="preserve">ra verksamheterna. Exportrådet utgör också en juridisk person där staten </w:t>
      </w:r>
      <w:r w:rsidRPr="0049359C">
        <w:lastRenderedPageBreak/>
        <w:t xml:space="preserve">och näringslivet har ett delat ansvar medan Invest Sweden är en </w:t>
      </w:r>
      <w:r w:rsidRPr="0049359C">
        <w:t>myndighet. Fr</w:t>
      </w:r>
      <w:r w:rsidRPr="0049359C">
        <w:t>å</w:t>
      </w:r>
      <w:r w:rsidRPr="0049359C">
        <w:t>gor som har att göra med statens inflytande över investeringsfrämjandet i den nya organisationen är inte klarlagt i propositionen, vilket måste redas ut innan en sammanslagning kan bli aktuellt. Det finns också en risk att Exportrådet blir den starkare parten vid en sammanslagning, varvid frågan om hur det statliga uppdraget för investeringsfrämjandet ska utformas är av största vikt.</w:t>
      </w:r>
    </w:p>
    <w:p w:rsidR="002D0202" w:rsidRPr="0049359C" w:rsidRDefault="002D0202">
      <w:pPr>
        <w:pStyle w:val="Normaltindrag"/>
      </w:pPr>
      <w:r w:rsidRPr="0049359C">
        <w:t>För det andra finns det risk för konkurrensnackdelar för svenska företag som väljer att kanalisera sin verksamh</w:t>
      </w:r>
      <w:r w:rsidRPr="0049359C">
        <w:t>et i den nya föreslagna organisationen för export- och investeringsfrämjande. Sveriges Allmänna Utrikeshandelsf</w:t>
      </w:r>
      <w:r w:rsidRPr="0049359C">
        <w:t>ö</w:t>
      </w:r>
      <w:r w:rsidRPr="0049359C">
        <w:t>rening har bland annat pekat på att svenska företag, som vill exportera, måste vara garanterade att uppgifter som lämnas om marknads- och affärsplaner inte återanvänds för organisationens investeringsfrämjande verksamhet.</w:t>
      </w:r>
    </w:p>
    <w:p w:rsidR="002D0202" w:rsidRPr="0049359C" w:rsidRDefault="002D0202">
      <w:pPr>
        <w:pStyle w:val="Normaltindrag"/>
      </w:pPr>
      <w:r w:rsidRPr="0049359C">
        <w:t>För det tredje vilar underlaget för lagda proposition på ett otillräckligt u</w:t>
      </w:r>
      <w:r w:rsidRPr="0049359C">
        <w:t>n</w:t>
      </w:r>
      <w:r w:rsidRPr="0049359C">
        <w:t>derlag, en kritik som delas av regeringens eget utredningsstöd, Statskontoret.</w:t>
      </w:r>
    </w:p>
    <w:p w:rsidR="002D0202" w:rsidRPr="0049359C" w:rsidRDefault="002D0202">
      <w:pPr>
        <w:pStyle w:val="Normaltindrag"/>
      </w:pPr>
      <w:r w:rsidRPr="0049359C">
        <w:t>Vi begär att regeringen återkommer med ett nytt förslag där ovanstående invändningar beaktas, så att den svenska handels- och investeringsfrämjande verksamheten kan stärkas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59C">
        <w:trPr>
          <w:cantSplit/>
        </w:trPr>
        <w:tc>
          <w:tcPr>
            <w:tcW w:w="3046" w:type="dxa"/>
          </w:tcPr>
          <w:p w:rsidR="002D0202" w:rsidRPr="0049359C" w:rsidRDefault="002D0202">
            <w:pPr>
              <w:pStyle w:val="UnderskriftDatum"/>
              <w:spacing w:before="240"/>
            </w:pPr>
            <w:r w:rsidRPr="0049359C">
              <w:t>Stockholm den 11 april 2012</w:t>
            </w:r>
          </w:p>
        </w:tc>
        <w:tc>
          <w:tcPr>
            <w:tcW w:w="3047" w:type="dxa"/>
          </w:tcPr>
          <w:p w:rsidR="002D0202" w:rsidRPr="0049359C" w:rsidRDefault="002D0202">
            <w:pPr>
              <w:pStyle w:val="Underskrifter"/>
              <w:spacing w:before="240"/>
            </w:pPr>
          </w:p>
        </w:tc>
      </w:tr>
      <w:tr w:rsidR="00000000" w:rsidRPr="0049359C">
        <w:trPr>
          <w:cantSplit/>
        </w:trPr>
        <w:tc>
          <w:tcPr>
            <w:tcW w:w="3046" w:type="dxa"/>
          </w:tcPr>
          <w:p w:rsidR="002D0202" w:rsidRPr="0049359C" w:rsidRDefault="002D0202">
            <w:pPr>
              <w:pStyle w:val="Underskrifter"/>
            </w:pPr>
            <w:r w:rsidRPr="0049359C">
              <w:t>Jennie Nilsson (S)</w:t>
            </w:r>
          </w:p>
        </w:tc>
        <w:tc>
          <w:tcPr>
            <w:tcW w:w="3046" w:type="dxa"/>
          </w:tcPr>
          <w:p w:rsidR="002D0202" w:rsidRPr="0049359C" w:rsidRDefault="002D0202">
            <w:pPr>
              <w:pStyle w:val="Underskrifter"/>
            </w:pPr>
          </w:p>
        </w:tc>
      </w:tr>
      <w:tr w:rsidR="00000000" w:rsidRPr="0049359C">
        <w:trPr>
          <w:cantSplit/>
        </w:trPr>
        <w:tc>
          <w:tcPr>
            <w:tcW w:w="3046" w:type="dxa"/>
          </w:tcPr>
          <w:p w:rsidR="002D0202" w:rsidRPr="0049359C" w:rsidRDefault="002D0202">
            <w:pPr>
              <w:pStyle w:val="Underskrifter"/>
            </w:pPr>
            <w:r w:rsidRPr="0049359C">
              <w:t>Carina Adolfsson Elgestam (S)</w:t>
            </w:r>
          </w:p>
        </w:tc>
        <w:tc>
          <w:tcPr>
            <w:tcW w:w="3046" w:type="dxa"/>
          </w:tcPr>
          <w:p w:rsidR="002D0202" w:rsidRPr="0049359C" w:rsidRDefault="002D0202">
            <w:pPr>
              <w:pStyle w:val="Underskrifter"/>
            </w:pPr>
            <w:r w:rsidRPr="0049359C">
              <w:t>Ann-Kristine Johansson (S)</w:t>
            </w:r>
          </w:p>
        </w:tc>
      </w:tr>
      <w:tr w:rsidR="00000000" w:rsidRPr="0049359C">
        <w:trPr>
          <w:cantSplit/>
        </w:trPr>
        <w:tc>
          <w:tcPr>
            <w:tcW w:w="3046" w:type="dxa"/>
          </w:tcPr>
          <w:p w:rsidR="002D0202" w:rsidRPr="0049359C" w:rsidRDefault="002D0202">
            <w:pPr>
              <w:pStyle w:val="Underskrifter"/>
            </w:pPr>
            <w:r w:rsidRPr="0049359C">
              <w:t>Karin Åström (S)</w:t>
            </w:r>
          </w:p>
        </w:tc>
        <w:tc>
          <w:tcPr>
            <w:tcW w:w="3046" w:type="dxa"/>
          </w:tcPr>
          <w:p w:rsidR="002D0202" w:rsidRPr="0049359C" w:rsidRDefault="002D0202">
            <w:pPr>
              <w:pStyle w:val="Underskrifter"/>
            </w:pPr>
            <w:r w:rsidRPr="0049359C">
              <w:t>Krister Örnfjäder (S)</w:t>
            </w:r>
          </w:p>
        </w:tc>
      </w:tr>
      <w:tr w:rsidR="00000000" w:rsidRPr="0049359C">
        <w:trPr>
          <w:cantSplit/>
        </w:trPr>
        <w:tc>
          <w:tcPr>
            <w:tcW w:w="3046" w:type="dxa"/>
          </w:tcPr>
          <w:p w:rsidR="002D0202" w:rsidRPr="0049359C" w:rsidRDefault="002D0202">
            <w:pPr>
              <w:pStyle w:val="Underskrifter"/>
            </w:pPr>
            <w:r w:rsidRPr="0049359C">
              <w:t>Börje Vestlund (S)</w:t>
            </w:r>
          </w:p>
        </w:tc>
        <w:tc>
          <w:tcPr>
            <w:tcW w:w="3046" w:type="dxa"/>
          </w:tcPr>
          <w:p w:rsidR="002D0202" w:rsidRPr="0049359C" w:rsidRDefault="002D0202">
            <w:pPr>
              <w:pStyle w:val="Underskrifter"/>
            </w:pPr>
            <w:r w:rsidRPr="0049359C">
              <w:t>Ingemar Nilsson (S)</w:t>
            </w:r>
          </w:p>
        </w:tc>
      </w:tr>
      <w:tr w:rsidR="00000000" w:rsidRPr="0049359C">
        <w:trPr>
          <w:cantSplit/>
        </w:trPr>
        <w:tc>
          <w:tcPr>
            <w:tcW w:w="3046" w:type="dxa"/>
          </w:tcPr>
          <w:p w:rsidR="002D0202" w:rsidRPr="0049359C" w:rsidRDefault="002D0202">
            <w:pPr>
              <w:pStyle w:val="Underskrifter"/>
            </w:pPr>
            <w:r w:rsidRPr="0049359C">
              <w:t>Ingela Nylund Watz (S)</w:t>
            </w:r>
          </w:p>
        </w:tc>
        <w:tc>
          <w:tcPr>
            <w:tcW w:w="3046" w:type="dxa"/>
          </w:tcPr>
          <w:p w:rsidR="002D0202" w:rsidRPr="0049359C" w:rsidRDefault="002D0202">
            <w:pPr>
              <w:pStyle w:val="Underskrifter"/>
            </w:pPr>
          </w:p>
        </w:tc>
      </w:tr>
    </w:tbl>
    <w:p w:rsidR="002D0202" w:rsidRPr="0049359C" w:rsidRDefault="002D0202">
      <w:pPr>
        <w:pStyle w:val="Normaltindrag"/>
      </w:pPr>
    </w:p>
    <w:sectPr w:rsidR="002D0202" w:rsidRPr="00493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202" w:rsidRPr="0049359C" w:rsidRDefault="002D0202">
      <w:r w:rsidRPr="0049359C">
        <w:separator/>
      </w:r>
    </w:p>
  </w:endnote>
  <w:endnote w:type="continuationSeparator" w:id="0">
    <w:p w:rsidR="002D0202" w:rsidRPr="0049359C" w:rsidRDefault="002D0202">
      <w:r w:rsidRPr="00493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49359C">
    <w:pPr>
      <w:pStyle w:val="Sidfot"/>
    </w:pPr>
    <w:r w:rsidRPr="00493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289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2" w:rsidRDefault="002D02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202" w:rsidRDefault="002D02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49359C">
    <w:pPr>
      <w:pStyle w:val="Sidfot"/>
    </w:pPr>
    <w:r w:rsidRPr="00493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988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2" w:rsidRDefault="002D02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202" w:rsidRDefault="002D02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49359C">
    <w:pPr>
      <w:pStyle w:val="Sidfot"/>
    </w:pPr>
    <w:r w:rsidRPr="00493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715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2" w:rsidRDefault="002D02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202" w:rsidRDefault="002D02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202" w:rsidRPr="0049359C" w:rsidRDefault="002D0202">
      <w:r w:rsidRPr="0049359C">
        <w:separator/>
      </w:r>
    </w:p>
  </w:footnote>
  <w:footnote w:type="continuationSeparator" w:id="0">
    <w:p w:rsidR="002D0202" w:rsidRPr="0049359C" w:rsidRDefault="002D0202">
      <w:r w:rsidRPr="00493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49359C">
    <w:pPr>
      <w:pStyle w:val="Sidhuvud"/>
    </w:pPr>
    <w:r w:rsidRPr="00493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272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2" w:rsidRDefault="002D02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202" w:rsidRDefault="002D02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49359C">
    <w:pPr>
      <w:pStyle w:val="Sidhuvud"/>
    </w:pPr>
    <w:r w:rsidRPr="00493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261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2" w:rsidRDefault="002D02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202" w:rsidRDefault="002D02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202" w:rsidRPr="0049359C" w:rsidRDefault="002D0202">
    <w:pPr>
      <w:pStyle w:val="FSHNormal"/>
      <w:tabs>
        <w:tab w:val="right" w:pos="5840"/>
      </w:tabs>
    </w:pPr>
    <w:r w:rsidRPr="0049359C">
      <w:br/>
    </w:r>
    <w:r w:rsidRPr="0049359C">
      <w:fldChar w:fldCharType="begin" w:fldLock="1"/>
    </w:r>
    <w:r w:rsidRPr="0049359C">
      <w:instrText xml:space="preserve"> DOCPROPERTY</w:instrText>
    </w:r>
    <w:r w:rsidRPr="0049359C">
      <w:rPr>
        <w:sz w:val="18"/>
      </w:rPr>
      <w:instrText xml:space="preserve"> "YearUser" *\charformat </w:instrText>
    </w:r>
    <w:r w:rsidRPr="0049359C">
      <w:fldChar w:fldCharType="separate"/>
    </w:r>
    <w:r w:rsidRPr="0049359C">
      <w:t>2011/12</w:t>
    </w:r>
    <w:r w:rsidRPr="0049359C">
      <w:fldChar w:fldCharType="end"/>
    </w:r>
    <w:r w:rsidRPr="0049359C">
      <w:t xml:space="preserve"> </w:t>
    </w:r>
    <w:r w:rsidRPr="0049359C">
      <w:tab/>
      <w:t xml:space="preserve">mnr: </w:t>
    </w:r>
    <w:r w:rsidRPr="0049359C">
      <w:fldChar w:fldCharType="begin" w:fldLock="1"/>
    </w:r>
    <w:r w:rsidRPr="0049359C">
      <w:instrText xml:space="preserve"> DOCPROPERTY</w:instrText>
    </w:r>
    <w:r w:rsidRPr="0049359C">
      <w:rPr>
        <w:sz w:val="18"/>
      </w:rPr>
      <w:instrText xml:space="preserve"> "Motionsnummer" *\charformat </w:instrText>
    </w:r>
    <w:r w:rsidRPr="0049359C">
      <w:fldChar w:fldCharType="separate"/>
    </w:r>
    <w:r w:rsidRPr="0049359C">
      <w:t>N6</w:t>
    </w:r>
    <w:r w:rsidRPr="0049359C">
      <w:fldChar w:fldCharType="end"/>
    </w:r>
    <w:r w:rsidRPr="0049359C">
      <w:br/>
    </w:r>
    <w:r w:rsidRPr="0049359C">
      <w:fldChar w:fldCharType="begin" w:fldLock="1"/>
    </w:r>
    <w:r w:rsidRPr="0049359C">
      <w:instrText xml:space="preserve"> DOCPROPERTY</w:instrText>
    </w:r>
    <w:r w:rsidRPr="0049359C">
      <w:rPr>
        <w:sz w:val="18"/>
      </w:rPr>
      <w:instrText xml:space="preserve"> "Samling" *\charformat </w:instrText>
    </w:r>
    <w:r w:rsidRPr="0049359C">
      <w:fldChar w:fldCharType="end"/>
    </w:r>
    <w:r w:rsidRPr="0049359C">
      <w:tab/>
      <w:t xml:space="preserve">pnr: </w:t>
    </w:r>
    <w:r w:rsidRPr="0049359C">
      <w:fldChar w:fldCharType="begin" w:fldLock="1"/>
    </w:r>
    <w:r w:rsidRPr="0049359C">
      <w:instrText xml:space="preserve"> DOCPROPERTY</w:instrText>
    </w:r>
    <w:r w:rsidRPr="0049359C">
      <w:rPr>
        <w:sz w:val="18"/>
      </w:rPr>
      <w:instrText xml:space="preserve"> "Partinummer" *\charformat </w:instrText>
    </w:r>
    <w:r w:rsidRPr="0049359C">
      <w:fldChar w:fldCharType="separate"/>
    </w:r>
    <w:r w:rsidRPr="0049359C">
      <w:t>S4011</w:t>
    </w:r>
    <w:r w:rsidRPr="0049359C">
      <w:fldChar w:fldCharType="end"/>
    </w:r>
  </w:p>
  <w:p w:rsidR="002D0202" w:rsidRPr="0049359C" w:rsidRDefault="002D0202">
    <w:pPr>
      <w:pStyle w:val="FSHRub1"/>
    </w:pPr>
    <w:r w:rsidRPr="0049359C">
      <w:t>Motion till riksdagen</w:t>
    </w:r>
    <w:r w:rsidRPr="0049359C">
      <w:br/>
    </w:r>
    <w:r w:rsidRPr="0049359C">
      <w:fldChar w:fldCharType="begin" w:fldLock="1"/>
    </w:r>
    <w:r w:rsidRPr="0049359C">
      <w:instrText xml:space="preserve"> DOCPROPERTY "YearUser" *\charformat </w:instrText>
    </w:r>
    <w:r w:rsidRPr="0049359C">
      <w:fldChar w:fldCharType="separate"/>
    </w:r>
    <w:r w:rsidRPr="0049359C">
      <w:t>2011/12</w:t>
    </w:r>
    <w:r w:rsidRPr="0049359C">
      <w:fldChar w:fldCharType="end"/>
    </w:r>
    <w:r w:rsidRPr="0049359C">
      <w:t>:</w:t>
    </w:r>
    <w:r w:rsidRPr="0049359C">
      <w:fldChar w:fldCharType="begin" w:fldLock="1"/>
    </w:r>
    <w:r w:rsidRPr="0049359C">
      <w:instrText xml:space="preserve"> DOCPROPERTY "Motionsnummer" *\charformat </w:instrText>
    </w:r>
    <w:r w:rsidRPr="0049359C">
      <w:fldChar w:fldCharType="separate"/>
    </w:r>
    <w:r w:rsidRPr="0049359C">
      <w:t>N6</w:t>
    </w:r>
    <w:r w:rsidRPr="0049359C">
      <w:fldChar w:fldCharType="end"/>
    </w:r>
  </w:p>
  <w:p w:rsidR="002D0202" w:rsidRPr="0049359C" w:rsidRDefault="002D0202">
    <w:pPr>
      <w:pStyle w:val="FSHNormalS5"/>
    </w:pPr>
    <w:r w:rsidRPr="0049359C">
      <w:fldChar w:fldCharType="begin" w:fldLock="1"/>
    </w:r>
    <w:r w:rsidRPr="0049359C">
      <w:instrText xml:space="preserve"> DOCPROPERTY "MotionarText" *\charformat </w:instrText>
    </w:r>
    <w:r w:rsidRPr="0049359C">
      <w:fldChar w:fldCharType="separate"/>
    </w:r>
    <w:r w:rsidRPr="0049359C">
      <w:t>av Jennie Nilsson m.fl. (S)</w:t>
    </w:r>
    <w:r w:rsidRPr="0049359C">
      <w:fldChar w:fldCharType="end"/>
    </w:r>
    <w:r w:rsidRPr="0049359C">
      <w:br/>
    </w:r>
    <w:r w:rsidRPr="0049359C">
      <w:fldChar w:fldCharType="begin" w:fldLock="1"/>
    </w:r>
    <w:r w:rsidRPr="0049359C">
      <w:instrText xml:space="preserve"> DOCPROPERTY "SvarFrasKort" *\charformat </w:instrText>
    </w:r>
    <w:r w:rsidRPr="0049359C">
      <w:fldChar w:fldCharType="separate"/>
    </w:r>
    <w:r w:rsidRPr="0049359C">
      <w:t>med anledning av prop. 2011/12:92</w:t>
    </w:r>
    <w:r w:rsidRPr="0049359C">
      <w:fldChar w:fldCharType="end"/>
    </w:r>
  </w:p>
  <w:p w:rsidR="002D0202" w:rsidRPr="0049359C" w:rsidRDefault="002D0202">
    <w:pPr>
      <w:pStyle w:val="FSHTitel"/>
    </w:pPr>
    <w:r w:rsidRPr="0049359C">
      <w:fldChar w:fldCharType="begin" w:fldLock="1"/>
    </w:r>
    <w:r w:rsidRPr="0049359C">
      <w:instrText xml:space="preserve"> DOCPROPERTY</w:instrText>
    </w:r>
    <w:r w:rsidRPr="0049359C">
      <w:rPr>
        <w:sz w:val="18"/>
      </w:rPr>
      <w:instrText xml:space="preserve"> "RubrikSvar" *\charformat </w:instrText>
    </w:r>
    <w:r w:rsidRPr="0049359C">
      <w:fldChar w:fldCharType="separate"/>
    </w:r>
    <w:r w:rsidRPr="0049359C">
      <w:t>Gemensam organisation för export- och investeringsfrämjande</w:t>
    </w:r>
    <w:r w:rsidRPr="0049359C">
      <w:fldChar w:fldCharType="end"/>
    </w:r>
  </w:p>
  <w:p w:rsidR="002D0202" w:rsidRPr="0049359C" w:rsidRDefault="002D0202">
    <w:pPr>
      <w:pStyle w:val="Normal00"/>
    </w:pPr>
  </w:p>
  <w:p w:rsidR="002D0202" w:rsidRPr="0049359C" w:rsidRDefault="002D02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EB1538"/>
    <w:multiLevelType w:val="hybridMultilevel"/>
    <w:tmpl w:val="72B878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1543386">
    <w:abstractNumId w:val="3"/>
  </w:num>
  <w:num w:numId="2" w16cid:durableId="910850872">
    <w:abstractNumId w:val="2"/>
  </w:num>
  <w:num w:numId="3" w16cid:durableId="1683193387">
    <w:abstractNumId w:val="1"/>
  </w:num>
  <w:num w:numId="4" w16cid:durableId="287591744">
    <w:abstractNumId w:val="0"/>
  </w:num>
  <w:num w:numId="5" w16cid:durableId="1161581446">
    <w:abstractNumId w:val="7"/>
  </w:num>
  <w:num w:numId="6" w16cid:durableId="2085641912">
    <w:abstractNumId w:val="6"/>
  </w:num>
  <w:num w:numId="7" w16cid:durableId="2083291131">
    <w:abstractNumId w:val="5"/>
  </w:num>
  <w:num w:numId="8" w16cid:durableId="318313841">
    <w:abstractNumId w:val="4"/>
  </w:num>
  <w:num w:numId="9" w16cid:durableId="1333920102">
    <w:abstractNumId w:val="8"/>
  </w:num>
  <w:num w:numId="10" w16cid:durableId="1694988809">
    <w:abstractNumId w:val="9"/>
  </w:num>
  <w:num w:numId="11" w16cid:durableId="145824173">
    <w:abstractNumId w:val="10"/>
  </w:num>
  <w:num w:numId="12" w16cid:durableId="1123381532">
    <w:abstractNumId w:val="13"/>
  </w:num>
  <w:num w:numId="13" w16cid:durableId="137381834">
    <w:abstractNumId w:val="15"/>
  </w:num>
  <w:num w:numId="14" w16cid:durableId="1586189727">
    <w:abstractNumId w:val="16"/>
  </w:num>
  <w:num w:numId="15" w16cid:durableId="1938949715">
    <w:abstractNumId w:val="11"/>
  </w:num>
  <w:num w:numId="16" w16cid:durableId="1411275315">
    <w:abstractNumId w:val="19"/>
  </w:num>
  <w:num w:numId="17" w16cid:durableId="591011834">
    <w:abstractNumId w:val="17"/>
  </w:num>
  <w:num w:numId="18" w16cid:durableId="25567714">
    <w:abstractNumId w:val="14"/>
  </w:num>
  <w:num w:numId="19" w16cid:durableId="355232304">
    <w:abstractNumId w:val="12"/>
  </w:num>
  <w:num w:numId="20" w16cid:durableId="2141923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21FF6B0B-AD21-4CAB-A2C8-4585D0AACA1E},{D5C07C81-85A2-4A77-9EA7-95BF2E6091CD},{C0175783-C0E5-4966-B8E8-1DBAD9A35C9A},{E954FE74-C856-472A-91F0-9EBDC78CBAB7},{0D5154F2-1568-4B4A-87D8-4B7FABF18F22},{392718BA-4C56-4CF1-9F5D-BFB44667E03D},{1D963EC1-580B-4CFE-8CAB-FB67D61C9B39},{0783B3C1-8F86-4DA1-A19E-068F907E9CB5}"/>
  </w:docVars>
  <w:rsids>
    <w:rsidRoot w:val="0044721A"/>
    <w:rsid w:val="002D0202"/>
    <w:rsid w:val="0044721A"/>
    <w:rsid w:val="004935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D11159-ED29-470C-9A1B-D0174D86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2798</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S4011</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S4011</dc:title>
  <dc:subject>S4011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2012-04-20T12:26:00Z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2011/12:92 Gemensam organisation för export- och investeringsfrämjande</vt:lpwstr>
  </property>
  <property fmtid="{D5CDD505-2E9C-101B-9397-08002B2CF9AE}" pid="11" name="SvarFrasKort">
    <vt:lpwstr>med anledning av prop. 2011/12:92</vt:lpwstr>
  </property>
  <property fmtid="{D5CDD505-2E9C-101B-9397-08002B2CF9AE}" pid="12" name="Svar">
    <vt:lpwstr>Proposition</vt:lpwstr>
  </property>
  <property fmtid="{D5CDD505-2E9C-101B-9397-08002B2CF9AE}" pid="13" name="SvarNr">
    <vt:lpwstr>2011/12:92</vt:lpwstr>
  </property>
  <property fmtid="{D5CDD505-2E9C-101B-9397-08002B2CF9AE}" pid="14" name="RubrikSvar">
    <vt:lpwstr>Gemensam organisation för export- och investeringsfrämjande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S4011</vt:lpwstr>
  </property>
  <property fmtid="{D5CDD505-2E9C-101B-9397-08002B2CF9AE}" pid="18" name="ArbRubr">
    <vt:lpwstr>Gemensam organisation för export- och investerings</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Jennie Nilsson m.fl. (S)</vt:lpwstr>
  </property>
  <property fmtid="{D5CDD505-2E9C-101B-9397-08002B2CF9AE}" pid="26" name="MotionarLista">
    <vt:lpwstr>Nilsson, Jennie (S)\Adolfsson Elgestam, Carina (S)\Johansson, Ann-Kristine (S)\Åström, Karin (S)\Örnfjäder, Krister (S)\Vestlund, Börje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Carina Adolfsson Elgestam (S), Ann-Kristine Johansson (S), Karin Åström (S), Krister Örnfjäder (S), Börje Vestlund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20112012000000000083000040110075</vt:lpwstr>
  </property>
  <property fmtid="{D5CDD505-2E9C-101B-9397-08002B2CF9AE}" pid="47" name="datum">
    <vt:lpwstr>120411</vt:lpwstr>
  </property>
  <property fmtid="{D5CDD505-2E9C-101B-9397-08002B2CF9AE}" pid="48" name="avsändar-e-post">
    <vt:lpwstr>erik.gutierrez.aranda@riksdagen.se</vt:lpwstr>
  </property>
  <property fmtid="{D5CDD505-2E9C-101B-9397-08002B2CF9AE}" pid="49" name="id">
    <vt:lpwstr>20112012000000000083000040110075</vt:lpwstr>
  </property>
  <property fmtid="{D5CDD505-2E9C-101B-9397-08002B2CF9AE}" pid="50" name="nummer">
    <vt:lpwstr>6</vt:lpwstr>
  </property>
  <property fmtid="{D5CDD505-2E9C-101B-9397-08002B2CF9AE}" pid="51" name="utskottsbeteckning">
    <vt:lpwstr>N</vt:lpwstr>
  </property>
  <property fmtid="{D5CDD505-2E9C-101B-9397-08002B2CF9AE}" pid="52" name="GlobalUID">
    <vt:lpwstr>{EEBF603B-34D3-4940-A6A1-9AA819A11B80}</vt:lpwstr>
  </property>
  <property fmtid="{D5CDD505-2E9C-101B-9397-08002B2CF9AE}" pid="53" name="Överföringar">
    <vt:i4>0</vt:i4>
  </property>
  <property fmtid="{D5CDD505-2E9C-101B-9397-08002B2CF9AE}" pid="54" name="Checksum">
    <vt:lpwstr>*0008153829349*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14:26:42.059</vt:lpwstr>
  </property>
  <property fmtid="{D5CDD505-2E9C-101B-9397-08002B2CF9AE}" pid="58" name="urixGuid">
    <vt:lpwstr>{363746BD-4A38-4D5E-806C-E1705624EF85}</vt:lpwstr>
  </property>
</Properties>
</file>