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42" w:type="dxa"/>
        <w:tblInd w:w="-851" w:type="dxa"/>
        <w:tblLayout w:type="fixed"/>
        <w:tblCellMar>
          <w:left w:w="0" w:type="dxa"/>
          <w:right w:w="0" w:type="dxa"/>
        </w:tblCellMar>
        <w:tblLook w:val="0000" w:firstRow="0" w:lastRow="0" w:firstColumn="0" w:lastColumn="0" w:noHBand="0" w:noVBand="0"/>
      </w:tblPr>
      <w:tblGrid>
        <w:gridCol w:w="851"/>
        <w:gridCol w:w="3970"/>
        <w:gridCol w:w="1701"/>
        <w:gridCol w:w="3970"/>
        <w:gridCol w:w="850"/>
      </w:tblGrid>
      <w:tr w:rsidR="002B28C5" w:rsidRPr="002E65FB">
        <w:tblPrEx>
          <w:tblCellMar>
            <w:top w:w="0" w:type="dxa"/>
            <w:left w:w="0" w:type="dxa"/>
            <w:bottom w:w="0" w:type="dxa"/>
            <w:right w:w="0" w:type="dxa"/>
          </w:tblCellMar>
        </w:tblPrEx>
        <w:trPr>
          <w:gridBefore w:val="1"/>
          <w:gridAfter w:val="1"/>
          <w:wBefore w:w="851" w:type="dxa"/>
          <w:wAfter w:w="850" w:type="dxa"/>
          <w:cantSplit/>
          <w:trHeight w:val="240"/>
        </w:trPr>
        <w:tc>
          <w:tcPr>
            <w:tcW w:w="9641" w:type="dxa"/>
            <w:gridSpan w:val="3"/>
          </w:tcPr>
          <w:p w:rsidR="002B28C5" w:rsidRPr="002E65FB" w:rsidRDefault="002E65FB">
            <w:pPr>
              <w:pStyle w:val="EntLogo"/>
            </w:pPr>
            <w:r w:rsidRPr="002E65FB">
              <w:rPr>
                <w:noProof/>
              </w:rPr>
              <w:drawing>
                <wp:anchor distT="0" distB="0" distL="114300" distR="114300" simplePos="0" relativeHeight="251657728" behindDoc="0" locked="1" layoutInCell="0" allowOverlap="1">
                  <wp:simplePos x="0" y="0"/>
                  <wp:positionH relativeFrom="page">
                    <wp:posOffset>182880</wp:posOffset>
                  </wp:positionH>
                  <wp:positionV relativeFrom="page">
                    <wp:posOffset>365760</wp:posOffset>
                  </wp:positionV>
                  <wp:extent cx="7200265" cy="794385"/>
                  <wp:effectExtent l="0" t="0" r="0" b="0"/>
                  <wp:wrapTopAndBottom/>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r="267"/>
                          <a:stretch>
                            <a:fillRect/>
                          </a:stretch>
                        </pic:blipFill>
                        <pic:spPr bwMode="auto">
                          <a:xfrm>
                            <a:off x="0" y="0"/>
                            <a:ext cx="7200265" cy="7943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B28C5" w:rsidRPr="002E65FB">
        <w:tblPrEx>
          <w:tblCellMar>
            <w:top w:w="0" w:type="dxa"/>
            <w:left w:w="0" w:type="dxa"/>
            <w:bottom w:w="0" w:type="dxa"/>
            <w:right w:w="0" w:type="dxa"/>
          </w:tblCellMar>
        </w:tblPrEx>
        <w:trPr>
          <w:cantSplit/>
          <w:trHeight w:val="1120"/>
        </w:trPr>
        <w:tc>
          <w:tcPr>
            <w:tcW w:w="4821" w:type="dxa"/>
            <w:gridSpan w:val="2"/>
          </w:tcPr>
          <w:p w:rsidR="008314C2" w:rsidRPr="002E65FB" w:rsidRDefault="008314C2">
            <w:pPr>
              <w:pStyle w:val="EntInstit"/>
            </w:pPr>
            <w:bookmarkStart w:id="0" w:name="Entete"/>
            <w:bookmarkEnd w:id="0"/>
            <w:r w:rsidRPr="002E65FB">
              <w:t>COUNCIL OF</w:t>
            </w:r>
          </w:p>
          <w:p w:rsidR="002B28C5" w:rsidRPr="002E65FB" w:rsidRDefault="008314C2">
            <w:pPr>
              <w:pStyle w:val="EntInstit"/>
            </w:pPr>
            <w:r w:rsidRPr="002E65FB">
              <w:t>THE EUROPEAN UNION</w:t>
            </w:r>
          </w:p>
        </w:tc>
        <w:tc>
          <w:tcPr>
            <w:tcW w:w="1701" w:type="dxa"/>
          </w:tcPr>
          <w:p w:rsidR="002B28C5" w:rsidRPr="002E65FB" w:rsidRDefault="002B28C5">
            <w:pPr>
              <w:spacing w:line="240" w:lineRule="auto"/>
              <w:jc w:val="right"/>
              <w:rPr>
                <w:b/>
              </w:rPr>
            </w:pPr>
          </w:p>
        </w:tc>
        <w:tc>
          <w:tcPr>
            <w:tcW w:w="4820" w:type="dxa"/>
            <w:gridSpan w:val="2"/>
          </w:tcPr>
          <w:p w:rsidR="002B28C5" w:rsidRPr="002E65FB" w:rsidRDefault="008314C2">
            <w:pPr>
              <w:pStyle w:val="EntRefer"/>
            </w:pPr>
            <w:bookmarkStart w:id="1" w:name="Lieu"/>
            <w:bookmarkEnd w:id="1"/>
            <w:r w:rsidRPr="002E65FB">
              <w:t>Brussels,</w:t>
            </w:r>
            <w:r w:rsidR="002B28C5" w:rsidRPr="002E65FB">
              <w:t xml:space="preserve"> </w:t>
            </w:r>
            <w:bookmarkStart w:id="2" w:name="Date"/>
            <w:bookmarkEnd w:id="2"/>
            <w:r w:rsidRPr="002E65FB">
              <w:t>1</w:t>
            </w:r>
            <w:r w:rsidR="00762791" w:rsidRPr="002E65FB">
              <w:t>9</w:t>
            </w:r>
            <w:r w:rsidRPr="002E65FB">
              <w:t xml:space="preserve"> May 2006</w:t>
            </w:r>
            <w:r w:rsidR="002B28C5" w:rsidRPr="002E65FB">
              <w:t xml:space="preserve"> </w:t>
            </w:r>
            <w:bookmarkStart w:id="3" w:name="DateEntree"/>
            <w:bookmarkEnd w:id="3"/>
          </w:p>
          <w:p w:rsidR="002B28C5" w:rsidRPr="002E65FB" w:rsidRDefault="002B28C5">
            <w:pPr>
              <w:pStyle w:val="EntRefer"/>
            </w:pPr>
            <w:bookmarkStart w:id="4" w:name="LangueOrig"/>
            <w:bookmarkEnd w:id="4"/>
          </w:p>
        </w:tc>
      </w:tr>
      <w:tr w:rsidR="00FC7E68" w:rsidRPr="002E65FB">
        <w:tblPrEx>
          <w:tblCellMar>
            <w:top w:w="0" w:type="dxa"/>
            <w:left w:w="0" w:type="dxa"/>
            <w:bottom w:w="0" w:type="dxa"/>
            <w:right w:w="0" w:type="dxa"/>
          </w:tblCellMar>
        </w:tblPrEx>
        <w:trPr>
          <w:gridBefore w:val="1"/>
          <w:gridAfter w:val="1"/>
          <w:wBefore w:w="851" w:type="dxa"/>
          <w:wAfter w:w="850" w:type="dxa"/>
          <w:cantSplit/>
          <w:trHeight w:val="1480"/>
        </w:trPr>
        <w:tc>
          <w:tcPr>
            <w:tcW w:w="3970" w:type="dxa"/>
            <w:vAlign w:val="center"/>
          </w:tcPr>
          <w:p w:rsidR="00FC7E68" w:rsidRPr="002E65FB" w:rsidRDefault="00FC7E68" w:rsidP="00D93E39">
            <w:pPr>
              <w:pStyle w:val="EntRefer"/>
              <w:pBdr>
                <w:top w:val="double" w:sz="4" w:space="4" w:color="auto"/>
                <w:left w:val="double" w:sz="4" w:space="0" w:color="auto"/>
                <w:bottom w:val="double" w:sz="4" w:space="4" w:color="auto"/>
                <w:right w:val="double" w:sz="4" w:space="0" w:color="auto"/>
              </w:pBdr>
              <w:jc w:val="center"/>
            </w:pPr>
            <w:bookmarkStart w:id="5" w:name="DossierInterInst"/>
            <w:bookmarkEnd w:id="5"/>
            <w:r w:rsidRPr="002E65FB">
              <w:t>Interinstitutional File:</w:t>
            </w:r>
          </w:p>
          <w:p w:rsidR="00FC7E68" w:rsidRPr="002E65FB" w:rsidRDefault="00FC7E68" w:rsidP="00D93E39">
            <w:pPr>
              <w:pStyle w:val="EntRefer"/>
              <w:pBdr>
                <w:top w:val="double" w:sz="4" w:space="4" w:color="auto"/>
                <w:left w:val="double" w:sz="4" w:space="0" w:color="auto"/>
                <w:bottom w:val="double" w:sz="4" w:space="4" w:color="auto"/>
                <w:right w:val="double" w:sz="4" w:space="0" w:color="auto"/>
              </w:pBdr>
              <w:jc w:val="center"/>
            </w:pPr>
            <w:r w:rsidRPr="002E65FB">
              <w:t>2005/0805 (CNS)</w:t>
            </w:r>
          </w:p>
        </w:tc>
        <w:tc>
          <w:tcPr>
            <w:tcW w:w="1701" w:type="dxa"/>
            <w:vAlign w:val="center"/>
          </w:tcPr>
          <w:p w:rsidR="00FC7E68" w:rsidRPr="002E65FB" w:rsidRDefault="00FC7E68">
            <w:pPr>
              <w:spacing w:line="240" w:lineRule="auto"/>
              <w:rPr>
                <w:b/>
              </w:rPr>
            </w:pPr>
          </w:p>
        </w:tc>
        <w:tc>
          <w:tcPr>
            <w:tcW w:w="3970" w:type="dxa"/>
          </w:tcPr>
          <w:p w:rsidR="00FC7E68" w:rsidRPr="002E65FB" w:rsidRDefault="00FC7E68">
            <w:pPr>
              <w:pStyle w:val="EntRefer"/>
            </w:pPr>
            <w:bookmarkStart w:id="6" w:name="Cote"/>
            <w:bookmarkEnd w:id="6"/>
            <w:r w:rsidRPr="002E65FB">
              <w:t>9220/1/06</w:t>
            </w:r>
          </w:p>
          <w:p w:rsidR="00FC7E68" w:rsidRPr="002E65FB" w:rsidRDefault="00C56B88">
            <w:pPr>
              <w:pStyle w:val="EntRefer"/>
            </w:pPr>
            <w:bookmarkStart w:id="7" w:name="CoteRev"/>
            <w:bookmarkEnd w:id="7"/>
            <w:r w:rsidRPr="002E65FB">
              <w:t>REV 1</w:t>
            </w:r>
          </w:p>
          <w:p w:rsidR="00FC7E68" w:rsidRPr="002E65FB" w:rsidRDefault="00FC7E68">
            <w:pPr>
              <w:pStyle w:val="EntRefer"/>
            </w:pPr>
          </w:p>
          <w:p w:rsidR="00FC7E68" w:rsidRPr="002E65FB" w:rsidRDefault="00FC7E68">
            <w:pPr>
              <w:pStyle w:val="EntRefer"/>
            </w:pPr>
            <w:bookmarkStart w:id="8" w:name="CoteSec"/>
            <w:bookmarkEnd w:id="8"/>
            <w:r w:rsidRPr="002E65FB">
              <w:t>LIMITE</w:t>
            </w:r>
          </w:p>
          <w:p w:rsidR="00FC7E68" w:rsidRPr="002E65FB" w:rsidRDefault="00FC7E68">
            <w:pPr>
              <w:pStyle w:val="EntRefer"/>
            </w:pPr>
          </w:p>
        </w:tc>
      </w:tr>
      <w:tr w:rsidR="00FC7E68" w:rsidRPr="002E65FB">
        <w:tblPrEx>
          <w:tblCellMar>
            <w:top w:w="0" w:type="dxa"/>
            <w:left w:w="0" w:type="dxa"/>
            <w:bottom w:w="0" w:type="dxa"/>
            <w:right w:w="0" w:type="dxa"/>
          </w:tblCellMar>
        </w:tblPrEx>
        <w:trPr>
          <w:gridBefore w:val="1"/>
          <w:gridAfter w:val="1"/>
          <w:wBefore w:w="851" w:type="dxa"/>
          <w:wAfter w:w="850" w:type="dxa"/>
          <w:cantSplit/>
          <w:trHeight w:val="1000"/>
        </w:trPr>
        <w:tc>
          <w:tcPr>
            <w:tcW w:w="3970" w:type="dxa"/>
            <w:vAlign w:val="center"/>
          </w:tcPr>
          <w:p w:rsidR="00FC7E68" w:rsidRPr="002E65FB" w:rsidRDefault="00FC7E68">
            <w:pPr>
              <w:pStyle w:val="EntRefer"/>
              <w:jc w:val="center"/>
            </w:pPr>
            <w:bookmarkStart w:id="9" w:name="SousEmbargo"/>
            <w:bookmarkEnd w:id="9"/>
          </w:p>
        </w:tc>
        <w:tc>
          <w:tcPr>
            <w:tcW w:w="1701" w:type="dxa"/>
            <w:vAlign w:val="center"/>
          </w:tcPr>
          <w:p w:rsidR="00FC7E68" w:rsidRPr="002E65FB" w:rsidRDefault="00FC7E68">
            <w:pPr>
              <w:spacing w:line="240" w:lineRule="auto"/>
              <w:rPr>
                <w:b/>
              </w:rPr>
            </w:pPr>
          </w:p>
        </w:tc>
        <w:tc>
          <w:tcPr>
            <w:tcW w:w="3970" w:type="dxa"/>
          </w:tcPr>
          <w:p w:rsidR="00FC7E68" w:rsidRPr="002E65FB" w:rsidRDefault="00FC7E68">
            <w:pPr>
              <w:pStyle w:val="EntRefer"/>
            </w:pPr>
            <w:r w:rsidRPr="002E65FB">
              <w:t>COPEN 54</w:t>
            </w:r>
          </w:p>
        </w:tc>
      </w:tr>
    </w:tbl>
    <w:p w:rsidR="002B28C5" w:rsidRPr="002E65FB" w:rsidRDefault="002B28C5">
      <w:pPr>
        <w:pStyle w:val="EntRefer"/>
      </w:pPr>
      <w:bookmarkStart w:id="10" w:name="AC"/>
    </w:p>
    <w:p w:rsidR="00FC7E68" w:rsidRPr="002E65FB" w:rsidRDefault="00FC7E68" w:rsidP="00FC7E68">
      <w:pPr>
        <w:pStyle w:val="EntRefer"/>
        <w:outlineLvl w:val="0"/>
      </w:pPr>
      <w:bookmarkStart w:id="11" w:name="Title"/>
      <w:bookmarkEnd w:id="10"/>
      <w:bookmarkEnd w:id="11"/>
      <w:r w:rsidRPr="002E65FB">
        <w:t>NOTE</w:t>
      </w:r>
    </w:p>
    <w:tbl>
      <w:tblPr>
        <w:tblW w:w="0" w:type="auto"/>
        <w:tblLayout w:type="fixed"/>
        <w:tblCellMar>
          <w:left w:w="0" w:type="dxa"/>
          <w:right w:w="0" w:type="dxa"/>
        </w:tblCellMar>
        <w:tblLook w:val="0000" w:firstRow="0" w:lastRow="0" w:firstColumn="0" w:lastColumn="0" w:noHBand="0" w:noVBand="0"/>
      </w:tblPr>
      <w:tblGrid>
        <w:gridCol w:w="1701"/>
        <w:gridCol w:w="7938"/>
      </w:tblGrid>
      <w:tr w:rsidR="00FC7E68" w:rsidRPr="002E65FB">
        <w:tblPrEx>
          <w:tblCellMar>
            <w:top w:w="0" w:type="dxa"/>
            <w:left w:w="0" w:type="dxa"/>
            <w:bottom w:w="0" w:type="dxa"/>
            <w:right w:w="0" w:type="dxa"/>
          </w:tblCellMar>
        </w:tblPrEx>
        <w:tc>
          <w:tcPr>
            <w:tcW w:w="1701" w:type="dxa"/>
            <w:tcBorders>
              <w:top w:val="single" w:sz="4" w:space="0" w:color="auto"/>
            </w:tcBorders>
          </w:tcPr>
          <w:p w:rsidR="00FC7E68" w:rsidRPr="002E65FB" w:rsidRDefault="00FC7E68" w:rsidP="00D93E39">
            <w:pPr>
              <w:pStyle w:val="EntEmet"/>
            </w:pPr>
            <w:bookmarkStart w:id="12" w:name="Ref"/>
            <w:bookmarkStart w:id="13" w:name="RefDu"/>
            <w:r w:rsidRPr="002E65FB">
              <w:t>from :</w:t>
            </w:r>
            <w:bookmarkEnd w:id="13"/>
          </w:p>
        </w:tc>
        <w:tc>
          <w:tcPr>
            <w:tcW w:w="7938" w:type="dxa"/>
            <w:tcBorders>
              <w:top w:val="single" w:sz="4" w:space="0" w:color="auto"/>
            </w:tcBorders>
          </w:tcPr>
          <w:p w:rsidR="00FC7E68" w:rsidRPr="002E65FB" w:rsidRDefault="00FC7E68" w:rsidP="00D93E39">
            <w:pPr>
              <w:pStyle w:val="EntEmet"/>
            </w:pPr>
            <w:r w:rsidRPr="002E65FB">
              <w:t>Presidency</w:t>
            </w:r>
          </w:p>
        </w:tc>
      </w:tr>
      <w:tr w:rsidR="00FC7E68" w:rsidRPr="002E65FB">
        <w:tblPrEx>
          <w:tblCellMar>
            <w:top w:w="0" w:type="dxa"/>
            <w:left w:w="0" w:type="dxa"/>
            <w:bottom w:w="0" w:type="dxa"/>
            <w:right w:w="0" w:type="dxa"/>
          </w:tblCellMar>
        </w:tblPrEx>
        <w:tc>
          <w:tcPr>
            <w:tcW w:w="1701" w:type="dxa"/>
            <w:tcBorders>
              <w:bottom w:val="single" w:sz="4" w:space="0" w:color="auto"/>
            </w:tcBorders>
          </w:tcPr>
          <w:p w:rsidR="00FC7E68" w:rsidRPr="002E65FB" w:rsidRDefault="00FC7E68" w:rsidP="00D93E39">
            <w:pPr>
              <w:pStyle w:val="EntEmet"/>
            </w:pPr>
            <w:bookmarkStart w:id="14" w:name="RefRow_A"/>
            <w:r w:rsidRPr="002E65FB">
              <w:t>to:</w:t>
            </w:r>
          </w:p>
        </w:tc>
        <w:tc>
          <w:tcPr>
            <w:tcW w:w="7938" w:type="dxa"/>
            <w:tcBorders>
              <w:bottom w:val="single" w:sz="4" w:space="0" w:color="auto"/>
            </w:tcBorders>
          </w:tcPr>
          <w:p w:rsidR="00FC7E68" w:rsidRPr="002E65FB" w:rsidRDefault="00FC7E68" w:rsidP="00D93E39">
            <w:pPr>
              <w:pStyle w:val="EntEmet"/>
            </w:pPr>
            <w:r w:rsidRPr="002E65FB">
              <w:t>Coreper/Council</w:t>
            </w:r>
          </w:p>
        </w:tc>
      </w:tr>
      <w:tr w:rsidR="00FC7E68" w:rsidRPr="002E65FB">
        <w:tblPrEx>
          <w:tblCellMar>
            <w:top w:w="0" w:type="dxa"/>
            <w:left w:w="0" w:type="dxa"/>
            <w:bottom w:w="0" w:type="dxa"/>
            <w:right w:w="0" w:type="dxa"/>
          </w:tblCellMar>
        </w:tblPrEx>
        <w:tc>
          <w:tcPr>
            <w:tcW w:w="1701" w:type="dxa"/>
          </w:tcPr>
          <w:p w:rsidR="00FC7E68" w:rsidRPr="002E65FB" w:rsidRDefault="00FC7E68" w:rsidP="00D93E39">
            <w:pPr>
              <w:pStyle w:val="EntEmet"/>
            </w:pPr>
            <w:bookmarkStart w:id="15" w:name="RefRow_NDocPrec"/>
            <w:bookmarkEnd w:id="14"/>
            <w:r w:rsidRPr="002E65FB">
              <w:t>No. prev. doc. :</w:t>
            </w:r>
          </w:p>
        </w:tc>
        <w:tc>
          <w:tcPr>
            <w:tcW w:w="7938" w:type="dxa"/>
          </w:tcPr>
          <w:p w:rsidR="00FC7E68" w:rsidRPr="002E65FB" w:rsidRDefault="00FC7E68" w:rsidP="00D93E39">
            <w:pPr>
              <w:pStyle w:val="EntEmet"/>
            </w:pPr>
            <w:r w:rsidRPr="002E65FB">
              <w:t>9220/06 COPEN 54</w:t>
            </w:r>
          </w:p>
        </w:tc>
      </w:tr>
      <w:bookmarkEnd w:id="12"/>
      <w:bookmarkEnd w:id="15"/>
      <w:tr w:rsidR="00FC7E68" w:rsidRPr="002E65FB">
        <w:tblPrEx>
          <w:tblCellMar>
            <w:top w:w="0" w:type="dxa"/>
            <w:left w:w="0" w:type="dxa"/>
            <w:bottom w:w="0" w:type="dxa"/>
            <w:right w:w="0" w:type="dxa"/>
          </w:tblCellMar>
        </w:tblPrEx>
        <w:tc>
          <w:tcPr>
            <w:tcW w:w="1701" w:type="dxa"/>
            <w:tcBorders>
              <w:top w:val="single" w:sz="4" w:space="0" w:color="auto"/>
              <w:bottom w:val="single" w:sz="4" w:space="0" w:color="auto"/>
            </w:tcBorders>
          </w:tcPr>
          <w:p w:rsidR="00FC7E68" w:rsidRPr="002E65FB" w:rsidRDefault="00FC7E68" w:rsidP="00D93E39">
            <w:pPr>
              <w:pStyle w:val="EntEmet"/>
            </w:pPr>
            <w:r w:rsidRPr="002E65FB">
              <w:t>Subject :</w:t>
            </w:r>
          </w:p>
        </w:tc>
        <w:tc>
          <w:tcPr>
            <w:tcW w:w="7938" w:type="dxa"/>
            <w:tcBorders>
              <w:top w:val="single" w:sz="4" w:space="0" w:color="auto"/>
              <w:bottom w:val="single" w:sz="4" w:space="0" w:color="auto"/>
            </w:tcBorders>
          </w:tcPr>
          <w:p w:rsidR="00FC7E68" w:rsidRPr="002E65FB" w:rsidRDefault="00FC7E68" w:rsidP="00D93E39">
            <w:pPr>
              <w:pStyle w:val="EntEmet"/>
            </w:pPr>
            <w:bookmarkStart w:id="16" w:name="Subject"/>
            <w:bookmarkEnd w:id="16"/>
            <w:r w:rsidRPr="002E65FB">
              <w:t xml:space="preserve">Draft Framework Decision on the application of the principle of mutual recognition to judgments in criminal matters imposing custodial sentences or measures involving deprivation of liberty for the purpose of their enforcement in the European Union </w:t>
            </w:r>
          </w:p>
        </w:tc>
      </w:tr>
    </w:tbl>
    <w:p w:rsidR="00FC7E68" w:rsidRPr="002E65FB" w:rsidRDefault="00FC7E68" w:rsidP="00FC7E68">
      <w:pPr>
        <w:spacing w:line="240" w:lineRule="auto"/>
      </w:pPr>
    </w:p>
    <w:p w:rsidR="00FC7E68" w:rsidRPr="002E65FB" w:rsidRDefault="00FC7E68" w:rsidP="00426E57">
      <w:pPr>
        <w:tabs>
          <w:tab w:val="left" w:pos="567"/>
          <w:tab w:val="left" w:pos="3969"/>
        </w:tabs>
        <w:spacing w:line="336" w:lineRule="auto"/>
        <w:rPr>
          <w:b/>
        </w:rPr>
      </w:pPr>
      <w:r w:rsidRPr="002E65FB">
        <w:rPr>
          <w:b/>
        </w:rPr>
        <w:t xml:space="preserve">I </w:t>
      </w:r>
      <w:r w:rsidRPr="002E65FB">
        <w:rPr>
          <w:b/>
        </w:rPr>
        <w:tab/>
        <w:t>INTRODUCTION</w:t>
      </w:r>
    </w:p>
    <w:p w:rsidR="00FC7E68" w:rsidRPr="002E65FB" w:rsidRDefault="00FC7E68" w:rsidP="00426E57">
      <w:pPr>
        <w:tabs>
          <w:tab w:val="left" w:pos="567"/>
          <w:tab w:val="left" w:pos="3969"/>
        </w:tabs>
        <w:spacing w:line="336" w:lineRule="auto"/>
      </w:pPr>
    </w:p>
    <w:p w:rsidR="00FC7E68" w:rsidRPr="002E65FB" w:rsidRDefault="00FC7E68" w:rsidP="00426E57">
      <w:pPr>
        <w:tabs>
          <w:tab w:val="left" w:pos="567"/>
        </w:tabs>
        <w:spacing w:line="336" w:lineRule="auto"/>
      </w:pPr>
      <w:r w:rsidRPr="002E65FB">
        <w:t>The JHA Council discussed at its meeting on 27 and 28 April 2006 the key issue of double criminality in relation to the above draft Framework Decision. It was concluded that further work would continue on the basis of option B in the Annex of 8426/06 COPEN 42. On 3 and 4 May 2006, the Working Party on cooperation in criminal matters started examining option B, and, following further discussions in the Working Party, the issue will be submitted to the Article 36 Committee at a later stage.</w:t>
      </w:r>
    </w:p>
    <w:p w:rsidR="00FC7E68" w:rsidRPr="002E65FB" w:rsidRDefault="00FC7E68" w:rsidP="00426E57">
      <w:pPr>
        <w:tabs>
          <w:tab w:val="left" w:pos="567"/>
        </w:tabs>
        <w:spacing w:line="336" w:lineRule="auto"/>
      </w:pPr>
    </w:p>
    <w:p w:rsidR="00FC7E68" w:rsidRPr="002E65FB" w:rsidRDefault="00FC7E68" w:rsidP="00426E57">
      <w:pPr>
        <w:tabs>
          <w:tab w:val="left" w:pos="567"/>
        </w:tabs>
        <w:spacing w:line="336" w:lineRule="auto"/>
      </w:pPr>
      <w:r w:rsidRPr="002E65FB">
        <w:t>At its meeting on 3 and 4 May 2006, the Working Party also examined two other key issues, namely the consent of the executing State (Article 3bis) and the consent of the sentenced person (Article 5). Proceedings took place on the basis of 8626/06 COPEN 44. The two questions were further examined by the Article 36 Committee at its meeting on 16 and 17 May 2006 on the basis of 9220/06 COPEN 54.</w:t>
      </w:r>
    </w:p>
    <w:p w:rsidR="00FC7E68" w:rsidRPr="002E65FB" w:rsidRDefault="00FC7E68" w:rsidP="00FC7E68">
      <w:pPr>
        <w:tabs>
          <w:tab w:val="left" w:pos="567"/>
        </w:tabs>
      </w:pPr>
      <w:r w:rsidRPr="002E65FB">
        <w:br w:type="page"/>
      </w:r>
      <w:r w:rsidRPr="002E65FB">
        <w:lastRenderedPageBreak/>
        <w:t xml:space="preserve">These two issues are under II below submitted to Coreper/Council with a view to reaching agreement on them at the JHA Council on 1 and 2 June 2006. </w:t>
      </w:r>
    </w:p>
    <w:p w:rsidR="00FC7E68" w:rsidRPr="002E65FB" w:rsidRDefault="00FC7E68" w:rsidP="00FC7E68">
      <w:pPr>
        <w:tabs>
          <w:tab w:val="left" w:pos="567"/>
        </w:tabs>
      </w:pPr>
    </w:p>
    <w:p w:rsidR="00FC7E68" w:rsidRPr="002E65FB" w:rsidRDefault="00FC7E68" w:rsidP="00FC7E68">
      <w:pPr>
        <w:tabs>
          <w:tab w:val="left" w:pos="567"/>
        </w:tabs>
      </w:pPr>
      <w:r w:rsidRPr="002E65FB">
        <w:t>It should be emphasized that the Presidency aims at reaching agreement on the principles behind the text with the understanding that the possible need for technical adjustments to the text in the light of these principles may be examined later by the experts. It is not the intention to discuss the detailed drafting at Coreper/Council. Foll</w:t>
      </w:r>
      <w:r w:rsidR="009370F8" w:rsidRPr="002E65FB">
        <w:t>o</w:t>
      </w:r>
      <w:r w:rsidRPr="002E65FB">
        <w:t>wing the Council, the Presidency will establish a revised wording of the relevant provisions (Articles 3bis, 5 and 9 and possibly a recital) for the purpose of further proceedings in the Working Party. This will be integrated in a document taking into account also the result of proceedings of the Working Party on 3 and 4 May 2006 on other questions.</w:t>
      </w:r>
    </w:p>
    <w:p w:rsidR="00FC7E68" w:rsidRPr="002E65FB" w:rsidRDefault="00FC7E68" w:rsidP="00FC7E68">
      <w:pPr>
        <w:tabs>
          <w:tab w:val="left" w:pos="567"/>
        </w:tabs>
      </w:pPr>
    </w:p>
    <w:p w:rsidR="00FC7E68" w:rsidRPr="002E65FB" w:rsidRDefault="00FC7E68" w:rsidP="00FC7E68">
      <w:pPr>
        <w:tabs>
          <w:tab w:val="left" w:pos="567"/>
        </w:tabs>
      </w:pPr>
      <w:r w:rsidRPr="002E65FB">
        <w:t>The European Parliament has been invited to give its opinion on the proposal.</w:t>
      </w:r>
    </w:p>
    <w:p w:rsidR="00FC7E68" w:rsidRPr="002E65FB" w:rsidRDefault="00FC7E68" w:rsidP="00FC7E68">
      <w:pPr>
        <w:tabs>
          <w:tab w:val="left" w:pos="567"/>
        </w:tabs>
      </w:pPr>
    </w:p>
    <w:p w:rsidR="00FC7E68" w:rsidRPr="002E65FB" w:rsidRDefault="00FC7E68" w:rsidP="00FC7E68">
      <w:pPr>
        <w:tabs>
          <w:tab w:val="left" w:pos="567"/>
        </w:tabs>
      </w:pPr>
      <w:r w:rsidRPr="002E65FB">
        <w:t>The proposal is subject to general scrutiny reservations and general parliamentary scrutiny reservations by some delegations.</w:t>
      </w:r>
    </w:p>
    <w:p w:rsidR="00FC7E68" w:rsidRPr="002E65FB" w:rsidRDefault="00FC7E68" w:rsidP="00FC7E68">
      <w:pPr>
        <w:tabs>
          <w:tab w:val="left" w:pos="567"/>
        </w:tabs>
      </w:pPr>
      <w:r w:rsidRPr="002E65FB">
        <w:t xml:space="preserve"> </w:t>
      </w:r>
    </w:p>
    <w:p w:rsidR="00FC7E68" w:rsidRPr="002E65FB" w:rsidRDefault="00FC7E68" w:rsidP="00FC7E68">
      <w:pPr>
        <w:tabs>
          <w:tab w:val="left" w:pos="567"/>
        </w:tabs>
      </w:pPr>
    </w:p>
    <w:p w:rsidR="00FC7E68" w:rsidRPr="002E65FB" w:rsidRDefault="00FC7E68" w:rsidP="00FC7E68">
      <w:pPr>
        <w:tabs>
          <w:tab w:val="left" w:pos="567"/>
        </w:tabs>
        <w:rPr>
          <w:b/>
        </w:rPr>
      </w:pPr>
      <w:r w:rsidRPr="002E65FB">
        <w:rPr>
          <w:b/>
        </w:rPr>
        <w:t>II</w:t>
      </w:r>
      <w:r w:rsidRPr="002E65FB">
        <w:rPr>
          <w:b/>
        </w:rPr>
        <w:tab/>
        <w:t>QUESTIONS TO EXAMINE</w:t>
      </w:r>
    </w:p>
    <w:p w:rsidR="00FC7E68" w:rsidRPr="002E65FB" w:rsidRDefault="00FC7E68" w:rsidP="00FC7E68">
      <w:pPr>
        <w:tabs>
          <w:tab w:val="left" w:pos="567"/>
        </w:tabs>
      </w:pPr>
    </w:p>
    <w:p w:rsidR="00FC7E68" w:rsidRPr="002E65FB" w:rsidRDefault="00FC7E68" w:rsidP="00FC7E68">
      <w:pPr>
        <w:tabs>
          <w:tab w:val="left" w:pos="567"/>
        </w:tabs>
      </w:pPr>
      <w:r w:rsidRPr="002E65FB">
        <w:t>The draft Framework Decision would, in the relations between the Member States, replace:</w:t>
      </w:r>
    </w:p>
    <w:p w:rsidR="00FC7E68" w:rsidRPr="002E65FB" w:rsidRDefault="00FC7E68" w:rsidP="00FC7E68">
      <w:pPr>
        <w:tabs>
          <w:tab w:val="left" w:pos="567"/>
        </w:tabs>
        <w:ind w:left="567" w:hanging="567"/>
      </w:pPr>
      <w:r w:rsidRPr="002E65FB">
        <w:t>-</w:t>
      </w:r>
      <w:r w:rsidRPr="002E65FB">
        <w:tab/>
        <w:t>the 1983 Convention on the transfer of sentenced persons (ratified by all Member States).</w:t>
      </w:r>
    </w:p>
    <w:p w:rsidR="00FC7E68" w:rsidRPr="002E65FB" w:rsidRDefault="00FC7E68" w:rsidP="00FC7E68">
      <w:pPr>
        <w:tabs>
          <w:tab w:val="left" w:pos="567"/>
        </w:tabs>
      </w:pPr>
      <w:r w:rsidRPr="002E65FB">
        <w:t>-</w:t>
      </w:r>
      <w:r w:rsidRPr="002E65FB">
        <w:tab/>
        <w:t>the 1997 Protocol to the 1983 Convention (ratified by 17 Member States) .</w:t>
      </w:r>
    </w:p>
    <w:p w:rsidR="00FC7E68" w:rsidRPr="002E65FB" w:rsidRDefault="00FC7E68" w:rsidP="00FC7E68">
      <w:pPr>
        <w:tabs>
          <w:tab w:val="left" w:pos="567"/>
        </w:tabs>
      </w:pPr>
      <w:r w:rsidRPr="002E65FB">
        <w:t>-</w:t>
      </w:r>
      <w:r w:rsidRPr="002E65FB">
        <w:tab/>
        <w:t>Articles 67-69 of the 1990 Schengen Convention.</w:t>
      </w:r>
    </w:p>
    <w:p w:rsidR="00FC7E68" w:rsidRPr="002E65FB" w:rsidRDefault="00FC7E68" w:rsidP="00FC7E68">
      <w:pPr>
        <w:tabs>
          <w:tab w:val="left" w:pos="567"/>
        </w:tabs>
      </w:pPr>
    </w:p>
    <w:p w:rsidR="00FC7E68" w:rsidRPr="002E65FB" w:rsidRDefault="00FC7E68" w:rsidP="00FC7E68">
      <w:pPr>
        <w:tabs>
          <w:tab w:val="left" w:pos="567"/>
        </w:tabs>
      </w:pPr>
      <w:r w:rsidRPr="002E65FB">
        <w:t>Under these instruments, a State may request another State to enforce the sentence imposed on a national of that other State.</w:t>
      </w:r>
    </w:p>
    <w:p w:rsidR="00FC7E68" w:rsidRPr="002E65FB" w:rsidRDefault="00FC7E68" w:rsidP="00FC7E68">
      <w:pPr>
        <w:tabs>
          <w:tab w:val="left" w:pos="567"/>
        </w:tabs>
      </w:pPr>
    </w:p>
    <w:p w:rsidR="00FC7E68" w:rsidRPr="002E65FB" w:rsidRDefault="00FC7E68" w:rsidP="00FC7E68">
      <w:pPr>
        <w:tabs>
          <w:tab w:val="left" w:pos="567"/>
        </w:tabs>
      </w:pPr>
      <w:r w:rsidRPr="002E65FB">
        <w:t>The consent of the requested State is always necessary.</w:t>
      </w:r>
    </w:p>
    <w:p w:rsidR="00FC7E68" w:rsidRPr="002E65FB" w:rsidRDefault="00FC7E68" w:rsidP="00FC7E68">
      <w:pPr>
        <w:tabs>
          <w:tab w:val="left" w:pos="567"/>
        </w:tabs>
      </w:pPr>
      <w:r w:rsidRPr="002E65FB">
        <w:br w:type="page"/>
        <w:t>The consent of the sentenced person is in general necessary, with two exceptions. The first exception is the case where the sentenced person has fled to his or her State of nationality and the sentencing State asks the State of nationality to enforce the judgment (see Article 2(1) of the 1997 Protocol and Articles 68 seq. of the Schengen Convention). The second exception is the case where the sentenced person will be deported or expulsed to the requested State as a consequence of the judgment of the sentencing State (see Article 3 of the 1997 Protocol which has been ratified by the majority of the Member States).</w:t>
      </w:r>
    </w:p>
    <w:p w:rsidR="00FC7E68" w:rsidRPr="002E65FB" w:rsidRDefault="00FC7E68" w:rsidP="00FC7E68">
      <w:pPr>
        <w:tabs>
          <w:tab w:val="left" w:pos="567"/>
        </w:tabs>
      </w:pPr>
    </w:p>
    <w:p w:rsidR="00FC7E68" w:rsidRPr="002E65FB" w:rsidRDefault="00FC7E68" w:rsidP="00FC7E68">
      <w:pPr>
        <w:tabs>
          <w:tab w:val="left" w:pos="567"/>
        </w:tabs>
      </w:pPr>
      <w:r w:rsidRPr="002E65FB">
        <w:t>The aim of the Framework Decision is in particular to:</w:t>
      </w:r>
    </w:p>
    <w:p w:rsidR="00FC7E68" w:rsidRPr="002E65FB" w:rsidRDefault="00FC7E68" w:rsidP="00FC7E68">
      <w:pPr>
        <w:tabs>
          <w:tab w:val="left" w:pos="567"/>
        </w:tabs>
      </w:pPr>
      <w:r w:rsidRPr="002E65FB">
        <w:t>-</w:t>
      </w:r>
      <w:r w:rsidRPr="002E65FB">
        <w:tab/>
        <w:t>Define cases for which the consent of the executing State is not required.</w:t>
      </w:r>
    </w:p>
    <w:p w:rsidR="00FC7E68" w:rsidRPr="002E65FB" w:rsidRDefault="00FC7E68" w:rsidP="00FC7E68">
      <w:pPr>
        <w:tabs>
          <w:tab w:val="left" w:pos="567"/>
        </w:tabs>
      </w:pPr>
      <w:r w:rsidRPr="002E65FB">
        <w:t>-</w:t>
      </w:r>
      <w:r w:rsidRPr="002E65FB">
        <w:tab/>
        <w:t xml:space="preserve">Widen the scope of cases for which the consent of the sentenced person is not required. </w:t>
      </w:r>
    </w:p>
    <w:p w:rsidR="00FC7E68" w:rsidRPr="002E65FB" w:rsidRDefault="00FC7E68" w:rsidP="00FC7E68">
      <w:pPr>
        <w:tabs>
          <w:tab w:val="left" w:pos="567"/>
        </w:tabs>
      </w:pPr>
    </w:p>
    <w:p w:rsidR="00FC7E68" w:rsidRPr="002E65FB" w:rsidRDefault="00FC7E68" w:rsidP="00FC7E68">
      <w:pPr>
        <w:tabs>
          <w:tab w:val="left" w:pos="567"/>
        </w:tabs>
      </w:pPr>
      <w:r w:rsidRPr="002E65FB">
        <w:t xml:space="preserve">As far as the consent of the sentenced person is concerned, it must be ensured that the measures taken are in conformity with the provisions on right to residence under Community law. The Legal Service of the Council has on request of the Working Party given legal advice on this issue (7570/06 JUR 114 COPEN 28). Community law may in particular imply that the consent of the person concerned is needed for transferring that person to the State of his or her nationality which is not the person's State of permanent legal residence. </w:t>
      </w:r>
    </w:p>
    <w:p w:rsidR="00FC7E68" w:rsidRPr="002E65FB" w:rsidRDefault="00FC7E68" w:rsidP="00FC7E68">
      <w:pPr>
        <w:tabs>
          <w:tab w:val="left" w:pos="567"/>
        </w:tabs>
      </w:pPr>
    </w:p>
    <w:p w:rsidR="00FC7E68" w:rsidRPr="002E65FB" w:rsidRDefault="00FC7E68" w:rsidP="00FC7E68">
      <w:pPr>
        <w:tabs>
          <w:tab w:val="left" w:pos="567"/>
        </w:tabs>
      </w:pPr>
      <w:r w:rsidRPr="002E65FB">
        <w:t>On the other hand, it should be emphasized that Community law does not limit the possibilities for restricting the requirement for consent of the executing State.</w:t>
      </w:r>
    </w:p>
    <w:p w:rsidR="00FC7E68" w:rsidRPr="002E65FB" w:rsidRDefault="00FC7E68" w:rsidP="00FC7E68">
      <w:pPr>
        <w:tabs>
          <w:tab w:val="left" w:pos="567"/>
        </w:tabs>
      </w:pPr>
    </w:p>
    <w:p w:rsidR="00FC7E68" w:rsidRPr="002E65FB" w:rsidRDefault="00FC7E68" w:rsidP="00FC7E68">
      <w:pPr>
        <w:tabs>
          <w:tab w:val="left" w:pos="567"/>
        </w:tabs>
      </w:pPr>
      <w:r w:rsidRPr="002E65FB">
        <w:t>This means that the two issues - the consent of the executing State and the consent of the sentenced person - have to be seen as different issues; there may therefore be cases where the consent of the person is required but not that of the executing State, and vice versa.</w:t>
      </w:r>
    </w:p>
    <w:p w:rsidR="00FC7E68" w:rsidRPr="002E65FB" w:rsidRDefault="00FC7E68" w:rsidP="00FC7E68">
      <w:pPr>
        <w:tabs>
          <w:tab w:val="left" w:pos="567"/>
        </w:tabs>
      </w:pPr>
    </w:p>
    <w:p w:rsidR="00FC7E68" w:rsidRPr="002E65FB" w:rsidRDefault="00FC7E68" w:rsidP="00FC7E68">
      <w:pPr>
        <w:tabs>
          <w:tab w:val="left" w:pos="567"/>
        </w:tabs>
      </w:pPr>
      <w:r w:rsidRPr="002E65FB">
        <w:t>It should be noted that in cases covered by Articles 4(6) and 5(3) of the Framework Decision on the European Arrest Warrant the decision on where the sentenced person shall serve his or her sentence is taken under that Framework Decision. The provisions on consent of the executing State and of the sentenced person in the present draft Framework Decision therefore do not cover these cases.</w:t>
      </w:r>
    </w:p>
    <w:p w:rsidR="00FC7E68" w:rsidRPr="002E65FB" w:rsidRDefault="00FC7E68" w:rsidP="00FC7E68">
      <w:pPr>
        <w:tabs>
          <w:tab w:val="left" w:pos="567"/>
        </w:tabs>
        <w:rPr>
          <w:u w:val="single"/>
        </w:rPr>
      </w:pPr>
      <w:r w:rsidRPr="002E65FB">
        <w:br w:type="page"/>
      </w:r>
      <w:r w:rsidRPr="002E65FB">
        <w:rPr>
          <w:u w:val="single"/>
        </w:rPr>
        <w:t>Consent of the executing State</w:t>
      </w:r>
    </w:p>
    <w:p w:rsidR="00FC7E68" w:rsidRPr="002E65FB" w:rsidRDefault="00FC7E68" w:rsidP="00FC7E68">
      <w:pPr>
        <w:tabs>
          <w:tab w:val="left" w:pos="567"/>
        </w:tabs>
      </w:pPr>
    </w:p>
    <w:p w:rsidR="00FC7E68" w:rsidRPr="002E65FB" w:rsidRDefault="00FC7E68" w:rsidP="00FC7E68">
      <w:pPr>
        <w:tabs>
          <w:tab w:val="left" w:pos="567"/>
        </w:tabs>
        <w:rPr>
          <w:i/>
        </w:rPr>
      </w:pPr>
      <w:r w:rsidRPr="002E65FB">
        <w:rPr>
          <w:i/>
        </w:rPr>
        <w:t>Coreper/Council is invited to examine the following</w:t>
      </w:r>
      <w:r w:rsidRPr="002E65FB">
        <w:rPr>
          <w:rStyle w:val="Fotnotsreferens"/>
          <w:i/>
        </w:rPr>
        <w:footnoteReference w:id="1"/>
      </w:r>
      <w:r w:rsidRPr="002E65FB">
        <w:rPr>
          <w:i/>
        </w:rPr>
        <w:t>:</w:t>
      </w:r>
    </w:p>
    <w:p w:rsidR="00FC7E68" w:rsidRPr="002E65FB" w:rsidRDefault="00FC7E68" w:rsidP="00FC7E68">
      <w:pPr>
        <w:tabs>
          <w:tab w:val="left" w:pos="567"/>
        </w:tabs>
        <w:rPr>
          <w:i/>
        </w:rPr>
      </w:pPr>
    </w:p>
    <w:p w:rsidR="00FC7E68" w:rsidRPr="002E65FB" w:rsidRDefault="00FC7E68" w:rsidP="00762791">
      <w:pPr>
        <w:tabs>
          <w:tab w:val="left" w:pos="567"/>
        </w:tabs>
        <w:rPr>
          <w:i/>
        </w:rPr>
      </w:pPr>
      <w:r w:rsidRPr="002E65FB">
        <w:rPr>
          <w:i/>
        </w:rPr>
        <w:t>Can delegations agree that the consent of the executing State shall not be needed where the judgment together with the certificate is forwarded to:</w:t>
      </w:r>
    </w:p>
    <w:p w:rsidR="00FC7E68" w:rsidRPr="002E65FB" w:rsidRDefault="00FC7E68" w:rsidP="009370F8">
      <w:pPr>
        <w:tabs>
          <w:tab w:val="left" w:pos="567"/>
        </w:tabs>
        <w:ind w:left="1134" w:hanging="1134"/>
        <w:rPr>
          <w:i/>
        </w:rPr>
      </w:pPr>
      <w:r w:rsidRPr="002E65FB">
        <w:rPr>
          <w:i/>
        </w:rPr>
        <w:t>a)</w:t>
      </w:r>
      <w:r w:rsidR="009370F8" w:rsidRPr="002E65FB">
        <w:rPr>
          <w:i/>
        </w:rPr>
        <w:tab/>
      </w:r>
      <w:r w:rsidRPr="002E65FB">
        <w:rPr>
          <w:i/>
        </w:rPr>
        <w:t>the State of nationality of the sentenced person where he or she lives/resides?</w:t>
      </w:r>
    </w:p>
    <w:p w:rsidR="00FC7E68" w:rsidRPr="002E65FB" w:rsidRDefault="00FC7E68" w:rsidP="009370F8">
      <w:pPr>
        <w:tabs>
          <w:tab w:val="left" w:pos="567"/>
        </w:tabs>
        <w:ind w:left="567" w:hanging="567"/>
        <w:rPr>
          <w:i/>
        </w:rPr>
      </w:pPr>
      <w:r w:rsidRPr="002E65FB">
        <w:rPr>
          <w:i/>
        </w:rPr>
        <w:t>b)</w:t>
      </w:r>
      <w:r w:rsidR="009370F8" w:rsidRPr="002E65FB">
        <w:rPr>
          <w:i/>
        </w:rPr>
        <w:tab/>
      </w:r>
      <w:r w:rsidRPr="002E65FB">
        <w:rPr>
          <w:i/>
        </w:rPr>
        <w:t>the State of nationality or the State of permanent legal residence of the sentenced person to which he or she would anyway be deported/expulsed as a consequence of the judgment after having served the sentence?</w:t>
      </w:r>
    </w:p>
    <w:p w:rsidR="00FC7E68" w:rsidRPr="002E65FB" w:rsidRDefault="009370F8" w:rsidP="009370F8">
      <w:pPr>
        <w:tabs>
          <w:tab w:val="left" w:pos="567"/>
        </w:tabs>
        <w:ind w:left="567" w:hanging="567"/>
      </w:pPr>
      <w:r w:rsidRPr="002E65FB">
        <w:rPr>
          <w:i/>
        </w:rPr>
        <w:t>c</w:t>
      </w:r>
      <w:r w:rsidR="00762791" w:rsidRPr="002E65FB">
        <w:rPr>
          <w:i/>
        </w:rPr>
        <w:t>)</w:t>
      </w:r>
      <w:r w:rsidRPr="002E65FB">
        <w:rPr>
          <w:i/>
        </w:rPr>
        <w:tab/>
      </w:r>
      <w:r w:rsidR="00FC7E68" w:rsidRPr="002E65FB">
        <w:rPr>
          <w:i/>
        </w:rPr>
        <w:t>the State of permanent legal residence of the sentenced person unless he or she has lost or will loose his or her residence permit as a consequence of the judgment?</w:t>
      </w:r>
    </w:p>
    <w:p w:rsidR="00FC7E68" w:rsidRPr="002E65FB" w:rsidRDefault="00FC7E68" w:rsidP="00FC7E68">
      <w:pPr>
        <w:tabs>
          <w:tab w:val="left" w:pos="567"/>
        </w:tabs>
        <w:ind w:left="567" w:hanging="567"/>
      </w:pPr>
    </w:p>
    <w:p w:rsidR="00FC7E68" w:rsidRPr="002E65FB" w:rsidRDefault="00FC7E68" w:rsidP="00FC7E68">
      <w:pPr>
        <w:tabs>
          <w:tab w:val="left" w:pos="0"/>
          <w:tab w:val="left" w:pos="567"/>
        </w:tabs>
      </w:pPr>
      <w:r w:rsidRPr="002E65FB">
        <w:t>The Presidency is of the view that the provisions referred to constitute the core element of mutual recognition in the instrument and should go as far as possible.</w:t>
      </w:r>
    </w:p>
    <w:p w:rsidR="00FC7E68" w:rsidRPr="002E65FB" w:rsidRDefault="00FC7E68" w:rsidP="009370F8">
      <w:pPr>
        <w:tabs>
          <w:tab w:val="left" w:pos="0"/>
          <w:tab w:val="left" w:pos="567"/>
        </w:tabs>
        <w:rPr>
          <w:u w:val="single"/>
        </w:rPr>
      </w:pPr>
      <w:r w:rsidRPr="002E65FB">
        <w:br w:type="page"/>
      </w:r>
      <w:bookmarkStart w:id="17" w:name="ControlPages"/>
      <w:bookmarkEnd w:id="17"/>
      <w:r w:rsidRPr="002E65FB">
        <w:rPr>
          <w:u w:val="single"/>
        </w:rPr>
        <w:t>Consent of the person concerned</w:t>
      </w:r>
      <w:r w:rsidRPr="002E65FB">
        <w:rPr>
          <w:rStyle w:val="Fotnotsreferens"/>
          <w:u w:val="single"/>
        </w:rPr>
        <w:footnoteReference w:id="2"/>
      </w:r>
    </w:p>
    <w:p w:rsidR="00FC7E68" w:rsidRPr="002E65FB" w:rsidRDefault="00FC7E68" w:rsidP="00FC7E68">
      <w:pPr>
        <w:tabs>
          <w:tab w:val="left" w:pos="567"/>
        </w:tabs>
      </w:pPr>
    </w:p>
    <w:p w:rsidR="00FC7E68" w:rsidRPr="002E65FB" w:rsidRDefault="00FC7E68" w:rsidP="00FC7E68">
      <w:pPr>
        <w:tabs>
          <w:tab w:val="left" w:pos="567"/>
        </w:tabs>
      </w:pPr>
      <w:r w:rsidRPr="002E65FB">
        <w:t>The Presidency proposes to limit the need for the consent of the sentenced person without getting in conflict with Community law regarding cases where:</w:t>
      </w:r>
    </w:p>
    <w:p w:rsidR="00FC7E68" w:rsidRPr="002E65FB" w:rsidRDefault="00FC7E68" w:rsidP="00FC7E68">
      <w:pPr>
        <w:tabs>
          <w:tab w:val="left" w:pos="567"/>
        </w:tabs>
        <w:ind w:left="567" w:hanging="567"/>
      </w:pPr>
      <w:r w:rsidRPr="002E65FB">
        <w:t xml:space="preserve">1) </w:t>
      </w:r>
      <w:r w:rsidRPr="002E65FB">
        <w:tab/>
        <w:t xml:space="preserve">the executing State is the sentenced person's State of nationality and the person is not exercising his or her right of permanent legal residence in another Member State; </w:t>
      </w:r>
    </w:p>
    <w:p w:rsidR="00FC7E68" w:rsidRPr="002E65FB" w:rsidRDefault="00FC7E68" w:rsidP="00FC7E68">
      <w:pPr>
        <w:tabs>
          <w:tab w:val="left" w:pos="567"/>
        </w:tabs>
        <w:ind w:left="567" w:hanging="567"/>
      </w:pPr>
      <w:r w:rsidRPr="002E65FB">
        <w:t>2)</w:t>
      </w:r>
      <w:r w:rsidRPr="002E65FB">
        <w:tab/>
        <w:t xml:space="preserve">the sentenced person would anyway be deported to the executing State as a consequence of the conviction after having served his or her sentence in the issuing State (= case under Article 3(1) of the 1997 Protocol); </w:t>
      </w:r>
    </w:p>
    <w:p w:rsidR="00FC7E68" w:rsidRPr="002E65FB" w:rsidRDefault="00FC7E68" w:rsidP="00FC7E68">
      <w:pPr>
        <w:tabs>
          <w:tab w:val="left" w:pos="567"/>
        </w:tabs>
        <w:ind w:left="567" w:hanging="567"/>
      </w:pPr>
      <w:r w:rsidRPr="002E65FB">
        <w:t>3)</w:t>
      </w:r>
      <w:r w:rsidRPr="002E65FB">
        <w:tab/>
        <w:t xml:space="preserve">the sentenced person has fled or otherwise returned to his or her State of nationality or of permanent legal residence </w:t>
      </w:r>
      <w:r w:rsidR="00762791" w:rsidRPr="002E65FB">
        <w:t xml:space="preserve">in view of the criminal proceedings against him or her in the issuing State or following the conviction in that State </w:t>
      </w:r>
      <w:r w:rsidRPr="002E65FB">
        <w:t xml:space="preserve">(= case under Article 2 of the 1997 Protocol). </w:t>
      </w:r>
    </w:p>
    <w:p w:rsidR="00FC7E68" w:rsidRPr="002E65FB" w:rsidRDefault="00FC7E68" w:rsidP="00FC7E68">
      <w:pPr>
        <w:tabs>
          <w:tab w:val="left" w:pos="567"/>
        </w:tabs>
      </w:pPr>
    </w:p>
    <w:p w:rsidR="00FC7E68" w:rsidRPr="002E65FB" w:rsidRDefault="00FC7E68" w:rsidP="00FC7E68">
      <w:pPr>
        <w:tabs>
          <w:tab w:val="left" w:pos="567"/>
        </w:tabs>
        <w:rPr>
          <w:i/>
        </w:rPr>
      </w:pPr>
      <w:r w:rsidRPr="002E65FB">
        <w:rPr>
          <w:i/>
        </w:rPr>
        <w:t>Can delegations agree to this approach?</w:t>
      </w:r>
    </w:p>
    <w:p w:rsidR="00FC7E68" w:rsidRPr="002E65FB" w:rsidRDefault="00FC7E68" w:rsidP="00FC7E68">
      <w:pPr>
        <w:tabs>
          <w:tab w:val="left" w:pos="567"/>
        </w:tabs>
      </w:pPr>
    </w:p>
    <w:p w:rsidR="009370F8" w:rsidRPr="002E65FB" w:rsidRDefault="009370F8" w:rsidP="00FC7E68">
      <w:pPr>
        <w:tabs>
          <w:tab w:val="left" w:pos="567"/>
        </w:tabs>
      </w:pPr>
    </w:p>
    <w:p w:rsidR="009370F8" w:rsidRPr="002E65FB" w:rsidRDefault="009370F8" w:rsidP="00FC7E68">
      <w:pPr>
        <w:tabs>
          <w:tab w:val="left" w:pos="567"/>
        </w:tabs>
      </w:pPr>
    </w:p>
    <w:p w:rsidR="002B28C5" w:rsidRPr="002E65FB" w:rsidRDefault="00FC7E68" w:rsidP="009370F8">
      <w:pPr>
        <w:pStyle w:val="EntRefer"/>
        <w:jc w:val="center"/>
        <w:outlineLvl w:val="0"/>
      </w:pPr>
      <w:r w:rsidRPr="002E65FB">
        <w:t>__________________</w:t>
      </w:r>
    </w:p>
    <w:sectPr w:rsidR="002B28C5" w:rsidRPr="002E65FB">
      <w:footerReference w:type="default" r:id="rId8"/>
      <w:footnotePr>
        <w:numRestart w:val="eachPage"/>
      </w:footnotePr>
      <w:endnotePr>
        <w:numFmt w:val="decimal"/>
      </w:endnotePr>
      <w:pgSz w:w="11907" w:h="16840" w:code="9"/>
      <w:pgMar w:top="1134" w:right="1134" w:bottom="1134"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74D5" w:rsidRPr="002E65FB" w:rsidRDefault="007E74D5">
      <w:r w:rsidRPr="002E65FB">
        <w:separator/>
      </w:r>
    </w:p>
  </w:endnote>
  <w:endnote w:type="continuationSeparator" w:id="0">
    <w:p w:rsidR="007E74D5" w:rsidRPr="002E65FB" w:rsidRDefault="007E74D5">
      <w:r w:rsidRPr="002E65FB">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4C2" w:rsidRPr="002E65FB" w:rsidRDefault="008314C2">
    <w:pPr>
      <w:pStyle w:val="Sidfot"/>
      <w:pBdr>
        <w:bottom w:val="single" w:sz="4" w:space="1" w:color="auto"/>
      </w:pBdr>
      <w:spacing w:after="60"/>
    </w:pPr>
  </w:p>
  <w:p w:rsidR="008314C2" w:rsidRPr="002E65FB" w:rsidRDefault="008314C2">
    <w:pPr>
      <w:pStyle w:val="Sidfot"/>
    </w:pPr>
    <w:bookmarkStart w:id="18" w:name="CoteFooter"/>
    <w:bookmarkEnd w:id="18"/>
    <w:r w:rsidRPr="002E65FB">
      <w:t>9220/1/06</w:t>
    </w:r>
    <w:r w:rsidR="00C56B88" w:rsidRPr="002E65FB">
      <w:t xml:space="preserve"> REV 1</w:t>
    </w:r>
    <w:r w:rsidRPr="002E65FB">
      <w:tab/>
    </w:r>
    <w:bookmarkStart w:id="19" w:name="SuplCote"/>
    <w:bookmarkEnd w:id="19"/>
    <w:r w:rsidRPr="002E65FB">
      <w:tab/>
    </w:r>
    <w:bookmarkStart w:id="20" w:name="Init"/>
    <w:bookmarkEnd w:id="20"/>
    <w:r w:rsidRPr="002E65FB">
      <w:t>BM/he</w:t>
    </w:r>
    <w:r w:rsidRPr="002E65FB">
      <w:tab/>
    </w:r>
    <w:r w:rsidRPr="002E65FB">
      <w:rPr>
        <w:rStyle w:val="Sidnummer"/>
      </w:rPr>
      <w:fldChar w:fldCharType="begin" w:fldLock="1"/>
    </w:r>
    <w:r w:rsidRPr="002E65FB">
      <w:rPr>
        <w:rStyle w:val="Sidnummer"/>
      </w:rPr>
      <w:instrText xml:space="preserve"> PAGE </w:instrText>
    </w:r>
    <w:r w:rsidRPr="002E65FB">
      <w:rPr>
        <w:rStyle w:val="Sidnummer"/>
      </w:rPr>
      <w:fldChar w:fldCharType="separate"/>
    </w:r>
    <w:r w:rsidR="00331B4D" w:rsidRPr="002E65FB">
      <w:rPr>
        <w:rStyle w:val="Sidnummer"/>
      </w:rPr>
      <w:t>1</w:t>
    </w:r>
    <w:r w:rsidRPr="002E65FB">
      <w:rPr>
        <w:rStyle w:val="Sidnummer"/>
      </w:rPr>
      <w:fldChar w:fldCharType="end"/>
    </w:r>
  </w:p>
  <w:p w:rsidR="008314C2" w:rsidRPr="002E65FB" w:rsidRDefault="008314C2">
    <w:pPr>
      <w:pStyle w:val="Sidfot"/>
      <w:tabs>
        <w:tab w:val="clear" w:pos="7371"/>
      </w:tabs>
      <w:spacing w:line="280" w:lineRule="exact"/>
    </w:pPr>
    <w:r w:rsidRPr="002E65FB">
      <w:tab/>
    </w:r>
    <w:bookmarkStart w:id="21" w:name="DG"/>
    <w:bookmarkEnd w:id="21"/>
    <w:r w:rsidRPr="002E65FB">
      <w:t>DG H 2B</w:t>
    </w:r>
    <w:r w:rsidRPr="002E65FB">
      <w:tab/>
    </w:r>
    <w:bookmarkStart w:id="22" w:name="FooterCoteSec"/>
    <w:r w:rsidRPr="002E65FB">
      <w:rPr>
        <w:b/>
        <w:position w:val="-4"/>
        <w:sz w:val="36"/>
      </w:rPr>
      <w:t xml:space="preserve"> </w:t>
    </w:r>
    <w:bookmarkEnd w:id="22"/>
    <w:r w:rsidRPr="002E65FB">
      <w:rPr>
        <w:b/>
        <w:position w:val="-4"/>
        <w:sz w:val="36"/>
      </w:rPr>
      <w:t>LIMITE</w:t>
    </w:r>
    <w:r w:rsidRPr="002E65FB">
      <w:rPr>
        <w:b/>
        <w:position w:val="-4"/>
        <w:sz w:val="36"/>
      </w:rPr>
      <w:t> </w:t>
    </w:r>
    <w:bookmarkStart w:id="23" w:name="Langue"/>
    <w:r w:rsidRPr="002E65FB">
      <w:rPr>
        <w:b/>
        <w:position w:val="-4"/>
        <w:sz w:val="36"/>
      </w:rPr>
      <w:t>EN</w:t>
    </w:r>
    <w:bookmarkEnd w:id="2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74D5" w:rsidRPr="002E65FB" w:rsidRDefault="007E74D5">
      <w:pPr>
        <w:pStyle w:val="Fotnotstext"/>
      </w:pPr>
      <w:r w:rsidRPr="002E65FB">
        <w:separator/>
      </w:r>
    </w:p>
  </w:footnote>
  <w:footnote w:type="continuationSeparator" w:id="0">
    <w:p w:rsidR="007E74D5" w:rsidRPr="002E65FB" w:rsidRDefault="007E74D5">
      <w:pPr>
        <w:pStyle w:val="Fotnotstext"/>
      </w:pPr>
      <w:r w:rsidRPr="002E65FB">
        <w:separator/>
      </w:r>
    </w:p>
  </w:footnote>
  <w:footnote w:id="1">
    <w:p w:rsidR="00FC7E68" w:rsidRPr="002E65FB" w:rsidRDefault="00FC7E68" w:rsidP="00FC7E68">
      <w:pPr>
        <w:pStyle w:val="Fotnotstext"/>
      </w:pPr>
      <w:r w:rsidRPr="002E65FB">
        <w:rPr>
          <w:rStyle w:val="Fotnotsreferens"/>
        </w:rPr>
        <w:footnoteRef/>
      </w:r>
      <w:r w:rsidRPr="002E65FB">
        <w:t xml:space="preserve"> </w:t>
      </w:r>
      <w:r w:rsidRPr="002E65FB">
        <w:tab/>
        <w:t>There was a high degree of support for not requiring the consent of the executing State in the cases under a), b) and c). Furthermore, there was a high degree of support for keeping the linkage between the criteria of nationality and residence in the case under a).</w:t>
      </w:r>
    </w:p>
  </w:footnote>
  <w:footnote w:id="2">
    <w:p w:rsidR="00FC7E68" w:rsidRPr="002E65FB" w:rsidRDefault="00FC7E68" w:rsidP="00FC7E68">
      <w:pPr>
        <w:pStyle w:val="Fotnotstext"/>
      </w:pPr>
      <w:r w:rsidRPr="002E65FB">
        <w:rPr>
          <w:rStyle w:val="Fotnotsreferens"/>
        </w:rPr>
        <w:footnoteRef/>
      </w:r>
      <w:r w:rsidRPr="002E65FB">
        <w:t xml:space="preserve"> </w:t>
      </w:r>
      <w:r w:rsidRPr="002E65FB">
        <w:tab/>
        <w:t>An overwhelming majority of delegations could accept b) and 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F473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8858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A847D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A8EA3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E26D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BA290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D2F6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6E80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E8D0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D46C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2" w15:restartNumberingAfterBreak="0">
    <w:nsid w:val="11C575B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34C0AC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3C34E21"/>
    <w:multiLevelType w:val="multilevel"/>
    <w:tmpl w:val="A1D260E6"/>
    <w:lvl w:ilvl="0">
      <w:start w:val="1"/>
      <w:numFmt w:val="upperRoman"/>
      <w:lvlText w:val="%1."/>
      <w:lvlJc w:val="left"/>
      <w:pPr>
        <w:tabs>
          <w:tab w:val="num" w:pos="567"/>
        </w:tabs>
        <w:ind w:left="567" w:hanging="567"/>
      </w:pPr>
      <w:rPr>
        <w:rFonts w:ascii="Times New Roman" w:hAnsi="Times New Roman" w:hint="default"/>
        <w:u w:val="none"/>
      </w:rPr>
    </w:lvl>
    <w:lvl w:ilvl="1">
      <w:start w:val="1"/>
      <w:numFmt w:val="upperLetter"/>
      <w:lvlText w:val="%2."/>
      <w:lvlJc w:val="left"/>
      <w:pPr>
        <w:tabs>
          <w:tab w:val="num" w:pos="1134"/>
        </w:tabs>
        <w:ind w:left="1134" w:hanging="567"/>
      </w:pPr>
      <w:rPr>
        <w:rFonts w:ascii="Times New Roman" w:hAnsi="Times New Roman" w:hint="default"/>
        <w:u w:val="none"/>
      </w:rPr>
    </w:lvl>
    <w:lvl w:ilvl="2">
      <w:start w:val="1"/>
      <w:numFmt w:val="decimal"/>
      <w:lvlText w:val="%3."/>
      <w:lvlJc w:val="left"/>
      <w:pPr>
        <w:tabs>
          <w:tab w:val="num" w:pos="1701"/>
        </w:tabs>
        <w:ind w:left="1701" w:hanging="567"/>
      </w:pPr>
      <w:rPr>
        <w:rFonts w:ascii="Times New Roman" w:hAnsi="Times New Roman" w:hint="default"/>
        <w:b w:val="0"/>
        <w:i w:val="0"/>
        <w:sz w:val="24"/>
        <w:u w:val="none"/>
      </w:rPr>
    </w:lvl>
    <w:lvl w:ilvl="3">
      <w:start w:val="1"/>
      <w:numFmt w:val="lowerLetter"/>
      <w:lvlText w:val="(%4)"/>
      <w:lvlJc w:val="left"/>
      <w:pPr>
        <w:tabs>
          <w:tab w:val="num" w:pos="2268"/>
        </w:tabs>
        <w:ind w:left="2268" w:hanging="567"/>
      </w:pPr>
      <w:rPr>
        <w:rFonts w:ascii="Times New Roman" w:hAnsi="Times New Roman" w:hint="default"/>
        <w:u w:val="none"/>
      </w:rPr>
    </w:lvl>
    <w:lvl w:ilvl="4">
      <w:start w:val="1"/>
      <w:numFmt w:val="lowerRoman"/>
      <w:lvlText w:val="(%5)"/>
      <w:lvlJc w:val="left"/>
      <w:pPr>
        <w:tabs>
          <w:tab w:val="num" w:pos="2988"/>
        </w:tabs>
        <w:ind w:left="2835" w:hanging="567"/>
      </w:pPr>
      <w:rPr>
        <w:rFonts w:ascii="Times New Roman" w:hAnsi="Times New Roman"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decimal"/>
      <w:lvlText w:val="%8)"/>
      <w:lvlJc w:val="left"/>
      <w:pPr>
        <w:tabs>
          <w:tab w:val="num" w:pos="4536"/>
        </w:tabs>
        <w:ind w:left="4536" w:hanging="567"/>
      </w:pPr>
      <w:rPr>
        <w:rFonts w:ascii="Times New Roman" w:hAnsi="Times New Roman" w:hint="default"/>
      </w:rPr>
    </w:lvl>
    <w:lvl w:ilvl="8">
      <w:start w:val="1"/>
      <w:numFmt w:val="bullet"/>
      <w:lvlText w:val=""/>
      <w:lvlJc w:val="left"/>
      <w:pPr>
        <w:tabs>
          <w:tab w:val="num" w:pos="5103"/>
        </w:tabs>
        <w:ind w:left="5103" w:hanging="567"/>
      </w:pPr>
      <w:rPr>
        <w:rFonts w:ascii="Symbol" w:hAnsi="Symbol" w:hint="default"/>
      </w:rPr>
    </w:lvl>
  </w:abstractNum>
  <w:abstractNum w:abstractNumId="15" w15:restartNumberingAfterBreak="0">
    <w:nsid w:val="21AC0B4F"/>
    <w:multiLevelType w:val="singleLevel"/>
    <w:tmpl w:val="A2FC3834"/>
    <w:lvl w:ilvl="0">
      <w:start w:val="1"/>
      <w:numFmt w:val="bullet"/>
      <w:lvlText w:val=""/>
      <w:lvlJc w:val="left"/>
      <w:pPr>
        <w:tabs>
          <w:tab w:val="num" w:pos="643"/>
        </w:tabs>
        <w:ind w:left="643" w:hanging="360"/>
      </w:pPr>
      <w:rPr>
        <w:rFonts w:ascii="Symbol" w:hAnsi="Symbol" w:hint="default"/>
      </w:rPr>
    </w:lvl>
  </w:abstractNum>
  <w:abstractNum w:abstractNumId="16"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17" w15:restartNumberingAfterBreak="0">
    <w:nsid w:val="22D918D1"/>
    <w:multiLevelType w:val="multilevel"/>
    <w:tmpl w:val="DE2606C8"/>
    <w:lvl w:ilvl="0">
      <w:start w:val="1"/>
      <w:numFmt w:val="decimal"/>
      <w:pStyle w:val="Rubrik1"/>
      <w:lvlText w:val="%1."/>
      <w:lvlJc w:val="left"/>
      <w:pPr>
        <w:tabs>
          <w:tab w:val="num" w:pos="851"/>
        </w:tabs>
        <w:ind w:left="851" w:hanging="851"/>
      </w:pPr>
    </w:lvl>
    <w:lvl w:ilvl="1">
      <w:start w:val="1"/>
      <w:numFmt w:val="decimal"/>
      <w:pStyle w:val="Rubrik2"/>
      <w:lvlText w:val="%1.%2."/>
      <w:lvlJc w:val="left"/>
      <w:pPr>
        <w:tabs>
          <w:tab w:val="num" w:pos="851"/>
        </w:tabs>
        <w:ind w:left="851" w:hanging="851"/>
      </w:pPr>
    </w:lvl>
    <w:lvl w:ilvl="2">
      <w:start w:val="1"/>
      <w:numFmt w:val="decimal"/>
      <w:pStyle w:val="Rubrik3"/>
      <w:lvlText w:val="%1.%2.%3."/>
      <w:lvlJc w:val="left"/>
      <w:pPr>
        <w:tabs>
          <w:tab w:val="num" w:pos="851"/>
        </w:tabs>
        <w:ind w:left="851" w:hanging="851"/>
      </w:pPr>
    </w:lvl>
    <w:lvl w:ilvl="3">
      <w:start w:val="1"/>
      <w:numFmt w:val="decimal"/>
      <w:pStyle w:val="Rubrik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8" w15:restartNumberingAfterBreak="0">
    <w:nsid w:val="26392560"/>
    <w:multiLevelType w:val="multilevel"/>
    <w:tmpl w:val="0302CA7C"/>
    <w:lvl w:ilvl="0">
      <w:start w:val="1"/>
      <w:numFmt w:val="upperRoman"/>
      <w:lvlText w:val="%1."/>
      <w:lvlJc w:val="left"/>
      <w:pPr>
        <w:tabs>
          <w:tab w:val="num" w:pos="567"/>
        </w:tabs>
        <w:ind w:left="567" w:hanging="567"/>
      </w:pPr>
    </w:lvl>
    <w:lvl w:ilvl="1">
      <w:start w:val="1"/>
      <w:numFmt w:val="upperLetter"/>
      <w:lvlText w:val="%2."/>
      <w:lvlJc w:val="left"/>
      <w:pPr>
        <w:tabs>
          <w:tab w:val="num" w:pos="1134"/>
        </w:tabs>
        <w:ind w:left="1134" w:hanging="567"/>
      </w:pPr>
    </w:lvl>
    <w:lvl w:ilvl="2">
      <w:start w:val="1"/>
      <w:numFmt w:val="decimal"/>
      <w:lvlText w:val="%3."/>
      <w:lvlJc w:val="left"/>
      <w:pPr>
        <w:tabs>
          <w:tab w:val="num" w:pos="1701"/>
        </w:tabs>
        <w:ind w:left="1701" w:hanging="567"/>
      </w:pPr>
    </w:lvl>
    <w:lvl w:ilvl="3">
      <w:start w:val="1"/>
      <w:numFmt w:val="lowerLetter"/>
      <w:lvlText w:val="%4)"/>
      <w:lvlJc w:val="left"/>
      <w:pPr>
        <w:tabs>
          <w:tab w:val="num" w:pos="2268"/>
        </w:tabs>
        <w:ind w:left="2268" w:hanging="567"/>
      </w:pPr>
    </w:lvl>
    <w:lvl w:ilvl="4">
      <w:start w:val="1"/>
      <w:numFmt w:val="decimal"/>
      <w:lvlText w:val="(%5)"/>
      <w:lvlJc w:val="left"/>
      <w:pPr>
        <w:tabs>
          <w:tab w:val="num" w:pos="2835"/>
        </w:tabs>
        <w:ind w:left="2835" w:hanging="567"/>
      </w:pPr>
    </w:lvl>
    <w:lvl w:ilvl="5">
      <w:start w:val="1"/>
      <w:numFmt w:val="lowerLetter"/>
      <w:lvlText w:val="(%6)"/>
      <w:lvlJc w:val="left"/>
      <w:pPr>
        <w:tabs>
          <w:tab w:val="num" w:pos="3402"/>
        </w:tabs>
        <w:ind w:left="3402" w:hanging="567"/>
      </w:pPr>
    </w:lvl>
    <w:lvl w:ilvl="6">
      <w:start w:val="1"/>
      <w:numFmt w:val="lowerRoman"/>
      <w:lvlText w:val="(%7)"/>
      <w:lvlJc w:val="left"/>
      <w:pPr>
        <w:tabs>
          <w:tab w:val="num" w:pos="4122"/>
        </w:tabs>
        <w:ind w:left="3969" w:hanging="567"/>
      </w:pPr>
    </w:lvl>
    <w:lvl w:ilvl="7">
      <w:start w:val="1"/>
      <w:numFmt w:val="lowerLetter"/>
      <w:lvlText w:val="(%8)"/>
      <w:lvlJc w:val="left"/>
      <w:pPr>
        <w:tabs>
          <w:tab w:val="num" w:pos="4536"/>
        </w:tabs>
        <w:ind w:left="4536" w:hanging="567"/>
      </w:pPr>
    </w:lvl>
    <w:lvl w:ilvl="8">
      <w:start w:val="1"/>
      <w:numFmt w:val="lowerRoman"/>
      <w:lvlText w:val="(%9)"/>
      <w:lvlJc w:val="left"/>
      <w:pPr>
        <w:tabs>
          <w:tab w:val="num" w:pos="5256"/>
        </w:tabs>
        <w:ind w:left="5103" w:hanging="567"/>
      </w:pPr>
    </w:lvl>
  </w:abstractNum>
  <w:abstractNum w:abstractNumId="19"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20"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21" w15:restartNumberingAfterBreak="0">
    <w:nsid w:val="2E6F1447"/>
    <w:multiLevelType w:val="singleLevel"/>
    <w:tmpl w:val="0809000F"/>
    <w:lvl w:ilvl="0">
      <w:start w:val="1"/>
      <w:numFmt w:val="decimal"/>
      <w:lvlText w:val="%1."/>
      <w:lvlJc w:val="left"/>
      <w:pPr>
        <w:tabs>
          <w:tab w:val="num" w:pos="360"/>
        </w:tabs>
        <w:ind w:left="360" w:hanging="360"/>
      </w:pPr>
    </w:lvl>
  </w:abstractNum>
  <w:abstractNum w:abstractNumId="22" w15:restartNumberingAfterBreak="0">
    <w:nsid w:val="30E862E1"/>
    <w:multiLevelType w:val="singleLevel"/>
    <w:tmpl w:val="76D68D6E"/>
    <w:lvl w:ilvl="0">
      <w:start w:val="1"/>
      <w:numFmt w:val="decimal"/>
      <w:lvlText w:val="%1."/>
      <w:lvlJc w:val="left"/>
      <w:pPr>
        <w:tabs>
          <w:tab w:val="num" w:pos="720"/>
        </w:tabs>
        <w:ind w:left="720" w:hanging="720"/>
      </w:pPr>
    </w:lvl>
  </w:abstractNum>
  <w:abstractNum w:abstractNumId="23" w15:restartNumberingAfterBreak="0">
    <w:nsid w:val="33FB6F19"/>
    <w:multiLevelType w:val="singleLevel"/>
    <w:tmpl w:val="8A1E39BA"/>
    <w:lvl w:ilvl="0">
      <w:start w:val="1"/>
      <w:numFmt w:val="lowerLetter"/>
      <w:lvlText w:val="%1)"/>
      <w:lvlJc w:val="left"/>
      <w:pPr>
        <w:tabs>
          <w:tab w:val="num" w:pos="720"/>
        </w:tabs>
        <w:ind w:left="720" w:hanging="720"/>
      </w:pPr>
      <w:rPr>
        <w:rFonts w:ascii="Times New Roman" w:hAnsi="Times New Roman" w:hint="default"/>
        <w:b w:val="0"/>
        <w:i w:val="0"/>
        <w:sz w:val="24"/>
      </w:rPr>
    </w:lvl>
  </w:abstractNum>
  <w:abstractNum w:abstractNumId="24" w15:restartNumberingAfterBreak="0">
    <w:nsid w:val="36B90A4D"/>
    <w:multiLevelType w:val="singleLevel"/>
    <w:tmpl w:val="6596C5AA"/>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8F96521"/>
    <w:multiLevelType w:val="singleLevel"/>
    <w:tmpl w:val="0809000F"/>
    <w:lvl w:ilvl="0">
      <w:start w:val="1"/>
      <w:numFmt w:val="decimal"/>
      <w:lvlText w:val="%1."/>
      <w:lvlJc w:val="left"/>
      <w:pPr>
        <w:tabs>
          <w:tab w:val="num" w:pos="360"/>
        </w:tabs>
        <w:ind w:left="360" w:hanging="360"/>
      </w:pPr>
    </w:lvl>
  </w:abstractNum>
  <w:abstractNum w:abstractNumId="26"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27"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28"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29" w15:restartNumberingAfterBreak="0">
    <w:nsid w:val="4321140B"/>
    <w:multiLevelType w:val="singleLevel"/>
    <w:tmpl w:val="DAA0E942"/>
    <w:lvl w:ilvl="0">
      <w:start w:val="1"/>
      <w:numFmt w:val="decimal"/>
      <w:lvlText w:val="(%1)"/>
      <w:lvlJc w:val="left"/>
      <w:pPr>
        <w:tabs>
          <w:tab w:val="num" w:pos="709"/>
        </w:tabs>
        <w:ind w:left="709" w:hanging="709"/>
      </w:pPr>
    </w:lvl>
  </w:abstractNum>
  <w:abstractNum w:abstractNumId="30"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31" w15:restartNumberingAfterBreak="0">
    <w:nsid w:val="462F2B7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49C7189B"/>
    <w:multiLevelType w:val="singleLevel"/>
    <w:tmpl w:val="6596C5AA"/>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4CCE2DCD"/>
    <w:multiLevelType w:val="singleLevel"/>
    <w:tmpl w:val="F086E82A"/>
    <w:lvl w:ilvl="0">
      <w:start w:val="1"/>
      <w:numFmt w:val="bullet"/>
      <w:lvlText w:val=""/>
      <w:lvlJc w:val="left"/>
      <w:pPr>
        <w:tabs>
          <w:tab w:val="num" w:pos="643"/>
        </w:tabs>
        <w:ind w:left="643" w:hanging="360"/>
      </w:pPr>
      <w:rPr>
        <w:rFonts w:ascii="Symbol" w:hAnsi="Symbol" w:hint="default"/>
      </w:rPr>
    </w:lvl>
  </w:abstractNum>
  <w:abstractNum w:abstractNumId="34" w15:restartNumberingAfterBreak="0">
    <w:nsid w:val="50922A5A"/>
    <w:multiLevelType w:val="singleLevel"/>
    <w:tmpl w:val="3EACA594"/>
    <w:lvl w:ilvl="0">
      <w:start w:val="1"/>
      <w:numFmt w:val="lowerRoman"/>
      <w:lvlText w:val="(%1)"/>
      <w:lvlJc w:val="left"/>
      <w:pPr>
        <w:tabs>
          <w:tab w:val="num" w:pos="720"/>
        </w:tabs>
        <w:ind w:left="567" w:hanging="567"/>
      </w:pPr>
    </w:lvl>
  </w:abstractNum>
  <w:abstractNum w:abstractNumId="35" w15:restartNumberingAfterBreak="0">
    <w:nsid w:val="51476133"/>
    <w:multiLevelType w:val="singleLevel"/>
    <w:tmpl w:val="08090019"/>
    <w:lvl w:ilvl="0">
      <w:start w:val="1"/>
      <w:numFmt w:val="lowerLetter"/>
      <w:lvlText w:val="(%1)"/>
      <w:lvlJc w:val="left"/>
      <w:pPr>
        <w:tabs>
          <w:tab w:val="num" w:pos="360"/>
        </w:tabs>
        <w:ind w:left="360" w:hanging="360"/>
      </w:pPr>
    </w:lvl>
  </w:abstractNum>
  <w:abstractNum w:abstractNumId="36" w15:restartNumberingAfterBreak="0">
    <w:nsid w:val="5BA22167"/>
    <w:multiLevelType w:val="singleLevel"/>
    <w:tmpl w:val="8E909FBE"/>
    <w:lvl w:ilvl="0">
      <w:start w:val="1"/>
      <w:numFmt w:val="lowerLetter"/>
      <w:lvlText w:val="(%1)"/>
      <w:lvlJc w:val="left"/>
      <w:pPr>
        <w:tabs>
          <w:tab w:val="num" w:pos="567"/>
        </w:tabs>
        <w:ind w:left="567" w:hanging="567"/>
      </w:pPr>
    </w:lvl>
  </w:abstractNum>
  <w:abstractNum w:abstractNumId="37" w15:restartNumberingAfterBreak="0">
    <w:nsid w:val="5BCE3D4A"/>
    <w:multiLevelType w:val="singleLevel"/>
    <w:tmpl w:val="BEB6F294"/>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5CBB3924"/>
    <w:multiLevelType w:val="multilevel"/>
    <w:tmpl w:val="6E981B52"/>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5DDD3725"/>
    <w:multiLevelType w:val="singleLevel"/>
    <w:tmpl w:val="AFA27E44"/>
    <w:lvl w:ilvl="0">
      <w:start w:val="1"/>
      <w:numFmt w:val="decimal"/>
      <w:lvlText w:val="%1."/>
      <w:lvlJc w:val="left"/>
      <w:pPr>
        <w:tabs>
          <w:tab w:val="num" w:pos="360"/>
        </w:tabs>
        <w:ind w:left="360" w:hanging="360"/>
      </w:pPr>
    </w:lvl>
  </w:abstractNum>
  <w:abstractNum w:abstractNumId="40" w15:restartNumberingAfterBreak="0">
    <w:nsid w:val="64195F5D"/>
    <w:multiLevelType w:val="singleLevel"/>
    <w:tmpl w:val="D21C3B20"/>
    <w:lvl w:ilvl="0">
      <w:start w:val="1"/>
      <w:numFmt w:val="bullet"/>
      <w:lvlText w:val=""/>
      <w:lvlJc w:val="left"/>
      <w:pPr>
        <w:tabs>
          <w:tab w:val="num" w:pos="567"/>
        </w:tabs>
        <w:ind w:left="567" w:hanging="567"/>
      </w:pPr>
      <w:rPr>
        <w:rFonts w:ascii="Wingdings" w:hAnsi="Wingdings" w:hint="default"/>
      </w:rPr>
    </w:lvl>
  </w:abstractNum>
  <w:abstractNum w:abstractNumId="41" w15:restartNumberingAfterBreak="0">
    <w:nsid w:val="64A3051C"/>
    <w:multiLevelType w:val="singleLevel"/>
    <w:tmpl w:val="0809000F"/>
    <w:lvl w:ilvl="0">
      <w:start w:val="1"/>
      <w:numFmt w:val="decimal"/>
      <w:lvlText w:val="%1."/>
      <w:lvlJc w:val="left"/>
      <w:pPr>
        <w:tabs>
          <w:tab w:val="num" w:pos="360"/>
        </w:tabs>
        <w:ind w:left="360" w:hanging="360"/>
      </w:pPr>
    </w:lvl>
  </w:abstractNum>
  <w:abstractNum w:abstractNumId="42" w15:restartNumberingAfterBreak="0">
    <w:nsid w:val="67655356"/>
    <w:multiLevelType w:val="singleLevel"/>
    <w:tmpl w:val="0809000F"/>
    <w:lvl w:ilvl="0">
      <w:start w:val="1"/>
      <w:numFmt w:val="decimal"/>
      <w:lvlText w:val="%1."/>
      <w:lvlJc w:val="left"/>
      <w:pPr>
        <w:tabs>
          <w:tab w:val="num" w:pos="360"/>
        </w:tabs>
        <w:ind w:left="360" w:hanging="360"/>
      </w:pPr>
    </w:lvl>
  </w:abstractNum>
  <w:abstractNum w:abstractNumId="43"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44"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1581480882">
    <w:abstractNumId w:val="9"/>
  </w:num>
  <w:num w:numId="2" w16cid:durableId="693382083">
    <w:abstractNumId w:val="7"/>
  </w:num>
  <w:num w:numId="3" w16cid:durableId="383867421">
    <w:abstractNumId w:val="6"/>
  </w:num>
  <w:num w:numId="4" w16cid:durableId="1096168638">
    <w:abstractNumId w:val="5"/>
  </w:num>
  <w:num w:numId="5" w16cid:durableId="428307613">
    <w:abstractNumId w:val="4"/>
  </w:num>
  <w:num w:numId="6" w16cid:durableId="2067489665">
    <w:abstractNumId w:val="8"/>
  </w:num>
  <w:num w:numId="7" w16cid:durableId="126973858">
    <w:abstractNumId w:val="3"/>
  </w:num>
  <w:num w:numId="8" w16cid:durableId="1120301758">
    <w:abstractNumId w:val="2"/>
  </w:num>
  <w:num w:numId="9" w16cid:durableId="997147961">
    <w:abstractNumId w:val="1"/>
  </w:num>
  <w:num w:numId="10" w16cid:durableId="1842425698">
    <w:abstractNumId w:val="0"/>
  </w:num>
  <w:num w:numId="11" w16cid:durableId="1874264293">
    <w:abstractNumId w:val="25"/>
  </w:num>
  <w:num w:numId="12" w16cid:durableId="1902518598">
    <w:abstractNumId w:val="42"/>
  </w:num>
  <w:num w:numId="13" w16cid:durableId="1088771512">
    <w:abstractNumId w:val="40"/>
  </w:num>
  <w:num w:numId="14" w16cid:durableId="1237520721">
    <w:abstractNumId w:val="31"/>
  </w:num>
  <w:num w:numId="15" w16cid:durableId="25567145">
    <w:abstractNumId w:val="13"/>
  </w:num>
  <w:num w:numId="16" w16cid:durableId="1629816505">
    <w:abstractNumId w:val="33"/>
  </w:num>
  <w:num w:numId="17" w16cid:durableId="484468194">
    <w:abstractNumId w:val="21"/>
  </w:num>
  <w:num w:numId="18" w16cid:durableId="1479608101">
    <w:abstractNumId w:val="15"/>
  </w:num>
  <w:num w:numId="19" w16cid:durableId="1238398753">
    <w:abstractNumId w:val="14"/>
  </w:num>
  <w:num w:numId="20" w16cid:durableId="2002155639">
    <w:abstractNumId w:val="14"/>
  </w:num>
  <w:num w:numId="21" w16cid:durableId="1293635243">
    <w:abstractNumId w:val="14"/>
  </w:num>
  <w:num w:numId="22" w16cid:durableId="1057515644">
    <w:abstractNumId w:val="14"/>
  </w:num>
  <w:num w:numId="23" w16cid:durableId="546069764">
    <w:abstractNumId w:val="14"/>
  </w:num>
  <w:num w:numId="24" w16cid:durableId="631832756">
    <w:abstractNumId w:val="14"/>
  </w:num>
  <w:num w:numId="25" w16cid:durableId="670983192">
    <w:abstractNumId w:val="14"/>
  </w:num>
  <w:num w:numId="26" w16cid:durableId="1264070595">
    <w:abstractNumId w:val="14"/>
  </w:num>
  <w:num w:numId="27" w16cid:durableId="453404238">
    <w:abstractNumId w:val="14"/>
  </w:num>
  <w:num w:numId="28" w16cid:durableId="308562575">
    <w:abstractNumId w:val="14"/>
  </w:num>
  <w:num w:numId="29" w16cid:durableId="330107477">
    <w:abstractNumId w:val="14"/>
  </w:num>
  <w:num w:numId="30" w16cid:durableId="2103069271">
    <w:abstractNumId w:val="14"/>
  </w:num>
  <w:num w:numId="31" w16cid:durableId="1128355428">
    <w:abstractNumId w:val="14"/>
  </w:num>
  <w:num w:numId="32" w16cid:durableId="253586251">
    <w:abstractNumId w:val="14"/>
  </w:num>
  <w:num w:numId="33" w16cid:durableId="1532767892">
    <w:abstractNumId w:val="14"/>
  </w:num>
  <w:num w:numId="34" w16cid:durableId="665594087">
    <w:abstractNumId w:val="14"/>
  </w:num>
  <w:num w:numId="35" w16cid:durableId="1589726609">
    <w:abstractNumId w:val="14"/>
  </w:num>
  <w:num w:numId="36" w16cid:durableId="1845706885">
    <w:abstractNumId w:val="14"/>
  </w:num>
  <w:num w:numId="37" w16cid:durableId="1568611341">
    <w:abstractNumId w:val="37"/>
  </w:num>
  <w:num w:numId="38" w16cid:durableId="1712879216">
    <w:abstractNumId w:val="39"/>
  </w:num>
  <w:num w:numId="39" w16cid:durableId="2132744267">
    <w:abstractNumId w:val="32"/>
  </w:num>
  <w:num w:numId="40" w16cid:durableId="1038622912">
    <w:abstractNumId w:val="35"/>
  </w:num>
  <w:num w:numId="41" w16cid:durableId="684594363">
    <w:abstractNumId w:val="24"/>
  </w:num>
  <w:num w:numId="42" w16cid:durableId="91825165">
    <w:abstractNumId w:val="44"/>
  </w:num>
  <w:num w:numId="43" w16cid:durableId="1382631388">
    <w:abstractNumId w:val="30"/>
  </w:num>
  <w:num w:numId="44" w16cid:durableId="76287430">
    <w:abstractNumId w:val="23"/>
  </w:num>
  <w:num w:numId="45" w16cid:durableId="311952604">
    <w:abstractNumId w:val="26"/>
  </w:num>
  <w:num w:numId="46" w16cid:durableId="206338959">
    <w:abstractNumId w:val="43"/>
  </w:num>
  <w:num w:numId="47" w16cid:durableId="1808934174">
    <w:abstractNumId w:val="11"/>
  </w:num>
  <w:num w:numId="48" w16cid:durableId="682247574">
    <w:abstractNumId w:val="16"/>
  </w:num>
  <w:num w:numId="49" w16cid:durableId="1053235462">
    <w:abstractNumId w:val="14"/>
  </w:num>
  <w:num w:numId="50" w16cid:durableId="1076123933">
    <w:abstractNumId w:val="14"/>
  </w:num>
  <w:num w:numId="51" w16cid:durableId="2044671663">
    <w:abstractNumId w:val="14"/>
  </w:num>
  <w:num w:numId="52" w16cid:durableId="288826012">
    <w:abstractNumId w:val="14"/>
  </w:num>
  <w:num w:numId="53" w16cid:durableId="1797064715">
    <w:abstractNumId w:val="14"/>
  </w:num>
  <w:num w:numId="54" w16cid:durableId="1272586029">
    <w:abstractNumId w:val="14"/>
  </w:num>
  <w:num w:numId="55" w16cid:durableId="1009286807">
    <w:abstractNumId w:val="14"/>
  </w:num>
  <w:num w:numId="56" w16cid:durableId="1251963677">
    <w:abstractNumId w:val="14"/>
  </w:num>
  <w:num w:numId="57" w16cid:durableId="1733892880">
    <w:abstractNumId w:val="14"/>
  </w:num>
  <w:num w:numId="58" w16cid:durableId="1493063758">
    <w:abstractNumId w:val="44"/>
  </w:num>
  <w:num w:numId="59" w16cid:durableId="1583024514">
    <w:abstractNumId w:val="30"/>
  </w:num>
  <w:num w:numId="60" w16cid:durableId="1874726381">
    <w:abstractNumId w:val="23"/>
  </w:num>
  <w:num w:numId="61" w16cid:durableId="2122608998">
    <w:abstractNumId w:val="26"/>
  </w:num>
  <w:num w:numId="62" w16cid:durableId="959729561">
    <w:abstractNumId w:val="43"/>
  </w:num>
  <w:num w:numId="63" w16cid:durableId="1996949981">
    <w:abstractNumId w:val="11"/>
  </w:num>
  <w:num w:numId="64" w16cid:durableId="108739138">
    <w:abstractNumId w:val="16"/>
  </w:num>
  <w:num w:numId="65" w16cid:durableId="638999863">
    <w:abstractNumId w:val="22"/>
  </w:num>
  <w:num w:numId="66" w16cid:durableId="1513491937">
    <w:abstractNumId w:val="12"/>
  </w:num>
  <w:num w:numId="67" w16cid:durableId="676617761">
    <w:abstractNumId w:val="21"/>
  </w:num>
  <w:num w:numId="68" w16cid:durableId="1400714631">
    <w:abstractNumId w:val="28"/>
  </w:num>
  <w:num w:numId="69" w16cid:durableId="1029184648">
    <w:abstractNumId w:val="19"/>
  </w:num>
  <w:num w:numId="70" w16cid:durableId="900137778">
    <w:abstractNumId w:val="20"/>
  </w:num>
  <w:num w:numId="71" w16cid:durableId="1445686137">
    <w:abstractNumId w:val="19"/>
  </w:num>
  <w:num w:numId="72" w16cid:durableId="1349328595">
    <w:abstractNumId w:val="14"/>
  </w:num>
  <w:num w:numId="73" w16cid:durableId="853034878">
    <w:abstractNumId w:val="14"/>
  </w:num>
  <w:num w:numId="74" w16cid:durableId="1682732245">
    <w:abstractNumId w:val="14"/>
  </w:num>
  <w:num w:numId="75" w16cid:durableId="1465082632">
    <w:abstractNumId w:val="14"/>
  </w:num>
  <w:num w:numId="76" w16cid:durableId="63257340">
    <w:abstractNumId w:val="14"/>
  </w:num>
  <w:num w:numId="77" w16cid:durableId="115881383">
    <w:abstractNumId w:val="14"/>
  </w:num>
  <w:num w:numId="78" w16cid:durableId="1987314073">
    <w:abstractNumId w:val="14"/>
  </w:num>
  <w:num w:numId="79" w16cid:durableId="60635692">
    <w:abstractNumId w:val="14"/>
  </w:num>
  <w:num w:numId="80" w16cid:durableId="1672950114">
    <w:abstractNumId w:val="14"/>
  </w:num>
  <w:num w:numId="81" w16cid:durableId="712578900">
    <w:abstractNumId w:val="44"/>
  </w:num>
  <w:num w:numId="82" w16cid:durableId="644048510">
    <w:abstractNumId w:val="16"/>
  </w:num>
  <w:num w:numId="83" w16cid:durableId="1312711601">
    <w:abstractNumId w:val="30"/>
  </w:num>
  <w:num w:numId="84" w16cid:durableId="1280338660">
    <w:abstractNumId w:val="23"/>
  </w:num>
  <w:num w:numId="85" w16cid:durableId="1983658684">
    <w:abstractNumId w:val="19"/>
  </w:num>
  <w:num w:numId="86" w16cid:durableId="105976704">
    <w:abstractNumId w:val="20"/>
  </w:num>
  <w:num w:numId="87" w16cid:durableId="942615603">
    <w:abstractNumId w:val="19"/>
  </w:num>
  <w:num w:numId="88" w16cid:durableId="1446778636">
    <w:abstractNumId w:val="11"/>
  </w:num>
  <w:num w:numId="89" w16cid:durableId="1778522291">
    <w:abstractNumId w:val="43"/>
  </w:num>
  <w:num w:numId="90" w16cid:durableId="855852312">
    <w:abstractNumId w:val="27"/>
  </w:num>
  <w:num w:numId="91" w16cid:durableId="1594440184">
    <w:abstractNumId w:val="28"/>
  </w:num>
  <w:num w:numId="92" w16cid:durableId="398405940">
    <w:abstractNumId w:val="20"/>
  </w:num>
  <w:num w:numId="93" w16cid:durableId="1672637331">
    <w:abstractNumId w:val="16"/>
  </w:num>
  <w:num w:numId="94" w16cid:durableId="1116412082">
    <w:abstractNumId w:val="30"/>
  </w:num>
  <w:num w:numId="95" w16cid:durableId="144443425">
    <w:abstractNumId w:val="44"/>
  </w:num>
  <w:num w:numId="96" w16cid:durableId="465126325">
    <w:abstractNumId w:val="26"/>
  </w:num>
  <w:num w:numId="97" w16cid:durableId="1261569477">
    <w:abstractNumId w:val="18"/>
  </w:num>
  <w:num w:numId="98" w16cid:durableId="315451778">
    <w:abstractNumId w:val="18"/>
  </w:num>
  <w:num w:numId="99" w16cid:durableId="1714226996">
    <w:abstractNumId w:val="18"/>
  </w:num>
  <w:num w:numId="100" w16cid:durableId="21782134">
    <w:abstractNumId w:val="18"/>
  </w:num>
  <w:num w:numId="101" w16cid:durableId="772289802">
    <w:abstractNumId w:val="18"/>
  </w:num>
  <w:num w:numId="102" w16cid:durableId="48961925">
    <w:abstractNumId w:val="18"/>
  </w:num>
  <w:num w:numId="103" w16cid:durableId="1073550972">
    <w:abstractNumId w:val="18"/>
  </w:num>
  <w:num w:numId="104" w16cid:durableId="1074472328">
    <w:abstractNumId w:val="18"/>
  </w:num>
  <w:num w:numId="105" w16cid:durableId="412163120">
    <w:abstractNumId w:val="18"/>
  </w:num>
  <w:num w:numId="106" w16cid:durableId="519392034">
    <w:abstractNumId w:val="18"/>
  </w:num>
  <w:num w:numId="107" w16cid:durableId="433138519">
    <w:abstractNumId w:val="18"/>
  </w:num>
  <w:num w:numId="108" w16cid:durableId="1832745930">
    <w:abstractNumId w:val="18"/>
  </w:num>
  <w:num w:numId="109" w16cid:durableId="1009910110">
    <w:abstractNumId w:val="18"/>
  </w:num>
  <w:num w:numId="110" w16cid:durableId="345210012">
    <w:abstractNumId w:val="14"/>
  </w:num>
  <w:num w:numId="111" w16cid:durableId="1362970921">
    <w:abstractNumId w:val="14"/>
  </w:num>
  <w:num w:numId="112" w16cid:durableId="1971475392">
    <w:abstractNumId w:val="14"/>
  </w:num>
  <w:num w:numId="113" w16cid:durableId="1059672695">
    <w:abstractNumId w:val="14"/>
  </w:num>
  <w:num w:numId="114" w16cid:durableId="1891073227">
    <w:abstractNumId w:val="14"/>
  </w:num>
  <w:num w:numId="115" w16cid:durableId="1120996252">
    <w:abstractNumId w:val="14"/>
  </w:num>
  <w:num w:numId="116" w16cid:durableId="107505311">
    <w:abstractNumId w:val="14"/>
  </w:num>
  <w:num w:numId="117" w16cid:durableId="548493542">
    <w:abstractNumId w:val="14"/>
  </w:num>
  <w:num w:numId="118" w16cid:durableId="925311084">
    <w:abstractNumId w:val="14"/>
  </w:num>
  <w:num w:numId="119" w16cid:durableId="104544262">
    <w:abstractNumId w:val="14"/>
  </w:num>
  <w:num w:numId="120" w16cid:durableId="94980519">
    <w:abstractNumId w:val="14"/>
  </w:num>
  <w:num w:numId="121" w16cid:durableId="1169448138">
    <w:abstractNumId w:val="14"/>
  </w:num>
  <w:num w:numId="122" w16cid:durableId="37631288">
    <w:abstractNumId w:val="14"/>
  </w:num>
  <w:num w:numId="123" w16cid:durableId="1516965277">
    <w:abstractNumId w:val="14"/>
  </w:num>
  <w:num w:numId="124" w16cid:durableId="18628059">
    <w:abstractNumId w:val="14"/>
  </w:num>
  <w:num w:numId="125" w16cid:durableId="1096899287">
    <w:abstractNumId w:val="14"/>
  </w:num>
  <w:num w:numId="126" w16cid:durableId="556597565">
    <w:abstractNumId w:val="14"/>
  </w:num>
  <w:num w:numId="127" w16cid:durableId="631668101">
    <w:abstractNumId w:val="14"/>
  </w:num>
  <w:num w:numId="128" w16cid:durableId="872303738">
    <w:abstractNumId w:val="27"/>
  </w:num>
  <w:num w:numId="129" w16cid:durableId="409422352">
    <w:abstractNumId w:val="23"/>
  </w:num>
  <w:num w:numId="130" w16cid:durableId="134224470">
    <w:abstractNumId w:val="14"/>
  </w:num>
  <w:num w:numId="131" w16cid:durableId="478305720">
    <w:abstractNumId w:val="14"/>
  </w:num>
  <w:num w:numId="132" w16cid:durableId="627321612">
    <w:abstractNumId w:val="14"/>
  </w:num>
  <w:num w:numId="133" w16cid:durableId="529607877">
    <w:abstractNumId w:val="14"/>
  </w:num>
  <w:num w:numId="134" w16cid:durableId="1237016464">
    <w:abstractNumId w:val="14"/>
  </w:num>
  <w:num w:numId="135" w16cid:durableId="1570459178">
    <w:abstractNumId w:val="14"/>
  </w:num>
  <w:num w:numId="136" w16cid:durableId="1699624798">
    <w:abstractNumId w:val="14"/>
  </w:num>
  <w:num w:numId="137" w16cid:durableId="1232808755">
    <w:abstractNumId w:val="14"/>
  </w:num>
  <w:num w:numId="138" w16cid:durableId="176964525">
    <w:abstractNumId w:val="14"/>
  </w:num>
  <w:num w:numId="139" w16cid:durableId="27217856">
    <w:abstractNumId w:val="44"/>
  </w:num>
  <w:num w:numId="140" w16cid:durableId="1257785058">
    <w:abstractNumId w:val="16"/>
  </w:num>
  <w:num w:numId="141" w16cid:durableId="305672995">
    <w:abstractNumId w:val="30"/>
  </w:num>
  <w:num w:numId="142" w16cid:durableId="46422411">
    <w:abstractNumId w:val="26"/>
  </w:num>
  <w:num w:numId="143" w16cid:durableId="1711106807">
    <w:abstractNumId w:val="28"/>
  </w:num>
  <w:num w:numId="144" w16cid:durableId="1722482773">
    <w:abstractNumId w:val="43"/>
  </w:num>
  <w:num w:numId="145" w16cid:durableId="2102293434">
    <w:abstractNumId w:val="27"/>
  </w:num>
  <w:num w:numId="146" w16cid:durableId="2107993139">
    <w:abstractNumId w:val="19"/>
  </w:num>
  <w:num w:numId="147" w16cid:durableId="981276620">
    <w:abstractNumId w:val="20"/>
  </w:num>
  <w:num w:numId="148" w16cid:durableId="831212415">
    <w:abstractNumId w:val="11"/>
  </w:num>
  <w:num w:numId="149" w16cid:durableId="2046826866">
    <w:abstractNumId w:val="14"/>
  </w:num>
  <w:num w:numId="150" w16cid:durableId="1534152766">
    <w:abstractNumId w:val="36"/>
  </w:num>
  <w:num w:numId="151" w16cid:durableId="425078593">
    <w:abstractNumId w:val="34"/>
  </w:num>
  <w:num w:numId="152" w16cid:durableId="217211866">
    <w:abstractNumId w:val="20"/>
  </w:num>
  <w:num w:numId="153" w16cid:durableId="1698848217">
    <w:abstractNumId w:val="38"/>
  </w:num>
  <w:num w:numId="154" w16cid:durableId="694116229">
    <w:abstractNumId w:val="38"/>
  </w:num>
  <w:num w:numId="155" w16cid:durableId="743800523">
    <w:abstractNumId w:val="38"/>
  </w:num>
  <w:num w:numId="156" w16cid:durableId="340935338">
    <w:abstractNumId w:val="38"/>
  </w:num>
  <w:num w:numId="157" w16cid:durableId="1038048440">
    <w:abstractNumId w:val="17"/>
  </w:num>
  <w:num w:numId="158" w16cid:durableId="1491172968">
    <w:abstractNumId w:val="17"/>
  </w:num>
  <w:num w:numId="159" w16cid:durableId="1112045762">
    <w:abstractNumId w:val="17"/>
  </w:num>
  <w:num w:numId="160" w16cid:durableId="1963608893">
    <w:abstractNumId w:val="17"/>
  </w:num>
  <w:num w:numId="161" w16cid:durableId="818038437">
    <w:abstractNumId w:val="29"/>
  </w:num>
  <w:num w:numId="162" w16cid:durableId="1692490744">
    <w:abstractNumId w:val="10"/>
    <w:lvlOverride w:ilvl="0">
      <w:lvl w:ilvl="0">
        <w:start w:val="1"/>
        <w:numFmt w:val="bullet"/>
        <w:lvlText w:val="–"/>
        <w:legacy w:legacy="1" w:legacySpace="0" w:legacyIndent="283"/>
        <w:lvlJc w:val="left"/>
        <w:pPr>
          <w:ind w:left="283" w:hanging="283"/>
        </w:pPr>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en-US" w:vendorID="8" w:dllVersion="513" w:checkStyle="1"/>
  <w:activeWritingStyle w:appName="MSWord" w:lang="en-GB" w:vendorID="8" w:dllVersion="513" w:checkStyle="1"/>
  <w:activeWritingStyle w:appName="MSWord" w:lang="fr-FR"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Page"/>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C5"/>
    <w:rsid w:val="00083FBC"/>
    <w:rsid w:val="0014406C"/>
    <w:rsid w:val="00171F08"/>
    <w:rsid w:val="0022170F"/>
    <w:rsid w:val="002B28C5"/>
    <w:rsid w:val="002D0849"/>
    <w:rsid w:val="002E65FB"/>
    <w:rsid w:val="00304DEB"/>
    <w:rsid w:val="00323DF1"/>
    <w:rsid w:val="00331B4D"/>
    <w:rsid w:val="00365A1E"/>
    <w:rsid w:val="003B3A60"/>
    <w:rsid w:val="003D12D6"/>
    <w:rsid w:val="003F7522"/>
    <w:rsid w:val="00426E57"/>
    <w:rsid w:val="00445F2C"/>
    <w:rsid w:val="005115B2"/>
    <w:rsid w:val="005D11D1"/>
    <w:rsid w:val="005F793E"/>
    <w:rsid w:val="0069311C"/>
    <w:rsid w:val="006A0D97"/>
    <w:rsid w:val="00754CB7"/>
    <w:rsid w:val="00762791"/>
    <w:rsid w:val="007B0D74"/>
    <w:rsid w:val="007E74D5"/>
    <w:rsid w:val="00820D9C"/>
    <w:rsid w:val="008314C2"/>
    <w:rsid w:val="00875B5C"/>
    <w:rsid w:val="008D3B70"/>
    <w:rsid w:val="009370F8"/>
    <w:rsid w:val="009700CD"/>
    <w:rsid w:val="009D15C2"/>
    <w:rsid w:val="00A83A74"/>
    <w:rsid w:val="00A8452C"/>
    <w:rsid w:val="00A9225C"/>
    <w:rsid w:val="00B104EA"/>
    <w:rsid w:val="00B845E7"/>
    <w:rsid w:val="00B97461"/>
    <w:rsid w:val="00BE3DAF"/>
    <w:rsid w:val="00C502FD"/>
    <w:rsid w:val="00C56B88"/>
    <w:rsid w:val="00CE51DE"/>
    <w:rsid w:val="00D14E30"/>
    <w:rsid w:val="00D31A71"/>
    <w:rsid w:val="00D40257"/>
    <w:rsid w:val="00D93E39"/>
    <w:rsid w:val="00D97143"/>
    <w:rsid w:val="00DD54E0"/>
    <w:rsid w:val="00DE1D55"/>
    <w:rsid w:val="00E45613"/>
    <w:rsid w:val="00F030A6"/>
    <w:rsid w:val="00FA264E"/>
    <w:rsid w:val="00FC7E6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5:chartTrackingRefBased/>
  <w15:docId w15:val="{A3EE5629-844C-45D2-9714-30FE96D18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line="360" w:lineRule="auto"/>
    </w:pPr>
    <w:rPr>
      <w:sz w:val="24"/>
      <w:lang w:val="sv-SE" w:eastAsia="fr-BE"/>
    </w:rPr>
  </w:style>
  <w:style w:type="paragraph" w:styleId="Rubrik1">
    <w:name w:val="heading 1"/>
    <w:basedOn w:val="Normal"/>
    <w:next w:val="Normal"/>
    <w:qFormat/>
    <w:pPr>
      <w:keepNext/>
      <w:widowControl/>
      <w:numPr>
        <w:numId w:val="157"/>
      </w:numPr>
      <w:spacing w:before="360" w:after="120" w:line="240" w:lineRule="auto"/>
      <w:jc w:val="both"/>
      <w:outlineLvl w:val="0"/>
    </w:pPr>
    <w:rPr>
      <w:b/>
      <w:smallCaps/>
    </w:rPr>
  </w:style>
  <w:style w:type="paragraph" w:styleId="Rubrik2">
    <w:name w:val="heading 2"/>
    <w:basedOn w:val="Normal"/>
    <w:next w:val="Normal"/>
    <w:qFormat/>
    <w:pPr>
      <w:keepNext/>
      <w:widowControl/>
      <w:numPr>
        <w:ilvl w:val="1"/>
        <w:numId w:val="158"/>
      </w:numPr>
      <w:spacing w:before="120" w:after="120" w:line="240" w:lineRule="auto"/>
      <w:jc w:val="both"/>
      <w:outlineLvl w:val="1"/>
    </w:pPr>
    <w:rPr>
      <w:b/>
    </w:rPr>
  </w:style>
  <w:style w:type="paragraph" w:styleId="Rubrik3">
    <w:name w:val="heading 3"/>
    <w:basedOn w:val="Normal"/>
    <w:next w:val="Normal"/>
    <w:qFormat/>
    <w:pPr>
      <w:keepNext/>
      <w:widowControl/>
      <w:numPr>
        <w:ilvl w:val="2"/>
        <w:numId w:val="159"/>
      </w:numPr>
      <w:spacing w:before="120" w:after="120" w:line="240" w:lineRule="auto"/>
      <w:jc w:val="both"/>
      <w:outlineLvl w:val="2"/>
    </w:pPr>
    <w:rPr>
      <w:i/>
    </w:rPr>
  </w:style>
  <w:style w:type="paragraph" w:styleId="Rubrik4">
    <w:name w:val="heading 4"/>
    <w:basedOn w:val="Normal"/>
    <w:next w:val="Normal"/>
    <w:qFormat/>
    <w:pPr>
      <w:keepNext/>
      <w:widowControl/>
      <w:numPr>
        <w:ilvl w:val="3"/>
        <w:numId w:val="160"/>
      </w:numPr>
      <w:spacing w:before="120" w:after="120" w:line="240" w:lineRule="auto"/>
      <w:jc w:val="both"/>
      <w:outlineLvl w:val="3"/>
    </w:pPr>
  </w:style>
  <w:style w:type="paragraph" w:styleId="Rubrik5">
    <w:name w:val="heading 5"/>
    <w:basedOn w:val="Normal"/>
    <w:next w:val="Normal"/>
    <w:qFormat/>
    <w:pPr>
      <w:widowControl/>
      <w:spacing w:before="240" w:after="60" w:line="240" w:lineRule="auto"/>
      <w:jc w:val="both"/>
      <w:outlineLvl w:val="4"/>
    </w:pPr>
    <w:rPr>
      <w:rFonts w:ascii="Arial" w:hAnsi="Arial"/>
      <w:sz w:val="22"/>
    </w:rPr>
  </w:style>
  <w:style w:type="paragraph" w:styleId="Rubrik6">
    <w:name w:val="heading 6"/>
    <w:basedOn w:val="Normal"/>
    <w:next w:val="Normal"/>
    <w:qFormat/>
    <w:pPr>
      <w:widowControl/>
      <w:spacing w:before="240" w:after="60" w:line="240" w:lineRule="auto"/>
      <w:jc w:val="both"/>
      <w:outlineLvl w:val="5"/>
    </w:pPr>
    <w:rPr>
      <w:rFonts w:ascii="Arial" w:hAnsi="Arial"/>
      <w:i/>
      <w:sz w:val="22"/>
    </w:rPr>
  </w:style>
  <w:style w:type="paragraph" w:styleId="Rubrik7">
    <w:name w:val="heading 7"/>
    <w:basedOn w:val="Normal"/>
    <w:next w:val="Normal"/>
    <w:qFormat/>
    <w:pPr>
      <w:widowControl/>
      <w:spacing w:before="240" w:after="60" w:line="240" w:lineRule="auto"/>
      <w:jc w:val="both"/>
      <w:outlineLvl w:val="6"/>
    </w:pPr>
    <w:rPr>
      <w:rFonts w:ascii="Arial" w:hAnsi="Arial"/>
      <w:sz w:val="20"/>
    </w:rPr>
  </w:style>
  <w:style w:type="paragraph" w:styleId="Rubrik8">
    <w:name w:val="heading 8"/>
    <w:basedOn w:val="Normal"/>
    <w:next w:val="Normal"/>
    <w:qFormat/>
    <w:pPr>
      <w:widowControl/>
      <w:spacing w:before="240" w:after="60" w:line="240" w:lineRule="auto"/>
      <w:jc w:val="both"/>
      <w:outlineLvl w:val="7"/>
    </w:pPr>
    <w:rPr>
      <w:rFonts w:ascii="Arial" w:hAnsi="Arial"/>
      <w:i/>
      <w:sz w:val="20"/>
    </w:rPr>
  </w:style>
  <w:style w:type="paragraph" w:styleId="Rubrik9">
    <w:name w:val="heading 9"/>
    <w:basedOn w:val="Normal"/>
    <w:next w:val="Normal"/>
    <w:qFormat/>
    <w:pPr>
      <w:widowControl/>
      <w:spacing w:before="240" w:after="60" w:line="240" w:lineRule="auto"/>
      <w:jc w:val="both"/>
      <w:outlineLvl w:val="8"/>
    </w:pPr>
    <w:rPr>
      <w:rFonts w:ascii="Arial" w:hAnsi="Arial"/>
      <w:i/>
      <w:sz w:val="18"/>
    </w:rPr>
  </w:style>
  <w:style w:type="character" w:default="1" w:styleId="Standardstycketeckensnitt">
    <w:name w:val="Default Paragraph Font"/>
  </w:style>
  <w:style w:type="table" w:default="1" w:styleId="Normaltabell">
    <w:name w:val="Normal Table"/>
    <w:tblPr>
      <w:tblInd w:w="0" w:type="dxa"/>
      <w:tblCellMar>
        <w:top w:w="0" w:type="dxa"/>
        <w:left w:w="108" w:type="dxa"/>
        <w:bottom w:w="0" w:type="dxa"/>
        <w:right w:w="108" w:type="dxa"/>
      </w:tblCellMar>
    </w:tblPr>
  </w:style>
  <w:style w:type="numbering" w:default="1" w:styleId="Ingenlista">
    <w:name w:val="No List"/>
  </w:style>
  <w:style w:type="paragraph" w:styleId="Sidfot">
    <w:name w:val="footer"/>
    <w:basedOn w:val="Normal"/>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143"/>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tnotsreferens">
    <w:name w:val="footnote reference"/>
    <w:basedOn w:val="Standardstycketeckensnitt"/>
    <w:rPr>
      <w:b/>
      <w:vertAlign w:val="superscript"/>
    </w:rPr>
  </w:style>
  <w:style w:type="paragraph" w:styleId="Fotnotstext">
    <w:name w:val="footnote text"/>
    <w:basedOn w:val="Normal"/>
    <w:pPr>
      <w:tabs>
        <w:tab w:val="left" w:pos="567"/>
      </w:tabs>
      <w:spacing w:line="240" w:lineRule="auto"/>
      <w:ind w:left="567" w:hanging="567"/>
    </w:pPr>
  </w:style>
  <w:style w:type="paragraph" w:styleId="Sidhuvud">
    <w:name w:val="header"/>
    <w:basedOn w:val="Normal"/>
    <w:pPr>
      <w:tabs>
        <w:tab w:val="center" w:pos="4820"/>
        <w:tab w:val="right" w:pos="7371"/>
        <w:tab w:val="right" w:pos="9639"/>
      </w:tabs>
      <w:spacing w:line="240" w:lineRule="auto"/>
    </w:pPr>
  </w:style>
  <w:style w:type="paragraph" w:customStyle="1" w:styleId="Par-bullet">
    <w:name w:val="Par-bullet"/>
    <w:basedOn w:val="Normal"/>
    <w:next w:val="Normal"/>
    <w:pPr>
      <w:numPr>
        <w:numId w:val="139"/>
      </w:numPr>
    </w:pPr>
  </w:style>
  <w:style w:type="paragraph" w:customStyle="1" w:styleId="Par-equal">
    <w:name w:val="Par-equal"/>
    <w:basedOn w:val="Normal"/>
    <w:next w:val="Normal"/>
    <w:pPr>
      <w:numPr>
        <w:numId w:val="141"/>
      </w:numPr>
    </w:pPr>
  </w:style>
  <w:style w:type="paragraph" w:styleId="Innehll1">
    <w:name w:val="toc 1"/>
    <w:basedOn w:val="Normal"/>
    <w:next w:val="Normal"/>
    <w:pPr>
      <w:tabs>
        <w:tab w:val="left" w:pos="567"/>
        <w:tab w:val="right" w:leader="dot" w:pos="9639"/>
      </w:tabs>
      <w:ind w:left="567" w:right="567" w:hanging="567"/>
    </w:pPr>
  </w:style>
  <w:style w:type="paragraph" w:customStyle="1" w:styleId="Par-number1">
    <w:name w:val="Par-number (1)"/>
    <w:basedOn w:val="Normal"/>
    <w:next w:val="Normal"/>
    <w:pPr>
      <w:numPr>
        <w:numId w:val="142"/>
      </w:numPr>
    </w:pPr>
  </w:style>
  <w:style w:type="paragraph" w:customStyle="1" w:styleId="Par-number11">
    <w:name w:val="Par-number 1."/>
    <w:basedOn w:val="Normal"/>
    <w:next w:val="Normal"/>
    <w:pPr>
      <w:numPr>
        <w:numId w:val="144"/>
      </w:numPr>
    </w:pPr>
  </w:style>
  <w:style w:type="paragraph" w:customStyle="1" w:styleId="Par-numberI">
    <w:name w:val="Par-number I."/>
    <w:basedOn w:val="Normal"/>
    <w:next w:val="Normal"/>
    <w:pPr>
      <w:numPr>
        <w:numId w:val="148"/>
      </w:numPr>
    </w:pPr>
  </w:style>
  <w:style w:type="paragraph" w:customStyle="1" w:styleId="Par-dash">
    <w:name w:val="Par-dash"/>
    <w:basedOn w:val="Normal"/>
    <w:next w:val="Normal"/>
    <w:pPr>
      <w:numPr>
        <w:numId w:val="140"/>
      </w:numPr>
    </w:pPr>
  </w:style>
  <w:style w:type="paragraph" w:customStyle="1" w:styleId="EntLogo">
    <w:name w:val="EntLogo"/>
    <w:basedOn w:val="Normal"/>
    <w:next w:val="EntInstit"/>
    <w:rPr>
      <w:b/>
    </w:rPr>
  </w:style>
  <w:style w:type="paragraph" w:customStyle="1" w:styleId="FooterLandscape">
    <w:name w:val="FooterLandscape"/>
    <w:basedOn w:val="Sidfot"/>
    <w:pPr>
      <w:tabs>
        <w:tab w:val="clear" w:pos="4820"/>
        <w:tab w:val="clear" w:pos="9639"/>
        <w:tab w:val="center" w:pos="11340"/>
        <w:tab w:val="right" w:pos="14572"/>
      </w:tabs>
    </w:pPr>
  </w:style>
  <w:style w:type="paragraph" w:customStyle="1" w:styleId="Par-numberA">
    <w:name w:val="Par-number A."/>
    <w:basedOn w:val="Normal"/>
    <w:next w:val="Normal"/>
    <w:pPr>
      <w:numPr>
        <w:numId w:val="146"/>
      </w:numPr>
    </w:pPr>
  </w:style>
  <w:style w:type="paragraph" w:styleId="Innehll2">
    <w:name w:val="toc 2"/>
    <w:basedOn w:val="Normal"/>
    <w:next w:val="Normal"/>
    <w:pPr>
      <w:tabs>
        <w:tab w:val="left" w:pos="1134"/>
        <w:tab w:val="right" w:leader="dot" w:pos="9639"/>
      </w:tabs>
      <w:ind w:left="1134" w:right="567" w:hanging="567"/>
    </w:pPr>
  </w:style>
  <w:style w:type="paragraph" w:styleId="Innehll3">
    <w:name w:val="toc 3"/>
    <w:basedOn w:val="Normal"/>
    <w:next w:val="Normal"/>
    <w:pPr>
      <w:tabs>
        <w:tab w:val="left" w:pos="1701"/>
        <w:tab w:val="right" w:leader="dot" w:pos="9639"/>
      </w:tabs>
      <w:ind w:left="1701" w:right="567" w:hanging="567"/>
    </w:pPr>
  </w:style>
  <w:style w:type="paragraph" w:styleId="Innehll4">
    <w:name w:val="toc 4"/>
    <w:basedOn w:val="Normal"/>
    <w:next w:val="Normal"/>
    <w:pPr>
      <w:tabs>
        <w:tab w:val="left" w:pos="2268"/>
        <w:tab w:val="right" w:pos="9639"/>
      </w:tabs>
      <w:ind w:left="2268" w:right="567" w:hanging="567"/>
    </w:pPr>
  </w:style>
  <w:style w:type="paragraph" w:styleId="Innehll5">
    <w:name w:val="toc 5"/>
    <w:basedOn w:val="Normal"/>
    <w:next w:val="Normal"/>
    <w:pPr>
      <w:tabs>
        <w:tab w:val="left" w:pos="2835"/>
        <w:tab w:val="right" w:leader="dot" w:pos="9639"/>
      </w:tabs>
      <w:ind w:left="2835" w:right="567" w:hanging="567"/>
    </w:pPr>
  </w:style>
  <w:style w:type="paragraph" w:styleId="Innehll6">
    <w:name w:val="toc 6"/>
    <w:basedOn w:val="Normal"/>
    <w:next w:val="Normal"/>
    <w:pPr>
      <w:tabs>
        <w:tab w:val="left" w:pos="3402"/>
        <w:tab w:val="right" w:leader="dot" w:pos="9639"/>
      </w:tabs>
      <w:ind w:left="3402" w:right="567" w:hanging="567"/>
    </w:pPr>
  </w:style>
  <w:style w:type="paragraph" w:styleId="Innehll7">
    <w:name w:val="toc 7"/>
    <w:basedOn w:val="Normal"/>
    <w:next w:val="Normal"/>
    <w:pPr>
      <w:tabs>
        <w:tab w:val="left" w:pos="3969"/>
        <w:tab w:val="right" w:leader="dot" w:pos="9639"/>
      </w:tabs>
      <w:ind w:left="3969" w:right="567" w:hanging="567"/>
    </w:pPr>
  </w:style>
  <w:style w:type="paragraph" w:styleId="Innehll8">
    <w:name w:val="toc 8"/>
    <w:basedOn w:val="Normal"/>
    <w:next w:val="Normal"/>
    <w:pPr>
      <w:tabs>
        <w:tab w:val="left" w:pos="4536"/>
        <w:tab w:val="right" w:leader="dot" w:pos="9639"/>
      </w:tabs>
      <w:ind w:left="4536" w:right="567" w:hanging="567"/>
    </w:pPr>
  </w:style>
  <w:style w:type="paragraph" w:styleId="Innehll9">
    <w:name w:val="toc 9"/>
    <w:basedOn w:val="Normal"/>
    <w:next w:val="Normal"/>
    <w:pPr>
      <w:tabs>
        <w:tab w:val="left" w:pos="5103"/>
        <w:tab w:val="right" w:leader="dot" w:pos="9639"/>
      </w:tabs>
      <w:ind w:left="5103" w:right="567" w:hanging="567"/>
    </w:pPr>
  </w:style>
  <w:style w:type="paragraph" w:styleId="Slutnotstext">
    <w:name w:val="endnote text"/>
    <w:basedOn w:val="Normal"/>
    <w:pPr>
      <w:tabs>
        <w:tab w:val="left" w:pos="567"/>
      </w:tabs>
      <w:spacing w:line="240" w:lineRule="auto"/>
      <w:ind w:left="567" w:hanging="567"/>
    </w:pPr>
  </w:style>
  <w:style w:type="character" w:styleId="Slutnotsreferens">
    <w:name w:val="endnote reference"/>
    <w:basedOn w:val="Standardstycketeckensnitt"/>
    <w:rPr>
      <w:b/>
      <w:vertAlign w:val="superscript"/>
    </w:rPr>
  </w:style>
  <w:style w:type="paragraph" w:customStyle="1" w:styleId="AC">
    <w:name w:val="AC"/>
    <w:basedOn w:val="Normal"/>
    <w:next w:val="Normal"/>
    <w:rPr>
      <w:b/>
      <w:sz w:val="40"/>
    </w:rPr>
  </w:style>
  <w:style w:type="character" w:styleId="Sidnummer">
    <w:name w:val="page number"/>
    <w:basedOn w:val="Standardstycketeckensnitt"/>
  </w:style>
  <w:style w:type="paragraph" w:customStyle="1" w:styleId="Par-numberi0">
    <w:name w:val="Par-number (i)"/>
    <w:basedOn w:val="Normal"/>
    <w:next w:val="Normal"/>
    <w:pPr>
      <w:numPr>
        <w:numId w:val="70"/>
      </w:numPr>
      <w:tabs>
        <w:tab w:val="clear" w:pos="720"/>
        <w:tab w:val="left" w:pos="567"/>
      </w:tabs>
    </w:pPr>
  </w:style>
  <w:style w:type="paragraph" w:customStyle="1" w:styleId="Par-numbera0">
    <w:name w:val="Par-number (a)"/>
    <w:basedOn w:val="Normal"/>
    <w:next w:val="Normal"/>
    <w:pPr>
      <w:numPr>
        <w:numId w:val="90"/>
      </w:numPr>
    </w:pPr>
  </w:style>
  <w:style w:type="character" w:customStyle="1" w:styleId="DontTranslate">
    <w:name w:val="DontTranslate"/>
    <w:basedOn w:val="Standardstycketeckensnitt"/>
    <w:rsid w:val="003D12D6"/>
    <w:rPr>
      <w:color w:val="FF0000"/>
    </w:rPr>
  </w:style>
  <w:style w:type="paragraph" w:customStyle="1" w:styleId="AddReference">
    <w:name w:val="Add Reference"/>
    <w:basedOn w:val="Normal"/>
    <w:rsid w:val="00A83A74"/>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Dokumentversikt">
    <w:name w:val="Document Map"/>
    <w:basedOn w:val="Normal"/>
    <w:semiHidden/>
    <w:rsid w:val="00FC7E68"/>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_GenEn.doc"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_GenEn.doc</Template>
  <TotalTime>0</TotalTime>
  <Pages>2</Pages>
  <Words>1183</Words>
  <Characters>5788</Characters>
  <Application>Microsoft Office Word</Application>
  <DocSecurity>4</DocSecurity>
  <Lines>144</Lines>
  <Paragraphs>65</Paragraphs>
  <ScaleCrop>false</ScaleCrop>
  <HeadingPairs>
    <vt:vector size="2" baseType="variant">
      <vt:variant>
        <vt:lpstr>Title</vt:lpstr>
      </vt:variant>
      <vt:variant>
        <vt:i4>1</vt:i4>
      </vt:variant>
    </vt:vector>
  </HeadingPairs>
  <TitlesOfParts>
    <vt:vector size="1" baseType="lpstr">
      <vt:lpstr>GEN</vt:lpstr>
    </vt:vector>
  </TitlesOfParts>
  <Company>DTI</Company>
  <LinksUpToDate>false</LinksUpToDate>
  <CharactersWithSpaces>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subject>GEN</dc:subject>
  <dc:creator>Riksdagen</dc:creator>
  <cp:keywords>Riksdagen</cp:keywords>
  <cp:lastModifiedBy>Lars Brink</cp:lastModifiedBy>
  <cp:revision>2</cp:revision>
  <cp:lastPrinted>2006-05-19T08:47:00Z</cp:lastPrinted>
  <dcterms:created xsi:type="dcterms:W3CDTF">2025-12-16T23:11:00Z</dcterms:created>
  <dcterms:modified xsi:type="dcterms:W3CDTF">2025-12-16T23:11:00Z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kipControlLengthPage">
    <vt:lpwstr/>
  </property>
</Properties>
</file>