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E362AB">
              <w:rPr>
                <w:b/>
              </w:rPr>
              <w:t>9/20</w:t>
            </w:r>
            <w:r w:rsidR="00520D71">
              <w:rPr>
                <w:b/>
              </w:rPr>
              <w:t>:</w:t>
            </w:r>
            <w:r w:rsidR="00047B0D">
              <w:rPr>
                <w:b/>
              </w:rPr>
              <w:t>09</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201</w:t>
            </w:r>
            <w:r w:rsidR="00FE5A5A">
              <w:t>9</w:t>
            </w:r>
            <w:r w:rsidR="00520D71">
              <w:t>-</w:t>
            </w:r>
            <w:r w:rsidR="00047B0D">
              <w:t>11</w:t>
            </w:r>
            <w:r w:rsidR="00520D71">
              <w:t>-</w:t>
            </w:r>
            <w:r w:rsidR="00047B0D">
              <w:t>14</w:t>
            </w:r>
          </w:p>
        </w:tc>
      </w:tr>
      <w:tr w:rsidR="00447E69">
        <w:tc>
          <w:tcPr>
            <w:tcW w:w="1985" w:type="dxa"/>
          </w:tcPr>
          <w:p w:rsidR="00447E69" w:rsidRDefault="00447E69">
            <w:r>
              <w:t>TID</w:t>
            </w:r>
          </w:p>
        </w:tc>
        <w:tc>
          <w:tcPr>
            <w:tcW w:w="6463" w:type="dxa"/>
          </w:tcPr>
          <w:p w:rsidR="00447E69" w:rsidRDefault="00BF5F58">
            <w:r>
              <w:t>1</w:t>
            </w:r>
            <w:r w:rsidR="00047B0D">
              <w:t>0</w:t>
            </w:r>
            <w:r>
              <w:t>:</w:t>
            </w:r>
            <w:r w:rsidR="00B2693D">
              <w:t>00</w:t>
            </w:r>
            <w:r w:rsidR="00FA543D">
              <w:t>–</w:t>
            </w:r>
            <w:r w:rsidR="007D0184">
              <w:t>10:40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155963">
            <w:pPr>
              <w:tabs>
                <w:tab w:val="left" w:pos="1701"/>
              </w:tabs>
              <w:rPr>
                <w:b/>
                <w:snapToGrid w:val="0"/>
              </w:rPr>
            </w:pPr>
            <w:r>
              <w:rPr>
                <w:b/>
                <w:snapToGrid w:val="0"/>
              </w:rPr>
              <w:t>EU-överläggning med regeringen enligt RO 7 kap. 12 § om</w:t>
            </w:r>
            <w:r w:rsidR="00CA6BB2">
              <w:rPr>
                <w:b/>
                <w:snapToGrid w:val="0"/>
              </w:rPr>
              <w:t xml:space="preserve"> rymdlösningar för ett hållbart Arktis</w:t>
            </w:r>
            <w:r>
              <w:rPr>
                <w:b/>
                <w:snapToGrid w:val="0"/>
              </w:rPr>
              <w:br/>
            </w:r>
          </w:p>
          <w:p w:rsidR="00C33798" w:rsidRDefault="00155963" w:rsidP="00C33798">
            <w:pPr>
              <w:tabs>
                <w:tab w:val="left" w:pos="1701"/>
              </w:tabs>
              <w:rPr>
                <w:i/>
                <w:color w:val="000000"/>
                <w:szCs w:val="24"/>
              </w:rPr>
            </w:pPr>
            <w:r w:rsidRPr="002869FE">
              <w:rPr>
                <w:snapToGrid w:val="0"/>
              </w:rPr>
              <w:t>Utskottet överlade med s</w:t>
            </w:r>
            <w:r w:rsidRPr="002869FE">
              <w:rPr>
                <w:color w:val="000000"/>
                <w:szCs w:val="24"/>
              </w:rPr>
              <w:t>t</w:t>
            </w:r>
            <w:r>
              <w:rPr>
                <w:color w:val="000000"/>
                <w:szCs w:val="24"/>
              </w:rPr>
              <w:t xml:space="preserve">atssekreteraren Malin </w:t>
            </w:r>
            <w:proofErr w:type="spellStart"/>
            <w:r>
              <w:rPr>
                <w:color w:val="000000"/>
                <w:szCs w:val="24"/>
              </w:rPr>
              <w:t>Cederfeldt</w:t>
            </w:r>
            <w:proofErr w:type="spellEnd"/>
            <w:r>
              <w:rPr>
                <w:color w:val="000000"/>
                <w:szCs w:val="24"/>
              </w:rPr>
              <w:t xml:space="preserve"> Östberg med medarbetare från Utbildningsdepartemente</w:t>
            </w:r>
            <w:r w:rsidRPr="002869FE">
              <w:rPr>
                <w:color w:val="000000"/>
                <w:szCs w:val="24"/>
              </w:rPr>
              <w:t>t</w:t>
            </w:r>
            <w:r>
              <w:rPr>
                <w:color w:val="000000"/>
                <w:szCs w:val="24"/>
              </w:rPr>
              <w:t xml:space="preserve"> </w:t>
            </w:r>
            <w:r w:rsidR="00CA6BB2" w:rsidRPr="00CA6BB2">
              <w:rPr>
                <w:color w:val="000000"/>
                <w:szCs w:val="24"/>
              </w:rPr>
              <w:t xml:space="preserve">om rymdlösningar för ett hållbart </w:t>
            </w:r>
            <w:r w:rsidR="00CA6BB2">
              <w:rPr>
                <w:color w:val="000000"/>
                <w:szCs w:val="24"/>
              </w:rPr>
              <w:t>A</w:t>
            </w:r>
            <w:r w:rsidR="00CA6BB2" w:rsidRPr="00CA6BB2">
              <w:rPr>
                <w:color w:val="000000"/>
                <w:szCs w:val="24"/>
              </w:rPr>
              <w:t>rktis</w:t>
            </w:r>
            <w:r w:rsidR="00CA6BB2">
              <w:rPr>
                <w:color w:val="000000"/>
                <w:szCs w:val="24"/>
              </w:rPr>
              <w:t>.</w:t>
            </w:r>
            <w:r w:rsidR="00C33798">
              <w:rPr>
                <w:color w:val="000000"/>
                <w:szCs w:val="24"/>
              </w:rPr>
              <w:br/>
            </w:r>
            <w:r w:rsidR="00C33798">
              <w:rPr>
                <w:color w:val="000000"/>
                <w:szCs w:val="24"/>
              </w:rPr>
              <w:br/>
            </w:r>
            <w:r w:rsidR="00C33798">
              <w:rPr>
                <w:i/>
                <w:color w:val="000000"/>
                <w:szCs w:val="24"/>
              </w:rPr>
              <w:t>Underlag för överläggningen</w:t>
            </w:r>
          </w:p>
          <w:p w:rsidR="00C33798" w:rsidRPr="00C635AA" w:rsidRDefault="00C33798" w:rsidP="00C33798">
            <w:pPr>
              <w:tabs>
                <w:tab w:val="left" w:pos="1701"/>
              </w:tabs>
              <w:rPr>
                <w:color w:val="000000"/>
                <w:szCs w:val="24"/>
              </w:rPr>
            </w:pPr>
            <w:r w:rsidRPr="00C635AA">
              <w:rPr>
                <w:color w:val="000000"/>
                <w:szCs w:val="24"/>
              </w:rPr>
              <w:t xml:space="preserve">Promemoria från Utbildningsdepartementet (Dnr </w:t>
            </w:r>
            <w:proofErr w:type="gramStart"/>
            <w:r w:rsidR="00CA6BB2">
              <w:rPr>
                <w:color w:val="000000"/>
                <w:szCs w:val="24"/>
              </w:rPr>
              <w:t>561</w:t>
            </w:r>
            <w:r w:rsidRPr="00C635AA">
              <w:rPr>
                <w:color w:val="000000"/>
                <w:szCs w:val="24"/>
              </w:rPr>
              <w:t>-2019</w:t>
            </w:r>
            <w:proofErr w:type="gramEnd"/>
            <w:r w:rsidRPr="00C635AA">
              <w:rPr>
                <w:color w:val="000000"/>
                <w:szCs w:val="24"/>
              </w:rPr>
              <w:t>/20)</w:t>
            </w:r>
          </w:p>
          <w:p w:rsidR="00C33798" w:rsidRDefault="00C33798" w:rsidP="00C33798">
            <w:pPr>
              <w:tabs>
                <w:tab w:val="left" w:pos="1701"/>
              </w:tabs>
              <w:rPr>
                <w:i/>
                <w:color w:val="000000"/>
                <w:szCs w:val="24"/>
              </w:rPr>
            </w:pPr>
            <w:r w:rsidRPr="00C635AA">
              <w:rPr>
                <w:color w:val="000000"/>
                <w:szCs w:val="24"/>
              </w:rPr>
              <w:t xml:space="preserve">Rådsdokument </w:t>
            </w:r>
            <w:r w:rsidR="00CA6BB2">
              <w:rPr>
                <w:color w:val="000000"/>
                <w:szCs w:val="24"/>
              </w:rPr>
              <w:t>13659</w:t>
            </w:r>
            <w:r w:rsidRPr="00C635AA">
              <w:rPr>
                <w:color w:val="000000"/>
                <w:szCs w:val="24"/>
              </w:rPr>
              <w:t>/19</w:t>
            </w:r>
            <w:r>
              <w:rPr>
                <w:color w:val="000000"/>
                <w:szCs w:val="24"/>
              </w:rPr>
              <w:br/>
            </w:r>
            <w:r>
              <w:rPr>
                <w:color w:val="000000"/>
                <w:szCs w:val="24"/>
              </w:rPr>
              <w:br/>
            </w:r>
            <w:r>
              <w:rPr>
                <w:i/>
                <w:color w:val="000000"/>
                <w:szCs w:val="24"/>
              </w:rPr>
              <w:t>Regeringens förslag till svensk ståndpunkt</w:t>
            </w:r>
          </w:p>
          <w:p w:rsidR="00CA6BB2" w:rsidRPr="00CA6BB2" w:rsidRDefault="00CA6BB2" w:rsidP="00CA6BB2">
            <w:pPr>
              <w:tabs>
                <w:tab w:val="left" w:pos="1701"/>
              </w:tabs>
              <w:rPr>
                <w:color w:val="000000"/>
                <w:szCs w:val="24"/>
              </w:rPr>
            </w:pPr>
            <w:r w:rsidRPr="00CA6BB2">
              <w:rPr>
                <w:color w:val="000000"/>
                <w:szCs w:val="24"/>
              </w:rPr>
              <w:t>Regeringen välkomnar rådslutsatserna.</w:t>
            </w:r>
          </w:p>
          <w:p w:rsidR="00CA6BB2" w:rsidRPr="00CA6BB2" w:rsidRDefault="00CA6BB2" w:rsidP="00CA6BB2">
            <w:pPr>
              <w:tabs>
                <w:tab w:val="left" w:pos="1701"/>
              </w:tabs>
              <w:rPr>
                <w:color w:val="000000"/>
                <w:szCs w:val="24"/>
              </w:rPr>
            </w:pPr>
          </w:p>
          <w:p w:rsidR="00CA6BB2" w:rsidRPr="00CA6BB2" w:rsidRDefault="00CA6BB2" w:rsidP="00CA6BB2">
            <w:pPr>
              <w:tabs>
                <w:tab w:val="left" w:pos="1701"/>
              </w:tabs>
              <w:rPr>
                <w:color w:val="000000"/>
                <w:szCs w:val="24"/>
              </w:rPr>
            </w:pPr>
            <w:r w:rsidRPr="00CA6BB2">
              <w:rPr>
                <w:color w:val="000000"/>
                <w:szCs w:val="24"/>
              </w:rPr>
              <w:t>Rådslutsatserna ger en kortfattad men konkret och väl underbyggd</w:t>
            </w:r>
          </w:p>
          <w:p w:rsidR="00CA6BB2" w:rsidRPr="00CA6BB2" w:rsidRDefault="00CA6BB2" w:rsidP="00CA6BB2">
            <w:pPr>
              <w:tabs>
                <w:tab w:val="left" w:pos="1701"/>
              </w:tabs>
              <w:rPr>
                <w:color w:val="000000"/>
                <w:szCs w:val="24"/>
              </w:rPr>
            </w:pPr>
            <w:r w:rsidRPr="00CA6BB2">
              <w:rPr>
                <w:color w:val="000000"/>
                <w:szCs w:val="24"/>
              </w:rPr>
              <w:t>beskrivning av vad EU:s rymdlösningar kan bidra med för att stödja ett hållbart Arktis.</w:t>
            </w:r>
          </w:p>
          <w:p w:rsidR="00CA6BB2" w:rsidRPr="00CA6BB2" w:rsidRDefault="00CA6BB2" w:rsidP="00CA6BB2">
            <w:pPr>
              <w:tabs>
                <w:tab w:val="left" w:pos="1701"/>
              </w:tabs>
              <w:rPr>
                <w:color w:val="000000"/>
                <w:szCs w:val="24"/>
              </w:rPr>
            </w:pPr>
          </w:p>
          <w:p w:rsidR="00CA6BB2" w:rsidRPr="00CA6BB2" w:rsidRDefault="00CA6BB2" w:rsidP="00CA6BB2">
            <w:pPr>
              <w:tabs>
                <w:tab w:val="left" w:pos="1701"/>
              </w:tabs>
              <w:rPr>
                <w:color w:val="000000"/>
                <w:szCs w:val="24"/>
              </w:rPr>
            </w:pPr>
            <w:r w:rsidRPr="00CA6BB2">
              <w:rPr>
                <w:color w:val="000000"/>
                <w:szCs w:val="24"/>
              </w:rPr>
              <w:t>Rådslutsatserna ligger väl i linje med den svenska Arktisstrategins huvudprioriteringar genom att europeiska rymdlösningar kan verka stödjande inom strategins tre tematiska områden; klimat och miljö, ekonomisk utveckling och den mänskliga dimensionen.</w:t>
            </w:r>
          </w:p>
          <w:p w:rsidR="00CA6BB2" w:rsidRPr="00CA6BB2" w:rsidRDefault="00CA6BB2" w:rsidP="00CA6BB2">
            <w:pPr>
              <w:tabs>
                <w:tab w:val="left" w:pos="1701"/>
              </w:tabs>
              <w:rPr>
                <w:color w:val="000000"/>
                <w:szCs w:val="24"/>
              </w:rPr>
            </w:pPr>
          </w:p>
          <w:p w:rsidR="00C33798" w:rsidRPr="00CA6BB2" w:rsidRDefault="00CA6BB2" w:rsidP="00CA6BB2">
            <w:pPr>
              <w:tabs>
                <w:tab w:val="left" w:pos="1701"/>
              </w:tabs>
              <w:rPr>
                <w:color w:val="000000"/>
                <w:szCs w:val="24"/>
              </w:rPr>
            </w:pPr>
            <w:r w:rsidRPr="00CA6BB2">
              <w:rPr>
                <w:color w:val="000000"/>
                <w:szCs w:val="24"/>
              </w:rPr>
              <w:t>Den rekommendation och de ställningstaganden som anges i den senaste versionen av rådslutsatserna är väl valda och regeringen föreslår att rådslutsatserna som helhet kan stödjas.</w:t>
            </w:r>
            <w:r w:rsidR="00C33798">
              <w:rPr>
                <w:color w:val="000000"/>
                <w:szCs w:val="24"/>
              </w:rPr>
              <w:br/>
            </w:r>
            <w:r w:rsidR="00C33798">
              <w:rPr>
                <w:color w:val="000000"/>
                <w:szCs w:val="24"/>
              </w:rPr>
              <w:br/>
            </w:r>
            <w:r w:rsidR="00C33798">
              <w:rPr>
                <w:i/>
                <w:color w:val="000000"/>
                <w:szCs w:val="24"/>
              </w:rPr>
              <w:t>Utskottet</w:t>
            </w:r>
          </w:p>
          <w:p w:rsidR="00C33798" w:rsidRPr="007D0184" w:rsidRDefault="00C33798" w:rsidP="00C33798">
            <w:pPr>
              <w:tabs>
                <w:tab w:val="left" w:pos="1701"/>
              </w:tabs>
              <w:rPr>
                <w:color w:val="000000"/>
                <w:szCs w:val="24"/>
              </w:rPr>
            </w:pPr>
            <w:r w:rsidRPr="007D0184">
              <w:rPr>
                <w:color w:val="000000"/>
                <w:szCs w:val="24"/>
              </w:rPr>
              <w:t xml:space="preserve">Ordföranden konstaterade att det fanns stöd i utskottet för regeringens ståndpunkt. </w:t>
            </w:r>
          </w:p>
          <w:p w:rsidR="00C33798" w:rsidRPr="007D0184" w:rsidRDefault="00C33798" w:rsidP="00C33798">
            <w:pPr>
              <w:tabs>
                <w:tab w:val="left" w:pos="1701"/>
              </w:tabs>
              <w:rPr>
                <w:color w:val="000000"/>
                <w:szCs w:val="24"/>
              </w:rPr>
            </w:pPr>
          </w:p>
          <w:p w:rsidR="00155963" w:rsidRPr="00C33798" w:rsidRDefault="00C33798">
            <w:pPr>
              <w:tabs>
                <w:tab w:val="left" w:pos="1701"/>
              </w:tabs>
              <w:rPr>
                <w:color w:val="000000"/>
                <w:szCs w:val="24"/>
              </w:rPr>
            </w:pPr>
            <w:r w:rsidRPr="007D0184">
              <w:rPr>
                <w:color w:val="000000"/>
                <w:szCs w:val="24"/>
              </w:rPr>
              <w:t>Denna paragraf förklarades omedelbart justerad.</w:t>
            </w:r>
          </w:p>
          <w:p w:rsidR="00C33798" w:rsidRDefault="00C33798">
            <w:pPr>
              <w:tabs>
                <w:tab w:val="left" w:pos="1701"/>
              </w:tabs>
              <w:rPr>
                <w:b/>
                <w:snapToGrid w:val="0"/>
              </w:rPr>
            </w:pPr>
          </w:p>
        </w:tc>
      </w:tr>
      <w:tr w:rsidR="00155963" w:rsidTr="0001177E">
        <w:tc>
          <w:tcPr>
            <w:tcW w:w="567" w:type="dxa"/>
          </w:tcPr>
          <w:p w:rsidR="00155963" w:rsidRPr="003B4DE8" w:rsidRDefault="00155963" w:rsidP="003B4DE8">
            <w:pPr>
              <w:pStyle w:val="Liststycke"/>
              <w:numPr>
                <w:ilvl w:val="0"/>
                <w:numId w:val="2"/>
              </w:numPr>
              <w:tabs>
                <w:tab w:val="left" w:pos="1701"/>
              </w:tabs>
              <w:rPr>
                <w:b/>
                <w:snapToGrid w:val="0"/>
              </w:rPr>
            </w:pPr>
          </w:p>
        </w:tc>
        <w:tc>
          <w:tcPr>
            <w:tcW w:w="6946" w:type="dxa"/>
            <w:gridSpan w:val="2"/>
          </w:tcPr>
          <w:p w:rsidR="00155963" w:rsidRDefault="00155963" w:rsidP="00155963">
            <w:pPr>
              <w:tabs>
                <w:tab w:val="left" w:pos="1701"/>
              </w:tabs>
              <w:rPr>
                <w:b/>
                <w:snapToGrid w:val="0"/>
              </w:rPr>
            </w:pPr>
            <w:r>
              <w:rPr>
                <w:b/>
                <w:snapToGrid w:val="0"/>
              </w:rPr>
              <w:t>EU-överläggning med regeringen enligt RO 7 kap. 12 § om</w:t>
            </w:r>
            <w:r w:rsidR="00CA6BB2">
              <w:rPr>
                <w:b/>
                <w:snapToGrid w:val="0"/>
              </w:rPr>
              <w:t xml:space="preserve"> att främja hållbar rymdekonomi</w:t>
            </w:r>
            <w:r>
              <w:rPr>
                <w:b/>
                <w:snapToGrid w:val="0"/>
              </w:rPr>
              <w:br/>
            </w:r>
          </w:p>
          <w:p w:rsidR="00C33798" w:rsidRDefault="00C33798" w:rsidP="00C33798">
            <w:pPr>
              <w:tabs>
                <w:tab w:val="left" w:pos="1701"/>
              </w:tabs>
              <w:rPr>
                <w:i/>
                <w:color w:val="000000"/>
                <w:szCs w:val="24"/>
              </w:rPr>
            </w:pPr>
            <w:r w:rsidRPr="002869FE">
              <w:rPr>
                <w:snapToGrid w:val="0"/>
              </w:rPr>
              <w:t>Utskottet överlade med s</w:t>
            </w:r>
            <w:r w:rsidRPr="002869FE">
              <w:rPr>
                <w:color w:val="000000"/>
                <w:szCs w:val="24"/>
              </w:rPr>
              <w:t>t</w:t>
            </w:r>
            <w:r>
              <w:rPr>
                <w:color w:val="000000"/>
                <w:szCs w:val="24"/>
              </w:rPr>
              <w:t xml:space="preserve">atssekreteraren Malin </w:t>
            </w:r>
            <w:proofErr w:type="spellStart"/>
            <w:r>
              <w:rPr>
                <w:color w:val="000000"/>
                <w:szCs w:val="24"/>
              </w:rPr>
              <w:t>Cederfeldt</w:t>
            </w:r>
            <w:proofErr w:type="spellEnd"/>
            <w:r>
              <w:rPr>
                <w:color w:val="000000"/>
                <w:szCs w:val="24"/>
              </w:rPr>
              <w:t xml:space="preserve"> Östberg med medarbetare från Utbildningsdepartemente</w:t>
            </w:r>
            <w:r w:rsidRPr="002869FE">
              <w:rPr>
                <w:color w:val="000000"/>
                <w:szCs w:val="24"/>
              </w:rPr>
              <w:t>t</w:t>
            </w:r>
            <w:r>
              <w:rPr>
                <w:color w:val="000000"/>
                <w:szCs w:val="24"/>
              </w:rPr>
              <w:t xml:space="preserve"> om </w:t>
            </w:r>
            <w:r w:rsidR="00CA6BB2">
              <w:rPr>
                <w:color w:val="000000"/>
                <w:szCs w:val="24"/>
              </w:rPr>
              <w:t>att främja hållbar rymdekonomi.</w:t>
            </w:r>
            <w:r>
              <w:rPr>
                <w:color w:val="000000"/>
                <w:szCs w:val="24"/>
              </w:rPr>
              <w:br/>
            </w:r>
            <w:r>
              <w:rPr>
                <w:color w:val="000000"/>
                <w:szCs w:val="24"/>
              </w:rPr>
              <w:lastRenderedPageBreak/>
              <w:br/>
            </w:r>
            <w:r>
              <w:rPr>
                <w:i/>
                <w:color w:val="000000"/>
                <w:szCs w:val="24"/>
              </w:rPr>
              <w:t>Underlag för överläggningen</w:t>
            </w:r>
          </w:p>
          <w:p w:rsidR="00C33798" w:rsidRPr="00C635AA" w:rsidRDefault="00C33798" w:rsidP="00C33798">
            <w:pPr>
              <w:tabs>
                <w:tab w:val="left" w:pos="1701"/>
              </w:tabs>
              <w:rPr>
                <w:color w:val="000000"/>
                <w:szCs w:val="24"/>
              </w:rPr>
            </w:pPr>
            <w:r w:rsidRPr="00C635AA">
              <w:rPr>
                <w:color w:val="000000"/>
                <w:szCs w:val="24"/>
              </w:rPr>
              <w:t xml:space="preserve">Promemoria från Utbildningsdepartementet (Dnr </w:t>
            </w:r>
            <w:proofErr w:type="gramStart"/>
            <w:r w:rsidR="00CA6BB2">
              <w:rPr>
                <w:color w:val="000000"/>
                <w:szCs w:val="24"/>
              </w:rPr>
              <w:t>562</w:t>
            </w:r>
            <w:r w:rsidRPr="00C635AA">
              <w:rPr>
                <w:color w:val="000000"/>
                <w:szCs w:val="24"/>
              </w:rPr>
              <w:t>-2019</w:t>
            </w:r>
            <w:proofErr w:type="gramEnd"/>
            <w:r w:rsidRPr="00C635AA">
              <w:rPr>
                <w:color w:val="000000"/>
                <w:szCs w:val="24"/>
              </w:rPr>
              <w:t>/20)</w:t>
            </w:r>
          </w:p>
          <w:p w:rsidR="00C33798" w:rsidRDefault="00C33798" w:rsidP="00C33798">
            <w:pPr>
              <w:tabs>
                <w:tab w:val="left" w:pos="1701"/>
              </w:tabs>
              <w:rPr>
                <w:i/>
                <w:color w:val="000000"/>
                <w:szCs w:val="24"/>
              </w:rPr>
            </w:pPr>
            <w:r w:rsidRPr="00C635AA">
              <w:rPr>
                <w:color w:val="000000"/>
                <w:szCs w:val="24"/>
              </w:rPr>
              <w:t xml:space="preserve">Rådsdokument </w:t>
            </w:r>
            <w:r w:rsidR="00CA6BB2">
              <w:rPr>
                <w:color w:val="000000"/>
                <w:szCs w:val="24"/>
              </w:rPr>
              <w:t xml:space="preserve">WK </w:t>
            </w:r>
            <w:proofErr w:type="gramStart"/>
            <w:r w:rsidR="00CA6BB2">
              <w:rPr>
                <w:color w:val="000000"/>
                <w:szCs w:val="24"/>
              </w:rPr>
              <w:t>12679</w:t>
            </w:r>
            <w:proofErr w:type="gramEnd"/>
            <w:r w:rsidRPr="00C635AA">
              <w:rPr>
                <w:color w:val="000000"/>
                <w:szCs w:val="24"/>
              </w:rPr>
              <w:t>/19</w:t>
            </w:r>
            <w:r>
              <w:rPr>
                <w:color w:val="000000"/>
                <w:szCs w:val="24"/>
              </w:rPr>
              <w:br/>
            </w:r>
            <w:r>
              <w:rPr>
                <w:color w:val="000000"/>
                <w:szCs w:val="24"/>
              </w:rPr>
              <w:br/>
            </w:r>
            <w:r>
              <w:rPr>
                <w:i/>
                <w:color w:val="000000"/>
                <w:szCs w:val="24"/>
              </w:rPr>
              <w:t>Regeringens förslag till svensk ståndpunkt</w:t>
            </w:r>
          </w:p>
          <w:p w:rsidR="00CA6BB2" w:rsidRPr="00CA6BB2" w:rsidRDefault="00CA6BB2" w:rsidP="00CA6BB2">
            <w:pPr>
              <w:tabs>
                <w:tab w:val="left" w:pos="1701"/>
              </w:tabs>
              <w:rPr>
                <w:color w:val="000000"/>
                <w:szCs w:val="24"/>
              </w:rPr>
            </w:pPr>
            <w:r w:rsidRPr="00CA6BB2">
              <w:rPr>
                <w:color w:val="000000"/>
                <w:szCs w:val="24"/>
              </w:rPr>
              <w:t>Regeringens förslag till svensk ståndpunkt tar sin utgångspunkt i den</w:t>
            </w:r>
          </w:p>
          <w:p w:rsidR="00CA6BB2" w:rsidRDefault="00CA6BB2" w:rsidP="00CA6BB2">
            <w:pPr>
              <w:tabs>
                <w:tab w:val="left" w:pos="1701"/>
              </w:tabs>
              <w:rPr>
                <w:color w:val="000000"/>
                <w:szCs w:val="24"/>
              </w:rPr>
            </w:pPr>
            <w:r w:rsidRPr="00CA6BB2">
              <w:rPr>
                <w:color w:val="000000"/>
                <w:szCs w:val="24"/>
              </w:rPr>
              <w:t>nationella rymdstrategin som Riksdagen ställde sig bakom i november 2018.</w:t>
            </w:r>
            <w:r>
              <w:rPr>
                <w:color w:val="000000"/>
                <w:szCs w:val="24"/>
              </w:rPr>
              <w:t xml:space="preserve"> </w:t>
            </w:r>
            <w:r w:rsidRPr="00CA6BB2">
              <w:rPr>
                <w:color w:val="000000"/>
                <w:szCs w:val="24"/>
              </w:rPr>
              <w:t>Regeringen föreslår därför följande som svensk ståndpunkt.</w:t>
            </w:r>
          </w:p>
          <w:p w:rsidR="00CA6BB2" w:rsidRDefault="00CA6BB2" w:rsidP="00CA6BB2">
            <w:pPr>
              <w:tabs>
                <w:tab w:val="left" w:pos="1701"/>
              </w:tabs>
              <w:rPr>
                <w:color w:val="000000"/>
                <w:szCs w:val="24"/>
              </w:rPr>
            </w:pPr>
          </w:p>
          <w:p w:rsidR="00CA6BB2" w:rsidRPr="00CA6BB2" w:rsidRDefault="00CA6BB2" w:rsidP="00CA6BB2">
            <w:pPr>
              <w:tabs>
                <w:tab w:val="left" w:pos="1701"/>
              </w:tabs>
              <w:rPr>
                <w:color w:val="000000"/>
                <w:szCs w:val="24"/>
              </w:rPr>
            </w:pPr>
            <w:r w:rsidRPr="00CA6BB2">
              <w:rPr>
                <w:color w:val="000000"/>
                <w:szCs w:val="24"/>
              </w:rPr>
              <w:t>Rymden och rymdverksamhetens betydelse för olika samhällsfunktioner</w:t>
            </w:r>
            <w:r>
              <w:rPr>
                <w:color w:val="000000"/>
                <w:szCs w:val="24"/>
              </w:rPr>
              <w:t xml:space="preserve"> </w:t>
            </w:r>
            <w:r w:rsidRPr="00CA6BB2">
              <w:rPr>
                <w:color w:val="000000"/>
                <w:szCs w:val="24"/>
              </w:rPr>
              <w:t>växer på många områden, t.ex. för kommunikation, navigation, finansiella</w:t>
            </w:r>
            <w:r>
              <w:rPr>
                <w:color w:val="000000"/>
                <w:szCs w:val="24"/>
              </w:rPr>
              <w:t xml:space="preserve"> </w:t>
            </w:r>
            <w:r w:rsidRPr="00CA6BB2">
              <w:rPr>
                <w:color w:val="000000"/>
                <w:szCs w:val="24"/>
              </w:rPr>
              <w:t>transaktioner, jordobservation och klimatövervakning. Samhället har därför</w:t>
            </w:r>
            <w:r>
              <w:rPr>
                <w:color w:val="000000"/>
                <w:szCs w:val="24"/>
              </w:rPr>
              <w:t xml:space="preserve"> </w:t>
            </w:r>
            <w:r w:rsidRPr="00CA6BB2">
              <w:rPr>
                <w:color w:val="000000"/>
                <w:szCs w:val="24"/>
              </w:rPr>
              <w:t>blivit allt mer beroende av de tjänster och funktioner som det ökande antalet</w:t>
            </w:r>
            <w:r>
              <w:rPr>
                <w:color w:val="000000"/>
                <w:szCs w:val="24"/>
              </w:rPr>
              <w:t xml:space="preserve"> </w:t>
            </w:r>
            <w:r w:rsidRPr="00CA6BB2">
              <w:rPr>
                <w:color w:val="000000"/>
                <w:szCs w:val="24"/>
              </w:rPr>
              <w:t>satelliter tillhandahåller. Rymdverksamhet har också utrikes-, säkerhets- och</w:t>
            </w:r>
          </w:p>
          <w:p w:rsidR="00CA6BB2" w:rsidRDefault="00CA6BB2" w:rsidP="00CA6BB2">
            <w:pPr>
              <w:tabs>
                <w:tab w:val="left" w:pos="1701"/>
              </w:tabs>
              <w:rPr>
                <w:color w:val="000000"/>
                <w:szCs w:val="24"/>
              </w:rPr>
            </w:pPr>
            <w:r w:rsidRPr="00CA6BB2">
              <w:rPr>
                <w:color w:val="000000"/>
                <w:szCs w:val="24"/>
              </w:rPr>
              <w:t>försvarspolitiska dimensioner, vilket blir mer påtagligt när allt fler aktörer</w:t>
            </w:r>
            <w:r>
              <w:rPr>
                <w:color w:val="000000"/>
                <w:szCs w:val="24"/>
              </w:rPr>
              <w:t xml:space="preserve"> </w:t>
            </w:r>
            <w:r w:rsidRPr="00CA6BB2">
              <w:rPr>
                <w:color w:val="000000"/>
                <w:szCs w:val="24"/>
              </w:rPr>
              <w:t>engagerar sig i rymden. Det har därmed blivit viktigare att vi skyddar</w:t>
            </w:r>
            <w:r>
              <w:rPr>
                <w:color w:val="000000"/>
                <w:szCs w:val="24"/>
              </w:rPr>
              <w:t xml:space="preserve"> </w:t>
            </w:r>
            <w:r w:rsidRPr="00CA6BB2">
              <w:rPr>
                <w:color w:val="000000"/>
                <w:szCs w:val="24"/>
              </w:rPr>
              <w:t>rymdmiljön och bidrar till ett långsiktigt hållbart och fredligt nyttjande av</w:t>
            </w:r>
            <w:r>
              <w:rPr>
                <w:color w:val="000000"/>
                <w:szCs w:val="24"/>
              </w:rPr>
              <w:t xml:space="preserve"> </w:t>
            </w:r>
            <w:r w:rsidRPr="00CA6BB2">
              <w:rPr>
                <w:color w:val="000000"/>
                <w:szCs w:val="24"/>
              </w:rPr>
              <w:t>rymden för att säkerställa tillgången till den. Rymdverksamhet måste</w:t>
            </w:r>
            <w:r>
              <w:t xml:space="preserve"> </w:t>
            </w:r>
            <w:r w:rsidRPr="00CA6BB2">
              <w:rPr>
                <w:color w:val="000000"/>
                <w:szCs w:val="24"/>
              </w:rPr>
              <w:t>bedrivas med nyttan för samhället i fokus där bl.a. möjligheterna att bidra till Agenda 2030 tas till vara.</w:t>
            </w:r>
          </w:p>
          <w:p w:rsidR="00CA6BB2" w:rsidRDefault="00CA6BB2" w:rsidP="00CA6BB2">
            <w:pPr>
              <w:tabs>
                <w:tab w:val="left" w:pos="1701"/>
              </w:tabs>
              <w:rPr>
                <w:color w:val="000000"/>
                <w:szCs w:val="24"/>
              </w:rPr>
            </w:pPr>
          </w:p>
          <w:p w:rsidR="00CA6BB2" w:rsidRDefault="00CA6BB2" w:rsidP="00CA6BB2">
            <w:pPr>
              <w:tabs>
                <w:tab w:val="left" w:pos="1701"/>
              </w:tabs>
              <w:rPr>
                <w:color w:val="000000"/>
                <w:szCs w:val="24"/>
              </w:rPr>
            </w:pPr>
            <w:r w:rsidRPr="00CA6BB2">
              <w:rPr>
                <w:color w:val="000000"/>
                <w:szCs w:val="24"/>
              </w:rPr>
              <w:t>Rymdverksamheten är innovationsdrivande och flera högteknologiska produkter och tjänster för samhället baseras på upptäckter inom rymdforskningen som sedan har utvecklats i samverkan med näringslivet. Det har gett upphov till nya innovationer och tillämpningar på andra områden än de ursprungligen avsedda, t.ex. inom hållbara material.</w:t>
            </w:r>
          </w:p>
          <w:p w:rsidR="00C33798" w:rsidRPr="00CA6BB2" w:rsidRDefault="00C33798" w:rsidP="00CA6BB2">
            <w:pPr>
              <w:tabs>
                <w:tab w:val="left" w:pos="1701"/>
              </w:tabs>
              <w:rPr>
                <w:color w:val="000000"/>
                <w:szCs w:val="24"/>
              </w:rPr>
            </w:pPr>
            <w:r>
              <w:rPr>
                <w:color w:val="000000"/>
                <w:szCs w:val="24"/>
              </w:rPr>
              <w:br/>
            </w:r>
            <w:r>
              <w:rPr>
                <w:i/>
                <w:color w:val="000000"/>
                <w:szCs w:val="24"/>
              </w:rPr>
              <w:t>Utskottet</w:t>
            </w:r>
          </w:p>
          <w:p w:rsidR="00C33798" w:rsidRPr="007D0184" w:rsidRDefault="00C33798" w:rsidP="00C33798">
            <w:pPr>
              <w:tabs>
                <w:tab w:val="left" w:pos="1701"/>
              </w:tabs>
              <w:rPr>
                <w:color w:val="000000"/>
                <w:szCs w:val="24"/>
              </w:rPr>
            </w:pPr>
            <w:r w:rsidRPr="007D0184">
              <w:rPr>
                <w:color w:val="000000"/>
                <w:szCs w:val="24"/>
              </w:rPr>
              <w:t xml:space="preserve">Ordföranden konstaterade att det fanns stöd i utskottet för regeringens ståndpunkt. </w:t>
            </w:r>
          </w:p>
          <w:p w:rsidR="00C33798" w:rsidRPr="007D0184" w:rsidRDefault="00C33798" w:rsidP="00C33798">
            <w:pPr>
              <w:tabs>
                <w:tab w:val="left" w:pos="1701"/>
              </w:tabs>
              <w:rPr>
                <w:color w:val="000000"/>
                <w:szCs w:val="24"/>
              </w:rPr>
            </w:pPr>
          </w:p>
          <w:p w:rsidR="00C33798" w:rsidRPr="00C33798" w:rsidRDefault="00C33798" w:rsidP="00C33798">
            <w:pPr>
              <w:tabs>
                <w:tab w:val="left" w:pos="1701"/>
              </w:tabs>
              <w:rPr>
                <w:color w:val="000000"/>
                <w:szCs w:val="24"/>
              </w:rPr>
            </w:pPr>
            <w:r w:rsidRPr="007D0184">
              <w:rPr>
                <w:color w:val="000000"/>
                <w:szCs w:val="24"/>
              </w:rPr>
              <w:t>Denna paragraf förklarades omedelbart justerad.</w:t>
            </w:r>
          </w:p>
          <w:p w:rsidR="00155963" w:rsidRDefault="00155963" w:rsidP="00155963">
            <w:pPr>
              <w:tabs>
                <w:tab w:val="left" w:pos="1701"/>
              </w:tabs>
              <w:rPr>
                <w:b/>
                <w:snapToGrid w:val="0"/>
              </w:rPr>
            </w:pPr>
          </w:p>
        </w:tc>
      </w:tr>
      <w:tr w:rsidR="00155963" w:rsidTr="0001177E">
        <w:tc>
          <w:tcPr>
            <w:tcW w:w="567" w:type="dxa"/>
          </w:tcPr>
          <w:p w:rsidR="00155963" w:rsidRPr="003B4DE8" w:rsidRDefault="00155963" w:rsidP="003B4DE8">
            <w:pPr>
              <w:pStyle w:val="Liststycke"/>
              <w:numPr>
                <w:ilvl w:val="0"/>
                <w:numId w:val="2"/>
              </w:numPr>
              <w:tabs>
                <w:tab w:val="left" w:pos="1701"/>
              </w:tabs>
              <w:rPr>
                <w:b/>
                <w:snapToGrid w:val="0"/>
              </w:rPr>
            </w:pPr>
          </w:p>
        </w:tc>
        <w:tc>
          <w:tcPr>
            <w:tcW w:w="6946" w:type="dxa"/>
            <w:gridSpan w:val="2"/>
          </w:tcPr>
          <w:p w:rsidR="00155963" w:rsidRPr="00D274DC" w:rsidRDefault="00155963" w:rsidP="00155963">
            <w:pPr>
              <w:tabs>
                <w:tab w:val="left" w:pos="1701"/>
              </w:tabs>
              <w:rPr>
                <w:b/>
                <w:snapToGrid w:val="0"/>
              </w:rPr>
            </w:pPr>
            <w:r w:rsidRPr="00D274DC">
              <w:rPr>
                <w:b/>
                <w:snapToGrid w:val="0"/>
              </w:rPr>
              <w:t>EU-överläggning med regeringen enligt RO 7 kap. 12 § om</w:t>
            </w:r>
            <w:r w:rsidR="00CA6BB2" w:rsidRPr="00D274DC">
              <w:t xml:space="preserve"> </w:t>
            </w:r>
            <w:r w:rsidR="00CA6BB2" w:rsidRPr="00D274DC">
              <w:rPr>
                <w:b/>
                <w:snapToGrid w:val="0"/>
              </w:rPr>
              <w:t xml:space="preserve">förslag till omarbetning av förordningen om </w:t>
            </w:r>
            <w:proofErr w:type="gramStart"/>
            <w:r w:rsidR="00CA6BB2" w:rsidRPr="00D274DC">
              <w:rPr>
                <w:b/>
                <w:snapToGrid w:val="0"/>
              </w:rPr>
              <w:t>Europeiska</w:t>
            </w:r>
            <w:proofErr w:type="gramEnd"/>
            <w:r w:rsidR="00CA6BB2" w:rsidRPr="00D274DC">
              <w:rPr>
                <w:b/>
                <w:snapToGrid w:val="0"/>
              </w:rPr>
              <w:t xml:space="preserve"> institutet för innovation och teknik (EIT) samt förslag till strategiskt innovationsprogram för EIT för perioden 2021-27</w:t>
            </w:r>
            <w:r w:rsidRPr="00D274DC">
              <w:rPr>
                <w:b/>
                <w:snapToGrid w:val="0"/>
              </w:rPr>
              <w:br/>
            </w:r>
          </w:p>
          <w:p w:rsidR="00C33798" w:rsidRPr="00D274DC" w:rsidRDefault="00C33798" w:rsidP="00C33798">
            <w:pPr>
              <w:tabs>
                <w:tab w:val="left" w:pos="1701"/>
              </w:tabs>
              <w:rPr>
                <w:i/>
                <w:color w:val="000000"/>
                <w:szCs w:val="24"/>
              </w:rPr>
            </w:pPr>
            <w:r w:rsidRPr="00D274DC">
              <w:rPr>
                <w:snapToGrid w:val="0"/>
              </w:rPr>
              <w:t>Utskottet överlade med s</w:t>
            </w:r>
            <w:r w:rsidRPr="00D274DC">
              <w:rPr>
                <w:color w:val="000000"/>
                <w:szCs w:val="24"/>
              </w:rPr>
              <w:t xml:space="preserve">tatssekreteraren Malin </w:t>
            </w:r>
            <w:proofErr w:type="spellStart"/>
            <w:r w:rsidRPr="00D274DC">
              <w:rPr>
                <w:color w:val="000000"/>
                <w:szCs w:val="24"/>
              </w:rPr>
              <w:t>Cederfeldt</w:t>
            </w:r>
            <w:proofErr w:type="spellEnd"/>
            <w:r w:rsidRPr="00D274DC">
              <w:rPr>
                <w:color w:val="000000"/>
                <w:szCs w:val="24"/>
              </w:rPr>
              <w:t xml:space="preserve"> Östberg med medarbetare från Utbildningsdepartementet om </w:t>
            </w:r>
            <w:r w:rsidR="00CA6BB2" w:rsidRPr="00D274DC">
              <w:rPr>
                <w:color w:val="000000"/>
                <w:szCs w:val="24"/>
              </w:rPr>
              <w:t xml:space="preserve">förslag till omarbetning av förordningen om </w:t>
            </w:r>
            <w:proofErr w:type="gramStart"/>
            <w:r w:rsidR="00CA6BB2" w:rsidRPr="00D274DC">
              <w:rPr>
                <w:color w:val="000000"/>
                <w:szCs w:val="24"/>
              </w:rPr>
              <w:t>Europeiska</w:t>
            </w:r>
            <w:proofErr w:type="gramEnd"/>
            <w:r w:rsidR="00CA6BB2" w:rsidRPr="00D274DC">
              <w:rPr>
                <w:color w:val="000000"/>
                <w:szCs w:val="24"/>
              </w:rPr>
              <w:t xml:space="preserve"> institutet för innovation och teknik (EIT) samt förslag till strategiskt innovationsprogram för EIT för perioden 2021-27.</w:t>
            </w:r>
            <w:r w:rsidRPr="00D274DC">
              <w:rPr>
                <w:color w:val="000000"/>
                <w:szCs w:val="24"/>
              </w:rPr>
              <w:br/>
            </w:r>
            <w:r w:rsidRPr="00D274DC">
              <w:rPr>
                <w:color w:val="000000"/>
                <w:szCs w:val="24"/>
              </w:rPr>
              <w:br/>
            </w:r>
            <w:r w:rsidRPr="00D274DC">
              <w:rPr>
                <w:i/>
                <w:color w:val="000000"/>
                <w:szCs w:val="24"/>
              </w:rPr>
              <w:t>Underlag för överläggningen</w:t>
            </w:r>
          </w:p>
          <w:p w:rsidR="00C33798" w:rsidRPr="00D274DC" w:rsidRDefault="00C33798" w:rsidP="00C33798">
            <w:pPr>
              <w:tabs>
                <w:tab w:val="left" w:pos="1701"/>
              </w:tabs>
              <w:rPr>
                <w:color w:val="000000"/>
                <w:szCs w:val="24"/>
              </w:rPr>
            </w:pPr>
            <w:r w:rsidRPr="00D274DC">
              <w:rPr>
                <w:color w:val="000000"/>
                <w:szCs w:val="24"/>
              </w:rPr>
              <w:t xml:space="preserve">Promemoria från Utbildningsdepartementet (Dnr </w:t>
            </w:r>
            <w:proofErr w:type="gramStart"/>
            <w:r w:rsidR="00CA6BB2" w:rsidRPr="00D274DC">
              <w:rPr>
                <w:color w:val="000000"/>
                <w:szCs w:val="24"/>
              </w:rPr>
              <w:t>563</w:t>
            </w:r>
            <w:r w:rsidRPr="00D274DC">
              <w:rPr>
                <w:color w:val="000000"/>
                <w:szCs w:val="24"/>
              </w:rPr>
              <w:t>-2019</w:t>
            </w:r>
            <w:proofErr w:type="gramEnd"/>
            <w:r w:rsidRPr="00D274DC">
              <w:rPr>
                <w:color w:val="000000"/>
                <w:szCs w:val="24"/>
              </w:rPr>
              <w:t>/20)</w:t>
            </w:r>
          </w:p>
          <w:p w:rsidR="00CA6BB2" w:rsidRPr="00D274DC" w:rsidRDefault="00CA6BB2" w:rsidP="00CA6BB2">
            <w:pPr>
              <w:tabs>
                <w:tab w:val="left" w:pos="1701"/>
              </w:tabs>
              <w:rPr>
                <w:color w:val="000000"/>
                <w:szCs w:val="24"/>
              </w:rPr>
            </w:pPr>
            <w:r w:rsidRPr="00D274DC">
              <w:rPr>
                <w:color w:val="000000"/>
                <w:szCs w:val="24"/>
              </w:rPr>
              <w:t>Rådsdokument 13472/19 (</w:t>
            </w:r>
            <w:r w:rsidR="00F1215A">
              <w:rPr>
                <w:color w:val="000000"/>
                <w:szCs w:val="24"/>
              </w:rPr>
              <w:t>f</w:t>
            </w:r>
            <w:r w:rsidRPr="00D274DC">
              <w:rPr>
                <w:color w:val="000000"/>
                <w:szCs w:val="24"/>
              </w:rPr>
              <w:t xml:space="preserve">örordning för EIT) </w:t>
            </w:r>
          </w:p>
          <w:p w:rsidR="00CA6BB2" w:rsidRPr="00D274DC" w:rsidRDefault="00CA6BB2" w:rsidP="00CA6BB2">
            <w:pPr>
              <w:tabs>
                <w:tab w:val="left" w:pos="1701"/>
              </w:tabs>
              <w:rPr>
                <w:color w:val="000000"/>
                <w:szCs w:val="24"/>
              </w:rPr>
            </w:pPr>
            <w:r w:rsidRPr="00D274DC">
              <w:rPr>
                <w:color w:val="000000"/>
                <w:szCs w:val="24"/>
              </w:rPr>
              <w:t>Rådsdokument 13723/19 (Strategiska innovationsprogrammet)</w:t>
            </w:r>
          </w:p>
          <w:p w:rsidR="00C33798" w:rsidRPr="00D274DC" w:rsidRDefault="00CA6BB2" w:rsidP="00CA6BB2">
            <w:pPr>
              <w:tabs>
                <w:tab w:val="left" w:pos="1701"/>
              </w:tabs>
              <w:rPr>
                <w:i/>
                <w:color w:val="000000"/>
                <w:szCs w:val="24"/>
              </w:rPr>
            </w:pPr>
            <w:r w:rsidRPr="00D274DC">
              <w:rPr>
                <w:color w:val="000000"/>
                <w:szCs w:val="24"/>
              </w:rPr>
              <w:lastRenderedPageBreak/>
              <w:t>Rådsdokument 13726/19 (</w:t>
            </w:r>
            <w:r w:rsidR="00F1215A">
              <w:rPr>
                <w:color w:val="000000"/>
                <w:szCs w:val="24"/>
              </w:rPr>
              <w:t>s</w:t>
            </w:r>
            <w:r w:rsidRPr="00D274DC">
              <w:rPr>
                <w:color w:val="000000"/>
                <w:szCs w:val="24"/>
              </w:rPr>
              <w:t>tadga för EIT)</w:t>
            </w:r>
            <w:r w:rsidRPr="00D274DC">
              <w:rPr>
                <w:color w:val="000000"/>
                <w:szCs w:val="24"/>
              </w:rPr>
              <w:br/>
            </w:r>
            <w:r w:rsidR="00C33798" w:rsidRPr="00D274DC">
              <w:rPr>
                <w:color w:val="000000"/>
                <w:szCs w:val="24"/>
              </w:rPr>
              <w:br/>
            </w:r>
            <w:r w:rsidR="00C33798" w:rsidRPr="00D274DC">
              <w:rPr>
                <w:i/>
                <w:color w:val="000000"/>
                <w:szCs w:val="24"/>
              </w:rPr>
              <w:t>Regeringens förslag till svensk ståndpunkt</w:t>
            </w:r>
          </w:p>
          <w:p w:rsidR="00CA6BB2" w:rsidRPr="00D274DC" w:rsidRDefault="00CA6BB2" w:rsidP="00CA6BB2">
            <w:pPr>
              <w:tabs>
                <w:tab w:val="left" w:pos="1701"/>
              </w:tabs>
              <w:rPr>
                <w:color w:val="000000"/>
                <w:szCs w:val="24"/>
              </w:rPr>
            </w:pPr>
            <w:r w:rsidRPr="00D274DC">
              <w:rPr>
                <w:color w:val="000000"/>
                <w:szCs w:val="24"/>
              </w:rPr>
              <w:t>Regeringen anser att modellen från det europeiska institutet för</w:t>
            </w:r>
          </w:p>
          <w:p w:rsidR="00CA6BB2" w:rsidRPr="00D274DC" w:rsidRDefault="00CA6BB2" w:rsidP="00CA6BB2">
            <w:pPr>
              <w:tabs>
                <w:tab w:val="left" w:pos="1701"/>
              </w:tabs>
              <w:rPr>
                <w:color w:val="000000"/>
                <w:szCs w:val="24"/>
              </w:rPr>
            </w:pPr>
            <w:r w:rsidRPr="00D274DC">
              <w:rPr>
                <w:color w:val="000000"/>
                <w:szCs w:val="24"/>
              </w:rPr>
              <w:t>innovation och teknik (EIT) med integration av kunskapstriangeln</w:t>
            </w:r>
          </w:p>
          <w:p w:rsidR="00CA6BB2" w:rsidRPr="00D274DC" w:rsidRDefault="00CA6BB2" w:rsidP="00CA6BB2">
            <w:pPr>
              <w:tabs>
                <w:tab w:val="left" w:pos="1701"/>
              </w:tabs>
              <w:rPr>
                <w:color w:val="000000"/>
                <w:szCs w:val="24"/>
              </w:rPr>
            </w:pPr>
            <w:r w:rsidRPr="00D274DC">
              <w:rPr>
                <w:color w:val="000000"/>
                <w:szCs w:val="24"/>
              </w:rPr>
              <w:t>(som omfattar forskning, utbildning och innovation), med inriktning</w:t>
            </w:r>
          </w:p>
          <w:p w:rsidR="00CA6BB2" w:rsidRPr="00D274DC" w:rsidRDefault="00CA6BB2" w:rsidP="00CA6BB2">
            <w:pPr>
              <w:tabs>
                <w:tab w:val="left" w:pos="1701"/>
              </w:tabs>
              <w:rPr>
                <w:color w:val="000000"/>
                <w:szCs w:val="24"/>
              </w:rPr>
            </w:pPr>
            <w:r w:rsidRPr="00D274DC">
              <w:rPr>
                <w:color w:val="000000"/>
                <w:szCs w:val="24"/>
              </w:rPr>
              <w:t>på samhällsutmaningar och syftande till global konkurrenskraft, på ett</w:t>
            </w:r>
          </w:p>
          <w:p w:rsidR="00CA6BB2" w:rsidRPr="00D274DC" w:rsidRDefault="00CA6BB2" w:rsidP="00CA6BB2">
            <w:pPr>
              <w:tabs>
                <w:tab w:val="left" w:pos="1701"/>
              </w:tabs>
              <w:rPr>
                <w:color w:val="000000"/>
                <w:szCs w:val="24"/>
              </w:rPr>
            </w:pPr>
            <w:r w:rsidRPr="00D274DC">
              <w:rPr>
                <w:color w:val="000000"/>
                <w:szCs w:val="24"/>
              </w:rPr>
              <w:t>konkret sätt kan ge ett europeiskt mervärde.</w:t>
            </w:r>
          </w:p>
          <w:p w:rsidR="00CA6BB2" w:rsidRPr="00D274DC" w:rsidRDefault="00CA6BB2" w:rsidP="00CA6BB2">
            <w:pPr>
              <w:tabs>
                <w:tab w:val="left" w:pos="1701"/>
              </w:tabs>
              <w:rPr>
                <w:color w:val="000000"/>
                <w:szCs w:val="24"/>
              </w:rPr>
            </w:pPr>
          </w:p>
          <w:p w:rsidR="00CA6BB2" w:rsidRPr="00D274DC" w:rsidRDefault="00CA6BB2" w:rsidP="00CA6BB2">
            <w:pPr>
              <w:tabs>
                <w:tab w:val="left" w:pos="1701"/>
              </w:tabs>
              <w:rPr>
                <w:color w:val="000000"/>
                <w:szCs w:val="24"/>
              </w:rPr>
            </w:pPr>
            <w:r w:rsidRPr="00D274DC">
              <w:rPr>
                <w:color w:val="000000"/>
                <w:szCs w:val="24"/>
              </w:rPr>
              <w:t>Regeringen betonar vikten av att EIT skapar synergier med andra</w:t>
            </w:r>
          </w:p>
          <w:p w:rsidR="00CA6BB2" w:rsidRPr="00D274DC" w:rsidRDefault="00CA6BB2" w:rsidP="00CA6BB2">
            <w:pPr>
              <w:tabs>
                <w:tab w:val="left" w:pos="1701"/>
              </w:tabs>
              <w:rPr>
                <w:color w:val="000000"/>
                <w:szCs w:val="24"/>
              </w:rPr>
            </w:pPr>
            <w:r w:rsidRPr="00D274DC">
              <w:rPr>
                <w:color w:val="000000"/>
                <w:szCs w:val="24"/>
              </w:rPr>
              <w:t>program och initiativ på EU- och nationell nivå, särskilt med</w:t>
            </w:r>
          </w:p>
          <w:p w:rsidR="00CA6BB2" w:rsidRPr="00D274DC" w:rsidRDefault="00CA6BB2" w:rsidP="00CA6BB2">
            <w:pPr>
              <w:tabs>
                <w:tab w:val="left" w:pos="1701"/>
              </w:tabs>
              <w:rPr>
                <w:color w:val="000000"/>
                <w:szCs w:val="24"/>
              </w:rPr>
            </w:pPr>
            <w:r w:rsidRPr="00D274DC">
              <w:rPr>
                <w:color w:val="000000"/>
                <w:szCs w:val="24"/>
              </w:rPr>
              <w:t>Europeiska innovationsrådet, samt tydligare roll för</w:t>
            </w:r>
          </w:p>
          <w:p w:rsidR="00CA6BB2" w:rsidRPr="00D274DC" w:rsidRDefault="00CA6BB2" w:rsidP="00CA6BB2">
            <w:pPr>
              <w:tabs>
                <w:tab w:val="left" w:pos="1701"/>
              </w:tabs>
              <w:rPr>
                <w:color w:val="000000"/>
                <w:szCs w:val="24"/>
              </w:rPr>
            </w:pPr>
            <w:r w:rsidRPr="00D274DC">
              <w:rPr>
                <w:color w:val="000000"/>
                <w:szCs w:val="24"/>
              </w:rPr>
              <w:t>medlemsstaternas grupp av företrädare. Regeringen anser även att det</w:t>
            </w:r>
          </w:p>
          <w:p w:rsidR="00CA6BB2" w:rsidRPr="00D274DC" w:rsidRDefault="00CA6BB2" w:rsidP="00CA6BB2">
            <w:pPr>
              <w:tabs>
                <w:tab w:val="left" w:pos="1701"/>
              </w:tabs>
              <w:rPr>
                <w:color w:val="000000"/>
                <w:szCs w:val="24"/>
              </w:rPr>
            </w:pPr>
            <w:r w:rsidRPr="00D274DC">
              <w:rPr>
                <w:color w:val="000000"/>
                <w:szCs w:val="24"/>
              </w:rPr>
              <w:t>är viktigt med en internationell öppenhet, att excellens främjas i</w:t>
            </w:r>
          </w:p>
          <w:p w:rsidR="00CA6BB2" w:rsidRPr="00D274DC" w:rsidRDefault="00CA6BB2" w:rsidP="00CA6BB2">
            <w:pPr>
              <w:tabs>
                <w:tab w:val="left" w:pos="1701"/>
              </w:tabs>
              <w:rPr>
                <w:color w:val="000000"/>
                <w:szCs w:val="24"/>
              </w:rPr>
            </w:pPr>
            <w:r w:rsidRPr="00D274DC">
              <w:rPr>
                <w:color w:val="000000"/>
                <w:szCs w:val="24"/>
              </w:rPr>
              <w:t>kunskapstriangelns alla delar samt att näringslivet aktivt deltar.</w:t>
            </w:r>
          </w:p>
          <w:p w:rsidR="00CA6BB2" w:rsidRPr="00D274DC" w:rsidRDefault="00CA6BB2" w:rsidP="00CA6BB2">
            <w:pPr>
              <w:tabs>
                <w:tab w:val="left" w:pos="1701"/>
              </w:tabs>
              <w:rPr>
                <w:color w:val="000000"/>
                <w:szCs w:val="24"/>
              </w:rPr>
            </w:pPr>
          </w:p>
          <w:p w:rsidR="00CA6BB2" w:rsidRPr="00D274DC" w:rsidRDefault="00CA6BB2" w:rsidP="00CA6BB2">
            <w:pPr>
              <w:tabs>
                <w:tab w:val="left" w:pos="1701"/>
              </w:tabs>
              <w:rPr>
                <w:color w:val="000000"/>
                <w:szCs w:val="24"/>
              </w:rPr>
            </w:pPr>
            <w:r w:rsidRPr="00D274DC">
              <w:rPr>
                <w:color w:val="000000"/>
                <w:szCs w:val="24"/>
              </w:rPr>
              <w:t>Det är positivt att stärka den regionala förankringen av Kunskaps</w:t>
            </w:r>
            <w:r w:rsidR="007D0184" w:rsidRPr="00D274DC">
              <w:rPr>
                <w:color w:val="000000"/>
                <w:szCs w:val="24"/>
              </w:rPr>
              <w:t xml:space="preserve">- </w:t>
            </w:r>
            <w:r w:rsidRPr="00D274DC">
              <w:rPr>
                <w:color w:val="000000"/>
                <w:szCs w:val="24"/>
              </w:rPr>
              <w:t>och</w:t>
            </w:r>
          </w:p>
          <w:p w:rsidR="00CA6BB2" w:rsidRPr="00D274DC" w:rsidRDefault="00CA6BB2" w:rsidP="00CA6BB2">
            <w:pPr>
              <w:tabs>
                <w:tab w:val="left" w:pos="1701"/>
              </w:tabs>
              <w:rPr>
                <w:color w:val="000000"/>
                <w:szCs w:val="24"/>
              </w:rPr>
            </w:pPr>
            <w:r w:rsidRPr="00D274DC">
              <w:rPr>
                <w:color w:val="000000"/>
                <w:szCs w:val="24"/>
              </w:rPr>
              <w:t>innovationsgruppernas (KI-gruppernas) verksamhet. Regeringen</w:t>
            </w:r>
          </w:p>
          <w:p w:rsidR="00CA6BB2" w:rsidRPr="00D274DC" w:rsidRDefault="00CA6BB2" w:rsidP="00CA6BB2">
            <w:pPr>
              <w:tabs>
                <w:tab w:val="left" w:pos="1701"/>
              </w:tabs>
              <w:rPr>
                <w:color w:val="000000"/>
                <w:szCs w:val="24"/>
              </w:rPr>
            </w:pPr>
            <w:r w:rsidRPr="00D274DC">
              <w:rPr>
                <w:color w:val="000000"/>
                <w:szCs w:val="24"/>
              </w:rPr>
              <w:t>anser att Sverige kan ställa sig bakom förslaget på kulturella och</w:t>
            </w:r>
          </w:p>
          <w:p w:rsidR="00CA6BB2" w:rsidRPr="00D274DC" w:rsidRDefault="00CA6BB2" w:rsidP="00CA6BB2">
            <w:pPr>
              <w:tabs>
                <w:tab w:val="left" w:pos="1701"/>
              </w:tabs>
              <w:rPr>
                <w:color w:val="000000"/>
                <w:szCs w:val="24"/>
              </w:rPr>
            </w:pPr>
            <w:r w:rsidRPr="00D274DC">
              <w:rPr>
                <w:color w:val="000000"/>
                <w:szCs w:val="24"/>
              </w:rPr>
              <w:t>kreativa näringar som ett område för en ny KI-grupp. Regeringen</w:t>
            </w:r>
          </w:p>
          <w:p w:rsidR="00CA6BB2" w:rsidRPr="00D274DC" w:rsidRDefault="00CA6BB2" w:rsidP="00CA6BB2">
            <w:pPr>
              <w:tabs>
                <w:tab w:val="left" w:pos="1701"/>
              </w:tabs>
              <w:rPr>
                <w:color w:val="000000"/>
                <w:szCs w:val="24"/>
              </w:rPr>
            </w:pPr>
            <w:r w:rsidRPr="00D274DC">
              <w:rPr>
                <w:color w:val="000000"/>
                <w:szCs w:val="24"/>
              </w:rPr>
              <w:t>anser att de kulturella och kreativa näringarna har potential att främja</w:t>
            </w:r>
          </w:p>
          <w:p w:rsidR="00CA6BB2" w:rsidRPr="00D274DC" w:rsidRDefault="00CA6BB2" w:rsidP="00CA6BB2">
            <w:pPr>
              <w:tabs>
                <w:tab w:val="left" w:pos="1701"/>
              </w:tabs>
              <w:rPr>
                <w:color w:val="000000"/>
                <w:szCs w:val="24"/>
              </w:rPr>
            </w:pPr>
            <w:r w:rsidRPr="00D274DC">
              <w:rPr>
                <w:color w:val="000000"/>
                <w:szCs w:val="24"/>
              </w:rPr>
              <w:t>europeisk konkurrenskraft och stärka andra insatser inom områden</w:t>
            </w:r>
          </w:p>
          <w:p w:rsidR="00CA6BB2" w:rsidRPr="00D274DC" w:rsidRDefault="00CA6BB2" w:rsidP="00CA6BB2">
            <w:pPr>
              <w:tabs>
                <w:tab w:val="left" w:pos="1701"/>
              </w:tabs>
              <w:rPr>
                <w:color w:val="000000"/>
                <w:szCs w:val="24"/>
              </w:rPr>
            </w:pPr>
            <w:r w:rsidRPr="00D274DC">
              <w:rPr>
                <w:color w:val="000000"/>
                <w:szCs w:val="24"/>
              </w:rPr>
              <w:t>såsom kulturarv, demokrati, social inkludering och social innovation.</w:t>
            </w:r>
          </w:p>
          <w:p w:rsidR="00CA6BB2" w:rsidRPr="00D274DC" w:rsidRDefault="00CA6BB2" w:rsidP="00CA6BB2">
            <w:pPr>
              <w:tabs>
                <w:tab w:val="left" w:pos="1701"/>
              </w:tabs>
              <w:rPr>
                <w:color w:val="000000"/>
                <w:szCs w:val="24"/>
              </w:rPr>
            </w:pPr>
          </w:p>
          <w:p w:rsidR="00CA6BB2" w:rsidRPr="00D274DC" w:rsidRDefault="00CA6BB2" w:rsidP="00CA6BB2">
            <w:pPr>
              <w:tabs>
                <w:tab w:val="left" w:pos="1701"/>
              </w:tabs>
              <w:rPr>
                <w:color w:val="000000"/>
                <w:szCs w:val="24"/>
              </w:rPr>
            </w:pPr>
            <w:r w:rsidRPr="00D274DC">
              <w:rPr>
                <w:color w:val="000000"/>
                <w:szCs w:val="24"/>
              </w:rPr>
              <w:t>När KI-grupperna inte längre erhåller medfinansiering från EIT,</w:t>
            </w:r>
          </w:p>
          <w:p w:rsidR="00CA6BB2" w:rsidRPr="00D274DC" w:rsidRDefault="00CA6BB2" w:rsidP="00CA6BB2">
            <w:pPr>
              <w:tabs>
                <w:tab w:val="left" w:pos="1701"/>
              </w:tabs>
              <w:rPr>
                <w:color w:val="000000"/>
                <w:szCs w:val="24"/>
              </w:rPr>
            </w:pPr>
            <w:r w:rsidRPr="00D274DC">
              <w:rPr>
                <w:color w:val="000000"/>
                <w:szCs w:val="24"/>
              </w:rPr>
              <w:t>anser regeringen att de bör kunna erhålla strategiskt stöd från EIT</w:t>
            </w:r>
          </w:p>
          <w:p w:rsidR="00CA6BB2" w:rsidRPr="00D274DC" w:rsidRDefault="00CA6BB2" w:rsidP="00CA6BB2">
            <w:pPr>
              <w:tabs>
                <w:tab w:val="left" w:pos="1701"/>
              </w:tabs>
              <w:rPr>
                <w:color w:val="000000"/>
                <w:szCs w:val="24"/>
              </w:rPr>
            </w:pPr>
            <w:r w:rsidRPr="00D274DC">
              <w:rPr>
                <w:color w:val="000000"/>
                <w:szCs w:val="24"/>
              </w:rPr>
              <w:t>för att uppnå finansiell hållbarhet. Stödet kan till exempel bestå av</w:t>
            </w:r>
          </w:p>
          <w:p w:rsidR="00CA6BB2" w:rsidRPr="00D274DC" w:rsidRDefault="00CA6BB2" w:rsidP="00CA6BB2">
            <w:pPr>
              <w:tabs>
                <w:tab w:val="left" w:pos="1701"/>
              </w:tabs>
              <w:rPr>
                <w:color w:val="000000"/>
                <w:szCs w:val="24"/>
              </w:rPr>
            </w:pPr>
            <w:r w:rsidRPr="00D274DC">
              <w:rPr>
                <w:color w:val="000000"/>
                <w:szCs w:val="24"/>
              </w:rPr>
              <w:t>rådgivning om hur KI-grupperna kan attrahera medel från andra EU-program, privata investeringar och andra finansieringskällor. Även</w:t>
            </w:r>
          </w:p>
          <w:p w:rsidR="00CA6BB2" w:rsidRPr="00D274DC" w:rsidRDefault="00CA6BB2" w:rsidP="00CA6BB2">
            <w:pPr>
              <w:tabs>
                <w:tab w:val="left" w:pos="1701"/>
              </w:tabs>
              <w:rPr>
                <w:color w:val="000000"/>
                <w:szCs w:val="24"/>
              </w:rPr>
            </w:pPr>
            <w:r w:rsidRPr="00D274DC">
              <w:rPr>
                <w:color w:val="000000"/>
                <w:szCs w:val="24"/>
              </w:rPr>
              <w:t>efter det att medfinansiering från EIT upphört, bör KI-grupper ges</w:t>
            </w:r>
          </w:p>
          <w:p w:rsidR="00CA6BB2" w:rsidRPr="00D274DC" w:rsidRDefault="00CA6BB2" w:rsidP="00CA6BB2">
            <w:pPr>
              <w:tabs>
                <w:tab w:val="left" w:pos="1701"/>
              </w:tabs>
              <w:rPr>
                <w:color w:val="000000"/>
                <w:szCs w:val="24"/>
              </w:rPr>
            </w:pPr>
            <w:r w:rsidRPr="00D274DC">
              <w:rPr>
                <w:color w:val="000000"/>
                <w:szCs w:val="24"/>
              </w:rPr>
              <w:t>möjlighet att delta i EIT-finansierade aktiviteter.</w:t>
            </w:r>
          </w:p>
          <w:p w:rsidR="00CA6BB2" w:rsidRPr="00D274DC" w:rsidRDefault="00CA6BB2" w:rsidP="00CA6BB2">
            <w:pPr>
              <w:tabs>
                <w:tab w:val="left" w:pos="1701"/>
              </w:tabs>
              <w:rPr>
                <w:color w:val="000000"/>
                <w:szCs w:val="24"/>
              </w:rPr>
            </w:pPr>
          </w:p>
          <w:p w:rsidR="00CA6BB2" w:rsidRPr="00D274DC" w:rsidRDefault="00CA6BB2" w:rsidP="00CA6BB2">
            <w:pPr>
              <w:tabs>
                <w:tab w:val="left" w:pos="1701"/>
              </w:tabs>
              <w:rPr>
                <w:color w:val="000000"/>
                <w:szCs w:val="24"/>
              </w:rPr>
            </w:pPr>
            <w:r w:rsidRPr="00D274DC">
              <w:rPr>
                <w:color w:val="000000"/>
                <w:szCs w:val="24"/>
              </w:rPr>
              <w:t>Vidare anser regeringen att förslag till nya KI-grupper bör beredas</w:t>
            </w:r>
          </w:p>
          <w:p w:rsidR="00CA6BB2" w:rsidRPr="00D274DC" w:rsidRDefault="00CA6BB2" w:rsidP="00CA6BB2">
            <w:pPr>
              <w:tabs>
                <w:tab w:val="left" w:pos="1701"/>
              </w:tabs>
              <w:rPr>
                <w:color w:val="000000"/>
                <w:szCs w:val="24"/>
              </w:rPr>
            </w:pPr>
            <w:r w:rsidRPr="00D274DC">
              <w:rPr>
                <w:color w:val="000000"/>
                <w:szCs w:val="24"/>
              </w:rPr>
              <w:t>inom ramen för den strategiska planeringsprocessen för Horisont</w:t>
            </w:r>
          </w:p>
          <w:p w:rsidR="00C33798" w:rsidRPr="00D274DC" w:rsidRDefault="00CA6BB2" w:rsidP="00CA6BB2">
            <w:pPr>
              <w:tabs>
                <w:tab w:val="left" w:pos="1701"/>
              </w:tabs>
              <w:rPr>
                <w:i/>
                <w:color w:val="000000"/>
                <w:szCs w:val="24"/>
              </w:rPr>
            </w:pPr>
            <w:r w:rsidRPr="00D274DC">
              <w:rPr>
                <w:color w:val="000000"/>
                <w:szCs w:val="24"/>
              </w:rPr>
              <w:t>Europa.</w:t>
            </w:r>
            <w:r w:rsidR="00C33798" w:rsidRPr="00D274DC">
              <w:rPr>
                <w:color w:val="000000"/>
                <w:szCs w:val="24"/>
              </w:rPr>
              <w:br/>
            </w:r>
            <w:r w:rsidR="00C33798" w:rsidRPr="00D274DC">
              <w:rPr>
                <w:color w:val="000000"/>
                <w:szCs w:val="24"/>
              </w:rPr>
              <w:br/>
            </w:r>
            <w:r w:rsidR="00C33798" w:rsidRPr="00D274DC">
              <w:rPr>
                <w:i/>
                <w:color w:val="000000"/>
                <w:szCs w:val="24"/>
              </w:rPr>
              <w:t>Utskottet</w:t>
            </w:r>
          </w:p>
          <w:p w:rsidR="00C33798" w:rsidRPr="00D274DC" w:rsidRDefault="00C33798" w:rsidP="00C33798">
            <w:pPr>
              <w:tabs>
                <w:tab w:val="left" w:pos="1701"/>
              </w:tabs>
              <w:rPr>
                <w:color w:val="000000"/>
                <w:szCs w:val="24"/>
              </w:rPr>
            </w:pPr>
            <w:r w:rsidRPr="00D274DC">
              <w:rPr>
                <w:color w:val="000000"/>
                <w:szCs w:val="24"/>
              </w:rPr>
              <w:t xml:space="preserve">Ordföranden konstaterade att det fanns stöd i utskottet för regeringens ståndpunkt. </w:t>
            </w:r>
          </w:p>
          <w:p w:rsidR="00C33798" w:rsidRPr="00D274DC" w:rsidRDefault="00C33798" w:rsidP="00C33798">
            <w:pPr>
              <w:tabs>
                <w:tab w:val="left" w:pos="1701"/>
              </w:tabs>
              <w:rPr>
                <w:color w:val="000000"/>
                <w:szCs w:val="24"/>
              </w:rPr>
            </w:pPr>
          </w:p>
          <w:p w:rsidR="00C33798" w:rsidRPr="00D274DC" w:rsidRDefault="00C33798" w:rsidP="00C33798">
            <w:pPr>
              <w:tabs>
                <w:tab w:val="left" w:pos="1701"/>
              </w:tabs>
              <w:rPr>
                <w:color w:val="000000"/>
                <w:szCs w:val="24"/>
              </w:rPr>
            </w:pPr>
            <w:r w:rsidRPr="00D274DC">
              <w:rPr>
                <w:color w:val="000000"/>
                <w:szCs w:val="24"/>
              </w:rPr>
              <w:t>Denna paragraf förklarades omedelbart justerad.</w:t>
            </w:r>
          </w:p>
          <w:p w:rsidR="00155963" w:rsidRPr="00D274DC" w:rsidRDefault="00155963" w:rsidP="00C33798">
            <w:pPr>
              <w:tabs>
                <w:tab w:val="left" w:pos="1701"/>
              </w:tabs>
              <w:rPr>
                <w:b/>
                <w:snapToGrid w:val="0"/>
              </w:rPr>
            </w:pPr>
          </w:p>
        </w:tc>
      </w:tr>
      <w:tr w:rsidR="00C33798" w:rsidTr="0001177E">
        <w:tc>
          <w:tcPr>
            <w:tcW w:w="567" w:type="dxa"/>
          </w:tcPr>
          <w:p w:rsidR="00C33798" w:rsidRPr="003B4DE8" w:rsidRDefault="00C33798" w:rsidP="003B4DE8">
            <w:pPr>
              <w:pStyle w:val="Liststycke"/>
              <w:numPr>
                <w:ilvl w:val="0"/>
                <w:numId w:val="2"/>
              </w:numPr>
              <w:tabs>
                <w:tab w:val="left" w:pos="1701"/>
              </w:tabs>
              <w:rPr>
                <w:b/>
                <w:snapToGrid w:val="0"/>
              </w:rPr>
            </w:pPr>
          </w:p>
        </w:tc>
        <w:tc>
          <w:tcPr>
            <w:tcW w:w="6946" w:type="dxa"/>
            <w:gridSpan w:val="2"/>
          </w:tcPr>
          <w:p w:rsidR="00C33798" w:rsidRPr="00D274DC" w:rsidRDefault="00C33798" w:rsidP="00155963">
            <w:pPr>
              <w:tabs>
                <w:tab w:val="left" w:pos="1701"/>
              </w:tabs>
              <w:rPr>
                <w:b/>
                <w:snapToGrid w:val="0"/>
              </w:rPr>
            </w:pPr>
            <w:r w:rsidRPr="00D274DC">
              <w:rPr>
                <w:b/>
                <w:snapToGrid w:val="0"/>
              </w:rPr>
              <w:t>EU-överläggning med regeringen enligt RO 7 kap. 12 § om</w:t>
            </w:r>
            <w:r w:rsidR="00CA6BB2" w:rsidRPr="00D274DC">
              <w:rPr>
                <w:b/>
                <w:snapToGrid w:val="0"/>
              </w:rPr>
              <w:t xml:space="preserve"> Horisont Europa – inledande skäl samt bilaga IV: Synergieffekter med andra program</w:t>
            </w:r>
          </w:p>
          <w:p w:rsidR="00C33798" w:rsidRPr="00D274DC" w:rsidRDefault="00C33798" w:rsidP="00155963">
            <w:pPr>
              <w:tabs>
                <w:tab w:val="left" w:pos="1701"/>
              </w:tabs>
              <w:rPr>
                <w:b/>
                <w:snapToGrid w:val="0"/>
              </w:rPr>
            </w:pPr>
          </w:p>
          <w:p w:rsidR="00C33798" w:rsidRPr="00D274DC" w:rsidRDefault="00C33798" w:rsidP="00C33798">
            <w:pPr>
              <w:tabs>
                <w:tab w:val="left" w:pos="1701"/>
              </w:tabs>
              <w:rPr>
                <w:i/>
                <w:color w:val="000000"/>
                <w:szCs w:val="24"/>
              </w:rPr>
            </w:pPr>
            <w:r w:rsidRPr="00D274DC">
              <w:rPr>
                <w:snapToGrid w:val="0"/>
              </w:rPr>
              <w:t>Utskottet överlade med s</w:t>
            </w:r>
            <w:r w:rsidRPr="00D274DC">
              <w:rPr>
                <w:color w:val="000000"/>
                <w:szCs w:val="24"/>
              </w:rPr>
              <w:t xml:space="preserve">tatssekreteraren Malin </w:t>
            </w:r>
            <w:proofErr w:type="spellStart"/>
            <w:r w:rsidRPr="00D274DC">
              <w:rPr>
                <w:color w:val="000000"/>
                <w:szCs w:val="24"/>
              </w:rPr>
              <w:t>Cederfeldt</w:t>
            </w:r>
            <w:proofErr w:type="spellEnd"/>
            <w:r w:rsidRPr="00D274DC">
              <w:rPr>
                <w:color w:val="000000"/>
                <w:szCs w:val="24"/>
              </w:rPr>
              <w:t xml:space="preserve"> Östberg med medarbetare från Utbildningsdepartementet </w:t>
            </w:r>
            <w:r w:rsidR="00CA6BB2" w:rsidRPr="00D274DC">
              <w:rPr>
                <w:color w:val="000000"/>
                <w:szCs w:val="24"/>
              </w:rPr>
              <w:t>om Horisont Europa – inledande skäl samt bilaga IV: Synergieffekter med andra program.</w:t>
            </w:r>
            <w:r w:rsidRPr="00D274DC">
              <w:rPr>
                <w:color w:val="000000"/>
                <w:szCs w:val="24"/>
              </w:rPr>
              <w:br/>
            </w:r>
            <w:r w:rsidRPr="00D274DC">
              <w:rPr>
                <w:color w:val="000000"/>
                <w:szCs w:val="24"/>
              </w:rPr>
              <w:br/>
            </w:r>
            <w:r w:rsidRPr="00D274DC">
              <w:rPr>
                <w:i/>
                <w:color w:val="000000"/>
                <w:szCs w:val="24"/>
              </w:rPr>
              <w:t>Underlag för överläggningen</w:t>
            </w:r>
          </w:p>
          <w:p w:rsidR="00C33798" w:rsidRPr="00D274DC" w:rsidRDefault="00C33798" w:rsidP="00C33798">
            <w:pPr>
              <w:tabs>
                <w:tab w:val="left" w:pos="1701"/>
              </w:tabs>
              <w:rPr>
                <w:color w:val="000000"/>
                <w:szCs w:val="24"/>
              </w:rPr>
            </w:pPr>
            <w:r w:rsidRPr="00D274DC">
              <w:rPr>
                <w:color w:val="000000"/>
                <w:szCs w:val="24"/>
              </w:rPr>
              <w:lastRenderedPageBreak/>
              <w:t xml:space="preserve">Promemoria från Utbildningsdepartementet (Dnr </w:t>
            </w:r>
            <w:proofErr w:type="gramStart"/>
            <w:r w:rsidR="00CA6BB2" w:rsidRPr="00D274DC">
              <w:rPr>
                <w:color w:val="000000"/>
                <w:szCs w:val="24"/>
              </w:rPr>
              <w:t>564</w:t>
            </w:r>
            <w:r w:rsidRPr="00D274DC">
              <w:rPr>
                <w:color w:val="000000"/>
                <w:szCs w:val="24"/>
              </w:rPr>
              <w:t>-2019</w:t>
            </w:r>
            <w:proofErr w:type="gramEnd"/>
            <w:r w:rsidRPr="00D274DC">
              <w:rPr>
                <w:color w:val="000000"/>
                <w:szCs w:val="24"/>
              </w:rPr>
              <w:t>/20)</w:t>
            </w:r>
          </w:p>
          <w:p w:rsidR="00C33798" w:rsidRPr="00D274DC" w:rsidRDefault="00CA6BB2" w:rsidP="00C33798">
            <w:pPr>
              <w:tabs>
                <w:tab w:val="left" w:pos="1701"/>
              </w:tabs>
              <w:rPr>
                <w:i/>
                <w:color w:val="000000"/>
                <w:szCs w:val="24"/>
              </w:rPr>
            </w:pPr>
            <w:r w:rsidRPr="00D274DC">
              <w:rPr>
                <w:color w:val="000000"/>
                <w:szCs w:val="24"/>
              </w:rPr>
              <w:t>Rådsdokument 13272/19 (inledande skäl)</w:t>
            </w:r>
            <w:r w:rsidRPr="00D274DC">
              <w:rPr>
                <w:color w:val="000000"/>
                <w:szCs w:val="24"/>
              </w:rPr>
              <w:br/>
              <w:t>Rådsdokument 13273/19 (synergier)</w:t>
            </w:r>
            <w:r w:rsidRPr="00D274DC">
              <w:rPr>
                <w:color w:val="000000"/>
                <w:szCs w:val="24"/>
              </w:rPr>
              <w:br/>
            </w:r>
            <w:r w:rsidR="00C33798" w:rsidRPr="00D274DC">
              <w:rPr>
                <w:color w:val="000000"/>
                <w:szCs w:val="24"/>
              </w:rPr>
              <w:br/>
            </w:r>
            <w:r w:rsidR="00C33798" w:rsidRPr="00D274DC">
              <w:rPr>
                <w:i/>
                <w:color w:val="000000"/>
                <w:szCs w:val="24"/>
              </w:rPr>
              <w:t>Regeringens förslag till svensk ståndpunkt</w:t>
            </w:r>
          </w:p>
          <w:p w:rsidR="00CA6BB2" w:rsidRPr="00D274DC" w:rsidRDefault="00CA6BB2" w:rsidP="00CA6BB2">
            <w:pPr>
              <w:tabs>
                <w:tab w:val="left" w:pos="1701"/>
              </w:tabs>
              <w:rPr>
                <w:color w:val="000000"/>
                <w:szCs w:val="24"/>
              </w:rPr>
            </w:pPr>
            <w:r w:rsidRPr="00D274DC">
              <w:rPr>
                <w:color w:val="000000"/>
                <w:szCs w:val="24"/>
              </w:rPr>
              <w:t>Regeringen anser att de inledande skälen beskriver intentionen med</w:t>
            </w:r>
          </w:p>
          <w:p w:rsidR="00CA6BB2" w:rsidRPr="00D274DC" w:rsidRDefault="00CA6BB2" w:rsidP="00CA6BB2">
            <w:pPr>
              <w:tabs>
                <w:tab w:val="left" w:pos="1701"/>
              </w:tabs>
              <w:rPr>
                <w:color w:val="000000"/>
                <w:szCs w:val="24"/>
              </w:rPr>
            </w:pPr>
            <w:r w:rsidRPr="00D274DC">
              <w:rPr>
                <w:color w:val="000000"/>
                <w:szCs w:val="24"/>
              </w:rPr>
              <w:t>förordningen väl. Skälen ligger i linje med den överenskommelse som</w:t>
            </w:r>
          </w:p>
          <w:p w:rsidR="00CA6BB2" w:rsidRPr="00D274DC" w:rsidRDefault="00CA6BB2" w:rsidP="00CA6BB2">
            <w:pPr>
              <w:tabs>
                <w:tab w:val="left" w:pos="1701"/>
              </w:tabs>
              <w:rPr>
                <w:color w:val="000000"/>
                <w:szCs w:val="24"/>
              </w:rPr>
            </w:pPr>
            <w:r w:rsidRPr="00D274DC">
              <w:rPr>
                <w:color w:val="000000"/>
                <w:szCs w:val="24"/>
              </w:rPr>
              <w:t>nåddes mellan rådet och Europaparlamentet i mars 2019.</w:t>
            </w:r>
          </w:p>
          <w:p w:rsidR="00CA6BB2" w:rsidRPr="00D274DC" w:rsidRDefault="00CA6BB2" w:rsidP="00CA6BB2">
            <w:pPr>
              <w:tabs>
                <w:tab w:val="left" w:pos="1701"/>
              </w:tabs>
              <w:rPr>
                <w:color w:val="000000"/>
                <w:szCs w:val="24"/>
              </w:rPr>
            </w:pPr>
          </w:p>
          <w:p w:rsidR="00CA6BB2" w:rsidRPr="00D274DC" w:rsidRDefault="00CA6BB2" w:rsidP="00CA6BB2">
            <w:pPr>
              <w:tabs>
                <w:tab w:val="left" w:pos="1701"/>
              </w:tabs>
              <w:rPr>
                <w:color w:val="000000"/>
                <w:szCs w:val="24"/>
              </w:rPr>
            </w:pPr>
            <w:r w:rsidRPr="00D274DC">
              <w:rPr>
                <w:color w:val="000000"/>
                <w:szCs w:val="24"/>
              </w:rPr>
              <w:t>Regeringen anser att möjligheter till synergier mellan EU-program är en förutsättning för ett effektivt utnyttjande av EU-budgeten. Bilaga IV till förordningen om Horisont Europa beskriver på ett bra sätt möjliga synergier med relevanta EU-program. Det är även viktigt att program som berör forskning och innovation har tydliga regler och avgränsningar så att direkta överlappningar mellan program inte sker.</w:t>
            </w:r>
          </w:p>
          <w:p w:rsidR="00CA6BB2" w:rsidRPr="00D274DC" w:rsidRDefault="00CA6BB2" w:rsidP="00CA6BB2">
            <w:pPr>
              <w:tabs>
                <w:tab w:val="left" w:pos="1701"/>
              </w:tabs>
              <w:rPr>
                <w:color w:val="000000"/>
                <w:szCs w:val="24"/>
              </w:rPr>
            </w:pPr>
          </w:p>
          <w:p w:rsidR="00CA6BB2" w:rsidRPr="00D274DC" w:rsidRDefault="00CA6BB2" w:rsidP="00CA6BB2">
            <w:pPr>
              <w:tabs>
                <w:tab w:val="left" w:pos="1701"/>
              </w:tabs>
              <w:rPr>
                <w:color w:val="000000"/>
                <w:szCs w:val="24"/>
              </w:rPr>
            </w:pPr>
            <w:r w:rsidRPr="00D274DC">
              <w:rPr>
                <w:color w:val="000000"/>
                <w:szCs w:val="24"/>
              </w:rPr>
              <w:t>Många potentiella synergier, till exempel mellan strukturfonder och</w:t>
            </w:r>
          </w:p>
          <w:p w:rsidR="00CA6BB2" w:rsidRPr="00D274DC" w:rsidRDefault="00CA6BB2" w:rsidP="00CA6BB2">
            <w:pPr>
              <w:tabs>
                <w:tab w:val="left" w:pos="1701"/>
              </w:tabs>
              <w:rPr>
                <w:color w:val="000000"/>
                <w:szCs w:val="24"/>
              </w:rPr>
            </w:pPr>
            <w:r w:rsidRPr="00D274DC">
              <w:rPr>
                <w:color w:val="000000"/>
                <w:szCs w:val="24"/>
              </w:rPr>
              <w:t>ramprogrammet för forskning och innovation, skapas av de som genomför projekten. Det är därför viktigt att de som tar emot bidrag från flera program är medvetna om möjligheterna och begränsningarna i de olika programmen. Här har kommissionen en viktig informationsroll.</w:t>
            </w:r>
          </w:p>
          <w:p w:rsidR="00CA6BB2" w:rsidRPr="00D274DC" w:rsidRDefault="00CA6BB2" w:rsidP="00CA6BB2">
            <w:pPr>
              <w:tabs>
                <w:tab w:val="left" w:pos="1701"/>
              </w:tabs>
              <w:rPr>
                <w:color w:val="000000"/>
                <w:szCs w:val="24"/>
              </w:rPr>
            </w:pPr>
          </w:p>
          <w:p w:rsidR="00CA6BB2" w:rsidRPr="00D274DC" w:rsidRDefault="00CA6BB2" w:rsidP="00CA6BB2">
            <w:pPr>
              <w:tabs>
                <w:tab w:val="left" w:pos="1701"/>
              </w:tabs>
              <w:rPr>
                <w:color w:val="000000"/>
                <w:szCs w:val="24"/>
              </w:rPr>
            </w:pPr>
            <w:r w:rsidRPr="00D274DC">
              <w:rPr>
                <w:color w:val="000000"/>
                <w:szCs w:val="24"/>
              </w:rPr>
              <w:t>Regeringen anser också att synergier även med nationella satsningar bör uppmuntras under nästa ramprogram. Det görs lättast genom att</w:t>
            </w:r>
          </w:p>
          <w:p w:rsidR="00CA6BB2" w:rsidRPr="00D274DC" w:rsidRDefault="00CA6BB2" w:rsidP="00CA6BB2">
            <w:pPr>
              <w:tabs>
                <w:tab w:val="left" w:pos="1701"/>
              </w:tabs>
              <w:rPr>
                <w:color w:val="000000"/>
                <w:szCs w:val="24"/>
              </w:rPr>
            </w:pPr>
            <w:r w:rsidRPr="00D274DC">
              <w:rPr>
                <w:color w:val="000000"/>
                <w:szCs w:val="24"/>
              </w:rPr>
              <w:t>forskningsfinansiärer deltar i gemensamma programaktiviteter, där även nationell finansiering krävs. På det sättet skapas synergier som förstärker satsningar både på nationell och EU-nivå.</w:t>
            </w:r>
          </w:p>
          <w:p w:rsidR="00CA6BB2" w:rsidRPr="00D274DC" w:rsidRDefault="00CA6BB2" w:rsidP="00CA6BB2">
            <w:pPr>
              <w:tabs>
                <w:tab w:val="left" w:pos="1701"/>
              </w:tabs>
              <w:rPr>
                <w:color w:val="000000"/>
                <w:szCs w:val="24"/>
              </w:rPr>
            </w:pPr>
          </w:p>
          <w:p w:rsidR="00CA6BB2" w:rsidRPr="00D274DC" w:rsidRDefault="00CA6BB2" w:rsidP="00CA6BB2">
            <w:pPr>
              <w:tabs>
                <w:tab w:val="left" w:pos="1701"/>
              </w:tabs>
              <w:rPr>
                <w:color w:val="000000"/>
                <w:szCs w:val="24"/>
              </w:rPr>
            </w:pPr>
            <w:r w:rsidRPr="00D274DC">
              <w:rPr>
                <w:color w:val="000000"/>
                <w:szCs w:val="24"/>
              </w:rPr>
              <w:t>Regeringen anser att Sverige kan ställa sig bakom en allmän inriktning</w:t>
            </w:r>
          </w:p>
          <w:p w:rsidR="00C33798" w:rsidRPr="00D274DC" w:rsidRDefault="00CA6BB2" w:rsidP="00CA6BB2">
            <w:pPr>
              <w:tabs>
                <w:tab w:val="left" w:pos="1701"/>
              </w:tabs>
              <w:rPr>
                <w:color w:val="000000"/>
                <w:szCs w:val="24"/>
              </w:rPr>
            </w:pPr>
            <w:r w:rsidRPr="00D274DC">
              <w:rPr>
                <w:color w:val="000000"/>
                <w:szCs w:val="24"/>
              </w:rPr>
              <w:t>gällande de inledande skälen samt bilaga IV om synergier.</w:t>
            </w:r>
            <w:r w:rsidR="00C33798" w:rsidRPr="00D274DC">
              <w:rPr>
                <w:color w:val="000000"/>
                <w:szCs w:val="24"/>
              </w:rPr>
              <w:br/>
            </w:r>
            <w:r w:rsidR="00C33798" w:rsidRPr="00D274DC">
              <w:rPr>
                <w:color w:val="000000"/>
                <w:szCs w:val="24"/>
              </w:rPr>
              <w:br/>
            </w:r>
            <w:r w:rsidR="00C33798" w:rsidRPr="00D274DC">
              <w:rPr>
                <w:i/>
                <w:color w:val="000000"/>
                <w:szCs w:val="24"/>
              </w:rPr>
              <w:t>Utskottet</w:t>
            </w:r>
          </w:p>
          <w:p w:rsidR="00C33798" w:rsidRPr="00D274DC" w:rsidRDefault="00C33798" w:rsidP="00C33798">
            <w:pPr>
              <w:tabs>
                <w:tab w:val="left" w:pos="1701"/>
              </w:tabs>
              <w:rPr>
                <w:color w:val="000000"/>
                <w:szCs w:val="24"/>
              </w:rPr>
            </w:pPr>
            <w:r w:rsidRPr="00D274DC">
              <w:rPr>
                <w:color w:val="000000"/>
                <w:szCs w:val="24"/>
              </w:rPr>
              <w:t xml:space="preserve">Ordföranden konstaterade att det </w:t>
            </w:r>
            <w:r w:rsidR="00F1215A">
              <w:rPr>
                <w:color w:val="000000"/>
                <w:szCs w:val="24"/>
              </w:rPr>
              <w:t xml:space="preserve">fanns </w:t>
            </w:r>
            <w:r w:rsidR="007D0184" w:rsidRPr="00D274DC">
              <w:rPr>
                <w:color w:val="000000"/>
                <w:szCs w:val="24"/>
              </w:rPr>
              <w:t>majoritet</w:t>
            </w:r>
            <w:r w:rsidRPr="00D274DC">
              <w:rPr>
                <w:color w:val="000000"/>
                <w:szCs w:val="24"/>
              </w:rPr>
              <w:t xml:space="preserve"> i utskottet för regeringens ståndpunkt. </w:t>
            </w:r>
          </w:p>
          <w:p w:rsidR="007D0184" w:rsidRPr="00D274DC" w:rsidRDefault="007D0184" w:rsidP="00C33798">
            <w:pPr>
              <w:tabs>
                <w:tab w:val="left" w:pos="1701"/>
              </w:tabs>
              <w:rPr>
                <w:color w:val="000000"/>
                <w:szCs w:val="24"/>
              </w:rPr>
            </w:pPr>
          </w:p>
          <w:p w:rsidR="007D0184" w:rsidRPr="00D274DC" w:rsidRDefault="007D0184" w:rsidP="00C33798">
            <w:pPr>
              <w:tabs>
                <w:tab w:val="left" w:pos="1701"/>
              </w:tabs>
              <w:rPr>
                <w:color w:val="000000"/>
                <w:szCs w:val="24"/>
              </w:rPr>
            </w:pPr>
            <w:r w:rsidRPr="00D274DC">
              <w:rPr>
                <w:color w:val="000000"/>
                <w:szCs w:val="24"/>
              </w:rPr>
              <w:t>Ledamoten från Vänsterpartiet anmälde en avvikande mening om att inga medel från EU:s forskningsprogram ska gå till militärforskning.</w:t>
            </w:r>
          </w:p>
          <w:p w:rsidR="00C33798" w:rsidRPr="00D274DC" w:rsidRDefault="00C33798" w:rsidP="00C33798">
            <w:pPr>
              <w:tabs>
                <w:tab w:val="left" w:pos="1701"/>
              </w:tabs>
              <w:rPr>
                <w:color w:val="000000"/>
                <w:szCs w:val="24"/>
              </w:rPr>
            </w:pPr>
          </w:p>
          <w:p w:rsidR="00C33798" w:rsidRPr="00D274DC" w:rsidRDefault="00C33798" w:rsidP="00155963">
            <w:pPr>
              <w:tabs>
                <w:tab w:val="left" w:pos="1701"/>
              </w:tabs>
              <w:rPr>
                <w:color w:val="000000"/>
                <w:szCs w:val="24"/>
              </w:rPr>
            </w:pPr>
            <w:r w:rsidRPr="00D274DC">
              <w:rPr>
                <w:color w:val="000000"/>
                <w:szCs w:val="24"/>
              </w:rPr>
              <w:t>Denna paragraf förklarades omedelbart justerad.</w:t>
            </w:r>
          </w:p>
        </w:tc>
      </w:tr>
      <w:tr w:rsidR="00CA6BB2" w:rsidTr="0001177E">
        <w:tc>
          <w:tcPr>
            <w:tcW w:w="567" w:type="dxa"/>
          </w:tcPr>
          <w:p w:rsidR="00CA6BB2" w:rsidRPr="00CA6BB2" w:rsidRDefault="00CA6BB2" w:rsidP="00CA6BB2">
            <w:pPr>
              <w:tabs>
                <w:tab w:val="left" w:pos="1701"/>
              </w:tabs>
              <w:rPr>
                <w:b/>
                <w:snapToGrid w:val="0"/>
              </w:rPr>
            </w:pPr>
          </w:p>
        </w:tc>
        <w:tc>
          <w:tcPr>
            <w:tcW w:w="6946" w:type="dxa"/>
            <w:gridSpan w:val="2"/>
          </w:tcPr>
          <w:p w:rsidR="00CA6BB2" w:rsidRPr="00D274DC" w:rsidRDefault="00CA6BB2" w:rsidP="00155963">
            <w:pPr>
              <w:tabs>
                <w:tab w:val="left" w:pos="1701"/>
              </w:tabs>
              <w:rPr>
                <w:b/>
                <w:snapToGrid w:val="0"/>
              </w:rPr>
            </w:pPr>
          </w:p>
        </w:tc>
      </w:tr>
      <w:tr w:rsidR="00C33798" w:rsidTr="0001177E">
        <w:tc>
          <w:tcPr>
            <w:tcW w:w="567" w:type="dxa"/>
          </w:tcPr>
          <w:p w:rsidR="00C33798" w:rsidRPr="003B4DE8" w:rsidRDefault="00C33798" w:rsidP="003B4DE8">
            <w:pPr>
              <w:pStyle w:val="Liststycke"/>
              <w:numPr>
                <w:ilvl w:val="0"/>
                <w:numId w:val="2"/>
              </w:numPr>
              <w:tabs>
                <w:tab w:val="left" w:pos="1701"/>
              </w:tabs>
              <w:rPr>
                <w:b/>
                <w:snapToGrid w:val="0"/>
              </w:rPr>
            </w:pPr>
          </w:p>
        </w:tc>
        <w:tc>
          <w:tcPr>
            <w:tcW w:w="6946" w:type="dxa"/>
            <w:gridSpan w:val="2"/>
          </w:tcPr>
          <w:p w:rsidR="00C33798" w:rsidRPr="00D274DC" w:rsidRDefault="00C33798" w:rsidP="00C33798">
            <w:pPr>
              <w:tabs>
                <w:tab w:val="left" w:pos="1701"/>
              </w:tabs>
              <w:rPr>
                <w:i/>
                <w:color w:val="000000"/>
                <w:szCs w:val="24"/>
              </w:rPr>
            </w:pPr>
            <w:r w:rsidRPr="00D274DC">
              <w:rPr>
                <w:b/>
                <w:snapToGrid w:val="0"/>
              </w:rPr>
              <w:t>EU-överläggning med regeringen enligt RO 7 kap. 12 § om</w:t>
            </w:r>
            <w:r w:rsidR="00CA6BB2" w:rsidRPr="00D274DC">
              <w:rPr>
                <w:b/>
                <w:snapToGrid w:val="0"/>
              </w:rPr>
              <w:t xml:space="preserve"> </w:t>
            </w:r>
            <w:proofErr w:type="gramStart"/>
            <w:r w:rsidR="00CA6BB2" w:rsidRPr="00D274DC">
              <w:rPr>
                <w:b/>
                <w:snapToGrid w:val="0"/>
              </w:rPr>
              <w:t>Europeiska</w:t>
            </w:r>
            <w:proofErr w:type="gramEnd"/>
            <w:r w:rsidR="00CA6BB2" w:rsidRPr="00D274DC">
              <w:rPr>
                <w:b/>
                <w:snapToGrid w:val="0"/>
              </w:rPr>
              <w:t xml:space="preserve"> atomenergigemenskapens forsknings- och utbildningsprogram för perioden 2021–2025</w:t>
            </w:r>
            <w:r w:rsidRPr="00D274DC">
              <w:rPr>
                <w:b/>
                <w:snapToGrid w:val="0"/>
              </w:rPr>
              <w:br/>
            </w:r>
            <w:r w:rsidRPr="00D274DC">
              <w:rPr>
                <w:b/>
                <w:snapToGrid w:val="0"/>
              </w:rPr>
              <w:br/>
            </w:r>
            <w:r w:rsidRPr="00D274DC">
              <w:rPr>
                <w:snapToGrid w:val="0"/>
              </w:rPr>
              <w:t>Utskottet överlade med s</w:t>
            </w:r>
            <w:r w:rsidRPr="00D274DC">
              <w:rPr>
                <w:color w:val="000000"/>
                <w:szCs w:val="24"/>
              </w:rPr>
              <w:t xml:space="preserve">tatssekreteraren Malin </w:t>
            </w:r>
            <w:proofErr w:type="spellStart"/>
            <w:r w:rsidRPr="00D274DC">
              <w:rPr>
                <w:color w:val="000000"/>
                <w:szCs w:val="24"/>
              </w:rPr>
              <w:t>Cederfeldt</w:t>
            </w:r>
            <w:proofErr w:type="spellEnd"/>
            <w:r w:rsidRPr="00D274DC">
              <w:rPr>
                <w:color w:val="000000"/>
                <w:szCs w:val="24"/>
              </w:rPr>
              <w:t xml:space="preserve"> Östberg med medarbetare från Utbildningsdepartementet om </w:t>
            </w:r>
            <w:r w:rsidR="00CA6BB2" w:rsidRPr="00D274DC">
              <w:rPr>
                <w:color w:val="000000"/>
                <w:szCs w:val="24"/>
              </w:rPr>
              <w:t>Europeiska atomenergigemenskapens forsknings- och utbildningsprogram för perioden 2021–2025.</w:t>
            </w:r>
            <w:r w:rsidRPr="00D274DC">
              <w:rPr>
                <w:color w:val="000000"/>
                <w:szCs w:val="24"/>
              </w:rPr>
              <w:br/>
            </w:r>
            <w:r w:rsidRPr="00D274DC">
              <w:rPr>
                <w:color w:val="000000"/>
                <w:szCs w:val="24"/>
              </w:rPr>
              <w:br/>
            </w:r>
            <w:r w:rsidRPr="00D274DC">
              <w:rPr>
                <w:i/>
                <w:color w:val="000000"/>
                <w:szCs w:val="24"/>
              </w:rPr>
              <w:t>Underlag för överläggningen</w:t>
            </w:r>
          </w:p>
          <w:p w:rsidR="00C33798" w:rsidRPr="00D274DC" w:rsidRDefault="00C33798" w:rsidP="00C33798">
            <w:pPr>
              <w:tabs>
                <w:tab w:val="left" w:pos="1701"/>
              </w:tabs>
              <w:rPr>
                <w:color w:val="000000"/>
                <w:szCs w:val="24"/>
              </w:rPr>
            </w:pPr>
            <w:r w:rsidRPr="00D274DC">
              <w:rPr>
                <w:color w:val="000000"/>
                <w:szCs w:val="24"/>
              </w:rPr>
              <w:lastRenderedPageBreak/>
              <w:t xml:space="preserve">Promemoria från Utbildningsdepartementet (Dnr </w:t>
            </w:r>
            <w:proofErr w:type="gramStart"/>
            <w:r w:rsidR="00CA6BB2" w:rsidRPr="00D274DC">
              <w:rPr>
                <w:color w:val="000000"/>
                <w:szCs w:val="24"/>
              </w:rPr>
              <w:t>565</w:t>
            </w:r>
            <w:r w:rsidRPr="00D274DC">
              <w:rPr>
                <w:color w:val="000000"/>
                <w:szCs w:val="24"/>
              </w:rPr>
              <w:t>-2019</w:t>
            </w:r>
            <w:proofErr w:type="gramEnd"/>
            <w:r w:rsidRPr="00D274DC">
              <w:rPr>
                <w:color w:val="000000"/>
                <w:szCs w:val="24"/>
              </w:rPr>
              <w:t>/20)</w:t>
            </w:r>
          </w:p>
          <w:p w:rsidR="00C33798" w:rsidRPr="00D274DC" w:rsidRDefault="00C33798" w:rsidP="00C33798">
            <w:pPr>
              <w:tabs>
                <w:tab w:val="left" w:pos="1701"/>
              </w:tabs>
              <w:rPr>
                <w:i/>
                <w:color w:val="000000"/>
                <w:szCs w:val="24"/>
              </w:rPr>
            </w:pPr>
            <w:r w:rsidRPr="00D274DC">
              <w:rPr>
                <w:color w:val="000000"/>
                <w:szCs w:val="24"/>
              </w:rPr>
              <w:t xml:space="preserve">Rådsdokument </w:t>
            </w:r>
            <w:r w:rsidR="00CA6BB2" w:rsidRPr="00D274DC">
              <w:rPr>
                <w:color w:val="000000"/>
                <w:szCs w:val="24"/>
              </w:rPr>
              <w:t>13801</w:t>
            </w:r>
            <w:r w:rsidRPr="00D274DC">
              <w:rPr>
                <w:color w:val="000000"/>
                <w:szCs w:val="24"/>
              </w:rPr>
              <w:t>/19</w:t>
            </w:r>
            <w:r w:rsidRPr="00D274DC">
              <w:rPr>
                <w:color w:val="000000"/>
                <w:szCs w:val="24"/>
              </w:rPr>
              <w:br/>
            </w:r>
            <w:r w:rsidRPr="00D274DC">
              <w:rPr>
                <w:color w:val="000000"/>
                <w:szCs w:val="24"/>
              </w:rPr>
              <w:br/>
            </w:r>
            <w:r w:rsidRPr="00D274DC">
              <w:rPr>
                <w:i/>
                <w:color w:val="000000"/>
                <w:szCs w:val="24"/>
              </w:rPr>
              <w:t>Regeringens förslag till svensk ståndpunkt</w:t>
            </w:r>
          </w:p>
          <w:p w:rsidR="00CA6BB2" w:rsidRPr="00D274DC" w:rsidRDefault="00CA6BB2" w:rsidP="00CA6BB2">
            <w:pPr>
              <w:tabs>
                <w:tab w:val="left" w:pos="1701"/>
              </w:tabs>
              <w:rPr>
                <w:color w:val="000000"/>
                <w:szCs w:val="24"/>
              </w:rPr>
            </w:pPr>
            <w:r w:rsidRPr="00D274DC">
              <w:rPr>
                <w:color w:val="000000"/>
                <w:szCs w:val="24"/>
              </w:rPr>
              <w:t>Regeringen anser att forskningssatsningar inom Euratom bör fortsätta på samma nivå som tidigare och i linje med tidigare programs inriktning. Regeringen ser positivt på inriktningen mot forskning om kärnsäkerhet och strålskydd, och anser att det är bra att säkerställa att unionsfinansierad forskning och utbildning inom kärnvetenskap och kärnteknik fortsätter med god kontinuitet.</w:t>
            </w:r>
          </w:p>
          <w:p w:rsidR="00CA6BB2" w:rsidRPr="00D274DC" w:rsidRDefault="00CA6BB2" w:rsidP="00CA6BB2">
            <w:pPr>
              <w:tabs>
                <w:tab w:val="left" w:pos="1701"/>
              </w:tabs>
              <w:rPr>
                <w:color w:val="000000"/>
                <w:szCs w:val="24"/>
              </w:rPr>
            </w:pPr>
          </w:p>
          <w:p w:rsidR="00C33798" w:rsidRPr="00D274DC" w:rsidRDefault="00CA6BB2" w:rsidP="00CA6BB2">
            <w:pPr>
              <w:tabs>
                <w:tab w:val="left" w:pos="1701"/>
              </w:tabs>
              <w:rPr>
                <w:color w:val="000000"/>
                <w:szCs w:val="24"/>
              </w:rPr>
            </w:pPr>
            <w:r w:rsidRPr="00D274DC">
              <w:rPr>
                <w:color w:val="000000"/>
                <w:szCs w:val="24"/>
              </w:rPr>
              <w:t>Regeringen föreslår att Sverige ställer sig bakom beslutet om Euratoms forsknings- och utbildningsprogram för perioden 2021–25.</w:t>
            </w:r>
            <w:r w:rsidR="00C33798" w:rsidRPr="00D274DC">
              <w:rPr>
                <w:color w:val="000000"/>
                <w:szCs w:val="24"/>
              </w:rPr>
              <w:br/>
            </w:r>
            <w:r w:rsidR="00C33798" w:rsidRPr="00D274DC">
              <w:rPr>
                <w:color w:val="000000"/>
                <w:szCs w:val="24"/>
              </w:rPr>
              <w:br/>
            </w:r>
            <w:r w:rsidR="00C33798" w:rsidRPr="00D274DC">
              <w:rPr>
                <w:i/>
                <w:color w:val="000000"/>
                <w:szCs w:val="24"/>
              </w:rPr>
              <w:t>Utskottet</w:t>
            </w:r>
          </w:p>
          <w:p w:rsidR="00C33798" w:rsidRPr="00D274DC" w:rsidRDefault="00C33798" w:rsidP="00C33798">
            <w:pPr>
              <w:tabs>
                <w:tab w:val="left" w:pos="1701"/>
              </w:tabs>
              <w:rPr>
                <w:color w:val="000000"/>
                <w:szCs w:val="24"/>
              </w:rPr>
            </w:pPr>
            <w:r w:rsidRPr="00D274DC">
              <w:rPr>
                <w:color w:val="000000"/>
                <w:szCs w:val="24"/>
              </w:rPr>
              <w:t xml:space="preserve">Ordföranden konstaterade att det fanns </w:t>
            </w:r>
            <w:r w:rsidR="007D0184" w:rsidRPr="00D274DC">
              <w:rPr>
                <w:color w:val="000000"/>
                <w:szCs w:val="24"/>
              </w:rPr>
              <w:t>majoritet</w:t>
            </w:r>
            <w:r w:rsidRPr="00D274DC">
              <w:rPr>
                <w:color w:val="000000"/>
                <w:szCs w:val="24"/>
              </w:rPr>
              <w:t xml:space="preserve"> i utskottet för regeringens ståndpunkt. </w:t>
            </w:r>
          </w:p>
          <w:p w:rsidR="007D0184" w:rsidRPr="00D274DC" w:rsidRDefault="007D0184" w:rsidP="00C33798">
            <w:pPr>
              <w:tabs>
                <w:tab w:val="left" w:pos="1701"/>
              </w:tabs>
              <w:rPr>
                <w:color w:val="000000"/>
                <w:szCs w:val="24"/>
              </w:rPr>
            </w:pPr>
          </w:p>
          <w:p w:rsidR="007D0184" w:rsidRPr="00D274DC" w:rsidRDefault="007D0184" w:rsidP="00C33798">
            <w:pPr>
              <w:tabs>
                <w:tab w:val="left" w:pos="1701"/>
              </w:tabs>
              <w:rPr>
                <w:color w:val="000000"/>
                <w:szCs w:val="24"/>
              </w:rPr>
            </w:pPr>
            <w:r w:rsidRPr="00D274DC">
              <w:rPr>
                <w:color w:val="000000"/>
                <w:szCs w:val="24"/>
              </w:rPr>
              <w:t xml:space="preserve">Ledamoten från Vänsterpartiet anmälde en avvikande mening om att en av kärnkraftens avigsidor är strålningen. Forskning som syftar till att minska strålning, montera ned </w:t>
            </w:r>
            <w:proofErr w:type="spellStart"/>
            <w:r w:rsidRPr="00D274DC">
              <w:rPr>
                <w:color w:val="000000"/>
                <w:szCs w:val="24"/>
              </w:rPr>
              <w:t>kärnkraftsverk</w:t>
            </w:r>
            <w:proofErr w:type="spellEnd"/>
            <w:r w:rsidRPr="00D274DC">
              <w:rPr>
                <w:color w:val="000000"/>
                <w:szCs w:val="24"/>
              </w:rPr>
              <w:t xml:space="preserve"> och att hantera det avfall som skapats kan välkomnas medan forskning som syftar till att bevara och att fortsätta att bygga ut kärnkraften avvisas.</w:t>
            </w:r>
          </w:p>
          <w:p w:rsidR="007D0184" w:rsidRPr="00D274DC" w:rsidRDefault="007D0184" w:rsidP="00C33798">
            <w:pPr>
              <w:tabs>
                <w:tab w:val="left" w:pos="1701"/>
              </w:tabs>
              <w:rPr>
                <w:color w:val="000000"/>
                <w:szCs w:val="24"/>
              </w:rPr>
            </w:pPr>
          </w:p>
          <w:p w:rsidR="007D0184" w:rsidRPr="00D274DC" w:rsidRDefault="007D0184" w:rsidP="00C33798">
            <w:pPr>
              <w:tabs>
                <w:tab w:val="left" w:pos="1701"/>
              </w:tabs>
              <w:rPr>
                <w:color w:val="000000"/>
                <w:szCs w:val="24"/>
              </w:rPr>
            </w:pPr>
            <w:r w:rsidRPr="00D274DC">
              <w:rPr>
                <w:color w:val="000000"/>
                <w:szCs w:val="24"/>
              </w:rPr>
              <w:t xml:space="preserve">Ledamöterna från Moderaterna och Kristdemokraterna anmälde en avvikande mening om att en mycket liten andel av de europeiska forskningsmedlen inom </w:t>
            </w:r>
            <w:proofErr w:type="spellStart"/>
            <w:r w:rsidRPr="00D274DC">
              <w:rPr>
                <w:color w:val="000000"/>
                <w:szCs w:val="24"/>
              </w:rPr>
              <w:t>Euroatom</w:t>
            </w:r>
            <w:proofErr w:type="spellEnd"/>
            <w:r w:rsidRPr="00D274DC">
              <w:rPr>
                <w:color w:val="000000"/>
                <w:szCs w:val="24"/>
              </w:rPr>
              <w:t xml:space="preserve"> används för att undersöka hur kärnkraften skulle kunna utvecklas för att höja levnadsstandarden i Europa och minska skadliga koldioxidutsläpp. Mer av </w:t>
            </w:r>
            <w:proofErr w:type="spellStart"/>
            <w:r w:rsidRPr="00D274DC">
              <w:rPr>
                <w:color w:val="000000"/>
                <w:szCs w:val="24"/>
              </w:rPr>
              <w:t>Euroatoms</w:t>
            </w:r>
            <w:proofErr w:type="spellEnd"/>
            <w:r w:rsidRPr="00D274DC">
              <w:rPr>
                <w:color w:val="000000"/>
                <w:szCs w:val="24"/>
              </w:rPr>
              <w:t xml:space="preserve"> forskningsmedel borde därför fördelas till direkt </w:t>
            </w:r>
            <w:proofErr w:type="spellStart"/>
            <w:r w:rsidRPr="00D274DC">
              <w:rPr>
                <w:color w:val="000000"/>
                <w:szCs w:val="24"/>
              </w:rPr>
              <w:t>kärnkraftsteknisk</w:t>
            </w:r>
            <w:proofErr w:type="spellEnd"/>
            <w:r w:rsidRPr="00D274DC">
              <w:rPr>
                <w:color w:val="000000"/>
                <w:szCs w:val="24"/>
              </w:rPr>
              <w:t xml:space="preserve"> forskning.</w:t>
            </w:r>
          </w:p>
          <w:p w:rsidR="00C33798" w:rsidRPr="00D274DC" w:rsidRDefault="00C33798" w:rsidP="00C33798">
            <w:pPr>
              <w:tabs>
                <w:tab w:val="left" w:pos="1701"/>
              </w:tabs>
              <w:rPr>
                <w:color w:val="000000"/>
                <w:szCs w:val="24"/>
              </w:rPr>
            </w:pPr>
          </w:p>
          <w:p w:rsidR="00C33798" w:rsidRPr="00D274DC" w:rsidRDefault="00C33798" w:rsidP="00155963">
            <w:pPr>
              <w:tabs>
                <w:tab w:val="left" w:pos="1701"/>
              </w:tabs>
              <w:rPr>
                <w:color w:val="000000"/>
                <w:szCs w:val="24"/>
              </w:rPr>
            </w:pPr>
            <w:r w:rsidRPr="00D274DC">
              <w:rPr>
                <w:color w:val="000000"/>
                <w:szCs w:val="24"/>
              </w:rPr>
              <w:t>Denna paragraf förklarades omedelbart justerad.</w:t>
            </w:r>
            <w:r w:rsidRPr="00D274DC">
              <w:rPr>
                <w:b/>
                <w:snapToGrid w:val="0"/>
              </w:rPr>
              <w:br/>
            </w: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201</w:t>
            </w:r>
            <w:r w:rsidR="00E362AB">
              <w:rPr>
                <w:snapToGrid w:val="0"/>
              </w:rPr>
              <w:t>9</w:t>
            </w:r>
            <w:r w:rsidR="00267FC1">
              <w:rPr>
                <w:snapToGrid w:val="0"/>
              </w:rPr>
              <w:t>/</w:t>
            </w:r>
            <w:r w:rsidR="00E362AB">
              <w:rPr>
                <w:snapToGrid w:val="0"/>
              </w:rPr>
              <w:t>20</w:t>
            </w:r>
            <w:r w:rsidR="00A2367D">
              <w:rPr>
                <w:snapToGrid w:val="0"/>
              </w:rPr>
              <w:t>:</w:t>
            </w:r>
            <w:r w:rsidR="00155963">
              <w:rPr>
                <w:snapToGrid w:val="0"/>
              </w:rPr>
              <w:t>08</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r w:rsidR="00BE5A89">
              <w:rPr>
                <w:b/>
                <w:snapToGrid w:val="0"/>
              </w:rPr>
              <w:t xml:space="preserve"> och EU-blad</w:t>
            </w:r>
          </w:p>
          <w:p w:rsidR="003B4DE8" w:rsidRDefault="003B4DE8" w:rsidP="003B4DE8">
            <w:pPr>
              <w:tabs>
                <w:tab w:val="left" w:pos="1701"/>
              </w:tabs>
              <w:rPr>
                <w:b/>
                <w:snapToGrid w:val="0"/>
              </w:rPr>
            </w:pPr>
          </w:p>
          <w:p w:rsidR="003B4DE8" w:rsidRDefault="00BE5A89" w:rsidP="003B4DE8">
            <w:pPr>
              <w:tabs>
                <w:tab w:val="left" w:pos="1701"/>
              </w:tabs>
              <w:rPr>
                <w:snapToGrid w:val="0"/>
              </w:rPr>
            </w:pPr>
            <w:r>
              <w:rPr>
                <w:snapToGrid w:val="0"/>
              </w:rPr>
              <w:t>EU-blad</w:t>
            </w:r>
            <w:r w:rsidR="007765ED">
              <w:rPr>
                <w:snapToGrid w:val="0"/>
              </w:rPr>
              <w:t xml:space="preserve"> anmäldes enligt</w:t>
            </w:r>
            <w:r w:rsidR="003B4DE8">
              <w:rPr>
                <w:snapToGrid w:val="0"/>
              </w:rPr>
              <w:t xml:space="preserve"> bilaga </w:t>
            </w:r>
            <w:r>
              <w:rPr>
                <w:snapToGrid w:val="0"/>
              </w:rPr>
              <w:t>2</w:t>
            </w:r>
            <w:r w:rsidR="003B4DE8">
              <w:rPr>
                <w:snapToGrid w:val="0"/>
              </w:rPr>
              <w:t>.</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155963" w:rsidRDefault="00155963" w:rsidP="00BB7028">
            <w:pPr>
              <w:tabs>
                <w:tab w:val="left" w:pos="1701"/>
              </w:tabs>
              <w:rPr>
                <w:b/>
                <w:bCs/>
                <w:color w:val="000000"/>
                <w:szCs w:val="24"/>
              </w:rPr>
            </w:pPr>
            <w:r>
              <w:rPr>
                <w:b/>
                <w:bCs/>
                <w:color w:val="000000"/>
                <w:szCs w:val="24"/>
              </w:rPr>
              <w:t>Etikprövning av forskning – tydligare regler och skärpta straff (UbU4)</w:t>
            </w:r>
          </w:p>
          <w:p w:rsidR="00155963" w:rsidRDefault="00155963" w:rsidP="00BB7028">
            <w:pPr>
              <w:tabs>
                <w:tab w:val="left" w:pos="1701"/>
              </w:tabs>
              <w:rPr>
                <w:color w:val="000000"/>
                <w:szCs w:val="24"/>
                <w:highlight w:val="yellow"/>
              </w:rPr>
            </w:pPr>
          </w:p>
          <w:p w:rsidR="00155963" w:rsidRPr="00155963" w:rsidRDefault="00155963" w:rsidP="00BB7028">
            <w:pPr>
              <w:tabs>
                <w:tab w:val="left" w:pos="1701"/>
              </w:tabs>
              <w:rPr>
                <w:color w:val="000000"/>
                <w:szCs w:val="24"/>
              </w:rPr>
            </w:pPr>
            <w:r w:rsidRPr="00155963">
              <w:rPr>
                <w:color w:val="000000"/>
                <w:szCs w:val="24"/>
              </w:rPr>
              <w:t>Utskottet fortsatte behandlingen av proposition 2018/19:165.</w:t>
            </w:r>
          </w:p>
          <w:p w:rsidR="00155963" w:rsidRPr="00155963" w:rsidRDefault="00155963" w:rsidP="00BB7028">
            <w:pPr>
              <w:tabs>
                <w:tab w:val="left" w:pos="1701"/>
              </w:tabs>
              <w:rPr>
                <w:color w:val="000000"/>
                <w:szCs w:val="24"/>
              </w:rPr>
            </w:pPr>
          </w:p>
          <w:p w:rsidR="00155963" w:rsidRDefault="00155963" w:rsidP="00BB7028">
            <w:pPr>
              <w:tabs>
                <w:tab w:val="left" w:pos="1701"/>
              </w:tabs>
              <w:rPr>
                <w:color w:val="000000"/>
                <w:szCs w:val="24"/>
              </w:rPr>
            </w:pPr>
            <w:r w:rsidRPr="00155963">
              <w:rPr>
                <w:color w:val="000000"/>
                <w:szCs w:val="24"/>
              </w:rPr>
              <w:t>Utskottet justerade betänkande 2019/</w:t>
            </w:r>
            <w:proofErr w:type="gramStart"/>
            <w:r w:rsidRPr="00155963">
              <w:rPr>
                <w:color w:val="000000"/>
                <w:szCs w:val="24"/>
              </w:rPr>
              <w:t>20:UbU</w:t>
            </w:r>
            <w:proofErr w:type="gramEnd"/>
            <w:r w:rsidRPr="00155963">
              <w:rPr>
                <w:color w:val="000000"/>
                <w:szCs w:val="24"/>
              </w:rPr>
              <w:t>4.</w:t>
            </w:r>
          </w:p>
          <w:p w:rsidR="00155963" w:rsidRDefault="00155963" w:rsidP="00BE5A8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155963" w:rsidP="003B4DE8">
            <w:pPr>
              <w:tabs>
                <w:tab w:val="left" w:pos="1701"/>
              </w:tabs>
              <w:rPr>
                <w:b/>
                <w:bCs/>
                <w:color w:val="000000"/>
                <w:szCs w:val="24"/>
              </w:rPr>
            </w:pPr>
            <w:r>
              <w:rPr>
                <w:b/>
                <w:bCs/>
                <w:color w:val="000000"/>
                <w:szCs w:val="24"/>
              </w:rPr>
              <w:t>Behandling av personuppgifter vid hantering av oredlighet i forskning (UbU5)</w:t>
            </w:r>
          </w:p>
          <w:p w:rsidR="00155963" w:rsidRPr="00155963" w:rsidRDefault="00155963" w:rsidP="00155963">
            <w:pPr>
              <w:tabs>
                <w:tab w:val="left" w:pos="1701"/>
              </w:tabs>
              <w:rPr>
                <w:color w:val="000000"/>
                <w:szCs w:val="24"/>
              </w:rPr>
            </w:pPr>
            <w:r w:rsidRPr="00155963">
              <w:rPr>
                <w:color w:val="000000"/>
                <w:szCs w:val="24"/>
              </w:rPr>
              <w:lastRenderedPageBreak/>
              <w:t>Utskottet fortsatte behandlingen av proposition 201</w:t>
            </w:r>
            <w:r>
              <w:rPr>
                <w:color w:val="000000"/>
                <w:szCs w:val="24"/>
              </w:rPr>
              <w:t>9</w:t>
            </w:r>
            <w:r w:rsidRPr="00155963">
              <w:rPr>
                <w:color w:val="000000"/>
                <w:szCs w:val="24"/>
              </w:rPr>
              <w:t>/</w:t>
            </w:r>
            <w:r>
              <w:rPr>
                <w:color w:val="000000"/>
                <w:szCs w:val="24"/>
              </w:rPr>
              <w:t>20:7.</w:t>
            </w:r>
          </w:p>
          <w:p w:rsidR="00155963" w:rsidRPr="00155963" w:rsidRDefault="00155963" w:rsidP="00155963">
            <w:pPr>
              <w:tabs>
                <w:tab w:val="left" w:pos="1701"/>
              </w:tabs>
              <w:rPr>
                <w:color w:val="000000"/>
                <w:szCs w:val="24"/>
              </w:rPr>
            </w:pPr>
          </w:p>
          <w:p w:rsidR="00155963" w:rsidRDefault="00155963" w:rsidP="00155963">
            <w:pPr>
              <w:tabs>
                <w:tab w:val="left" w:pos="1701"/>
              </w:tabs>
              <w:rPr>
                <w:color w:val="000000"/>
                <w:szCs w:val="24"/>
                <w:highlight w:val="yellow"/>
              </w:rPr>
            </w:pPr>
            <w:r w:rsidRPr="00155963">
              <w:rPr>
                <w:color w:val="000000"/>
                <w:szCs w:val="24"/>
              </w:rPr>
              <w:t>Utskottet justerade betänkande 2019/</w:t>
            </w:r>
            <w:proofErr w:type="gramStart"/>
            <w:r w:rsidRPr="00155963">
              <w:rPr>
                <w:color w:val="000000"/>
                <w:szCs w:val="24"/>
              </w:rPr>
              <w:t>20:UbU</w:t>
            </w:r>
            <w:proofErr w:type="gramEnd"/>
            <w:r w:rsidR="00BE5A89">
              <w:rPr>
                <w:color w:val="000000"/>
                <w:szCs w:val="24"/>
              </w:rPr>
              <w:t>5</w:t>
            </w:r>
            <w:r w:rsidRPr="00155963">
              <w:rPr>
                <w:color w:val="000000"/>
                <w:szCs w:val="24"/>
              </w:rPr>
              <w:t>.</w:t>
            </w:r>
          </w:p>
          <w:p w:rsidR="00155963" w:rsidRDefault="00155963" w:rsidP="00BE5A89">
            <w:pPr>
              <w:tabs>
                <w:tab w:val="left" w:pos="1701"/>
              </w:tabs>
              <w:rPr>
                <w:snapToGrid w:val="0"/>
              </w:rPr>
            </w:pPr>
          </w:p>
        </w:tc>
      </w:tr>
      <w:tr w:rsidR="0040376B" w:rsidTr="0001177E">
        <w:tc>
          <w:tcPr>
            <w:tcW w:w="567" w:type="dxa"/>
          </w:tcPr>
          <w:p w:rsidR="0040376B" w:rsidRPr="003B4DE8" w:rsidRDefault="0040376B" w:rsidP="003B4DE8">
            <w:pPr>
              <w:pStyle w:val="Liststycke"/>
              <w:numPr>
                <w:ilvl w:val="0"/>
                <w:numId w:val="2"/>
              </w:numPr>
              <w:tabs>
                <w:tab w:val="left" w:pos="1701"/>
              </w:tabs>
              <w:rPr>
                <w:b/>
                <w:snapToGrid w:val="0"/>
              </w:rPr>
            </w:pPr>
          </w:p>
        </w:tc>
        <w:tc>
          <w:tcPr>
            <w:tcW w:w="6946" w:type="dxa"/>
            <w:gridSpan w:val="2"/>
          </w:tcPr>
          <w:p w:rsidR="0040376B" w:rsidRDefault="00155963" w:rsidP="003B4DE8">
            <w:pPr>
              <w:tabs>
                <w:tab w:val="left" w:pos="1701"/>
              </w:tabs>
              <w:rPr>
                <w:b/>
                <w:bCs/>
                <w:color w:val="000000"/>
                <w:szCs w:val="24"/>
              </w:rPr>
            </w:pPr>
            <w:r>
              <w:rPr>
                <w:b/>
                <w:bCs/>
                <w:color w:val="000000"/>
                <w:szCs w:val="24"/>
              </w:rPr>
              <w:t>Överlämnande av motion</w:t>
            </w:r>
          </w:p>
          <w:p w:rsidR="00155963" w:rsidRDefault="00155963" w:rsidP="003B4DE8">
            <w:pPr>
              <w:tabs>
                <w:tab w:val="left" w:pos="1701"/>
              </w:tabs>
              <w:rPr>
                <w:snapToGrid w:val="0"/>
              </w:rPr>
            </w:pPr>
          </w:p>
          <w:p w:rsidR="00413B04" w:rsidRDefault="00413B04" w:rsidP="00413B04">
            <w:pPr>
              <w:tabs>
                <w:tab w:val="left" w:pos="1701"/>
              </w:tabs>
              <w:rPr>
                <w:color w:val="000000"/>
                <w:szCs w:val="24"/>
              </w:rPr>
            </w:pPr>
            <w:r w:rsidRPr="004337D3">
              <w:rPr>
                <w:bCs/>
                <w:color w:val="000000"/>
                <w:szCs w:val="24"/>
              </w:rPr>
              <w:t>Utskottet överlämnade motion</w:t>
            </w:r>
            <w:r>
              <w:rPr>
                <w:bCs/>
                <w:color w:val="000000"/>
                <w:szCs w:val="24"/>
              </w:rPr>
              <w:t xml:space="preserve"> </w:t>
            </w:r>
            <w:r>
              <w:rPr>
                <w:color w:val="000000"/>
                <w:szCs w:val="24"/>
              </w:rPr>
              <w:t>2019/20:3094 yrkande 11 av Kristina Axén Olin m.fl. (M) till justitieutskottet under förutsättning att det mottagande utskottet tar emot motionen.</w:t>
            </w:r>
          </w:p>
          <w:p w:rsidR="00413B04" w:rsidRDefault="00413B04" w:rsidP="00413B04">
            <w:pPr>
              <w:tabs>
                <w:tab w:val="left" w:pos="1701"/>
              </w:tabs>
              <w:rPr>
                <w:color w:val="000000"/>
                <w:szCs w:val="24"/>
              </w:rPr>
            </w:pPr>
          </w:p>
          <w:p w:rsidR="00413B04" w:rsidRDefault="00413B04" w:rsidP="00413B04">
            <w:pPr>
              <w:tabs>
                <w:tab w:val="left" w:pos="1701"/>
              </w:tabs>
              <w:rPr>
                <w:color w:val="000000"/>
                <w:szCs w:val="24"/>
              </w:rPr>
            </w:pPr>
            <w:r>
              <w:rPr>
                <w:color w:val="000000"/>
                <w:szCs w:val="24"/>
              </w:rPr>
              <w:t>Denna paragraf förklarades omedelbart justerad.</w:t>
            </w:r>
          </w:p>
          <w:p w:rsidR="00413B04" w:rsidRDefault="00413B04" w:rsidP="00413B04">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w:t>
            </w:r>
            <w:r w:rsidR="00BE5A89">
              <w:rPr>
                <w:szCs w:val="24"/>
              </w:rPr>
              <w:t xml:space="preserve"> tors</w:t>
            </w:r>
            <w:r w:rsidR="00BB7028">
              <w:rPr>
                <w:szCs w:val="24"/>
              </w:rPr>
              <w:t xml:space="preserve">dagen den </w:t>
            </w:r>
            <w:r w:rsidR="00BE5A89">
              <w:rPr>
                <w:szCs w:val="24"/>
              </w:rPr>
              <w:t>21 november</w:t>
            </w:r>
            <w:r w:rsidR="00BB7028">
              <w:rPr>
                <w:szCs w:val="24"/>
              </w:rPr>
              <w:t xml:space="preserve"> 201</w:t>
            </w:r>
            <w:r w:rsidR="00FE5A5A">
              <w:rPr>
                <w:szCs w:val="24"/>
              </w:rPr>
              <w:t>9</w:t>
            </w:r>
            <w:r>
              <w:rPr>
                <w:szCs w:val="24"/>
              </w:rPr>
              <w:t xml:space="preserve"> kl. </w:t>
            </w:r>
            <w:r w:rsidR="00BE5A89">
              <w:rPr>
                <w:szCs w:val="24"/>
              </w:rPr>
              <w:t>10</w:t>
            </w:r>
            <w:r>
              <w:rPr>
                <w:szCs w:val="24"/>
              </w:rPr>
              <w:t>.00.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BE5A89" w:rsidRDefault="00BE5A89"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BE5A89" w:rsidP="00D817DA">
            <w:pPr>
              <w:tabs>
                <w:tab w:val="left" w:pos="1701"/>
              </w:tabs>
            </w:pPr>
            <w:r>
              <w:t>Jonas Brynhildsen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BE5A89">
              <w:t xml:space="preserve">torsdagen den 21 november </w:t>
            </w:r>
            <w:r w:rsidR="00BB7028">
              <w:t>201</w:t>
            </w:r>
            <w:r w:rsidR="00FE5A5A">
              <w:t>9</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201</w:t>
            </w:r>
            <w:r w:rsidR="00E362AB">
              <w:t>9/20</w:t>
            </w:r>
            <w:r>
              <w:t>:</w:t>
            </w:r>
            <w:r w:rsidR="00413B04">
              <w:t>09</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AD77E4">
              <w:rPr>
                <w:sz w:val="22"/>
              </w:rPr>
              <w:t>1-11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487F"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Gunilla Svantorp (S), ordförande</w:t>
            </w:r>
          </w:p>
        </w:tc>
        <w:tc>
          <w:tcPr>
            <w:tcW w:w="356" w:type="dxa"/>
            <w:tcBorders>
              <w:top w:val="single" w:sz="6" w:space="0" w:color="auto"/>
              <w:left w:val="single" w:sz="6" w:space="0" w:color="auto"/>
              <w:bottom w:val="single" w:sz="6" w:space="0" w:color="auto"/>
              <w:right w:val="single" w:sz="6" w:space="0" w:color="auto"/>
            </w:tcBorders>
          </w:tcPr>
          <w:p w:rsidR="0067487F" w:rsidRDefault="00BE5A89"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6110B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w:t>
            </w:r>
            <w:r w:rsidR="00BB7028">
              <w:rPr>
                <w:sz w:val="22"/>
                <w:szCs w:val="22"/>
              </w:rPr>
              <w:t xml:space="preserve"> (L), </w:t>
            </w:r>
            <w:r w:rsidR="000867B0">
              <w:rPr>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E5A8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437505" w:rsidP="000867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w:t>
            </w:r>
            <w:r w:rsidR="009A1CEC">
              <w:rPr>
                <w:sz w:val="22"/>
                <w:szCs w:val="22"/>
              </w:rPr>
              <w:t xml:space="preserve"> (M)</w:t>
            </w:r>
            <w:r w:rsidR="000867B0">
              <w:rPr>
                <w:sz w:val="22"/>
                <w:szCs w:val="22"/>
              </w:rPr>
              <w:t>, andre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E5A8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BE5A8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Stockhaus (M)</w:t>
            </w:r>
          </w:p>
        </w:tc>
        <w:tc>
          <w:tcPr>
            <w:tcW w:w="356" w:type="dxa"/>
            <w:tcBorders>
              <w:top w:val="single" w:sz="6" w:space="0" w:color="auto"/>
              <w:left w:val="single" w:sz="6" w:space="0" w:color="auto"/>
              <w:bottom w:val="single" w:sz="6" w:space="0" w:color="auto"/>
              <w:right w:val="single" w:sz="6" w:space="0" w:color="auto"/>
            </w:tcBorders>
          </w:tcPr>
          <w:p w:rsidR="00BB7028" w:rsidRDefault="00BE5A8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BE5A8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BE5A8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BE5A8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BE5A8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BE5A8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07517" w:rsidRDefault="00BE5A89" w:rsidP="004C1EAB">
            <w: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82E3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w:t>
            </w:r>
            <w:r w:rsidR="00C150F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BE5A8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BE5A8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Falk</w:t>
            </w:r>
            <w:r w:rsidR="00C150F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BE5A8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4309E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Maria Arnholm </w:t>
            </w:r>
            <w:r w:rsidR="00C150F8">
              <w:rPr>
                <w:sz w:val="22"/>
                <w:szCs w:val="22"/>
              </w:rPr>
              <w:t>(L)</w:t>
            </w:r>
          </w:p>
        </w:tc>
        <w:tc>
          <w:tcPr>
            <w:tcW w:w="356" w:type="dxa"/>
            <w:tcBorders>
              <w:top w:val="single" w:sz="6" w:space="0" w:color="auto"/>
              <w:left w:val="single" w:sz="6" w:space="0" w:color="auto"/>
              <w:bottom w:val="single" w:sz="6" w:space="0" w:color="auto"/>
              <w:right w:val="single" w:sz="6" w:space="0" w:color="auto"/>
            </w:tcBorders>
          </w:tcPr>
          <w:p w:rsidR="00BB7028" w:rsidRDefault="00BE5A8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Pr="003D41A2"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07517" w:rsidRDefault="00BE5A8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E5A8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w:t>
            </w:r>
            <w:r w:rsidR="00C150F8">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712BC"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712B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65276"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BE5A8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Default="00BE5A8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Ulrika Heindorff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4218D" w:rsidRDefault="00C150F8" w:rsidP="004C1EA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rPr>
                <w:sz w:val="22"/>
                <w:szCs w:val="22"/>
              </w:rPr>
            </w:pPr>
            <w:r>
              <w:rPr>
                <w:sz w:val="22"/>
                <w:szCs w:val="22"/>
              </w:rPr>
              <w:t xml:space="preserve">Ann-Britt Åsebol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CA2266" w:rsidP="004C1EAB">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71F8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71F8E" w:rsidRDefault="00071F8E" w:rsidP="004C1EAB">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37DB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37DB6" w:rsidRDefault="00237DB6" w:rsidP="004C1EAB">
            <w:pPr>
              <w:rPr>
                <w:sz w:val="22"/>
                <w:szCs w:val="22"/>
              </w:rPr>
            </w:pPr>
            <w:r>
              <w:rPr>
                <w:sz w:val="22"/>
                <w:szCs w:val="22"/>
              </w:rPr>
              <w:lastRenderedPageBreak/>
              <w:t>Anna Sibinska (MP)</w:t>
            </w: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52B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C52B4" w:rsidRDefault="007C52B4" w:rsidP="004C1EAB">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929D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929D2" w:rsidRDefault="008929D2" w:rsidP="004C1EAB">
            <w:pPr>
              <w:rPr>
                <w:sz w:val="22"/>
                <w:szCs w:val="22"/>
              </w:rPr>
            </w:pPr>
            <w:r w:rsidRPr="008929D2">
              <w:rPr>
                <w:sz w:val="22"/>
                <w:szCs w:val="22"/>
              </w:rPr>
              <w:t>Lars-Arne Staxäng (M)</w:t>
            </w: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46F0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46F0D" w:rsidRPr="008929D2" w:rsidRDefault="00F46F0D" w:rsidP="004C1EAB">
            <w:pPr>
              <w:rPr>
                <w:sz w:val="22"/>
                <w:szCs w:val="22"/>
              </w:rPr>
            </w:pPr>
            <w:r>
              <w:rPr>
                <w:sz w:val="22"/>
                <w:szCs w:val="22"/>
              </w:rPr>
              <w:t>Inga-Lill Sjöblom (S)</w:t>
            </w: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E15FBD" w:rsidRDefault="00E15FBD" w:rsidP="00B93D87">
      <w:pPr>
        <w:tabs>
          <w:tab w:val="left" w:pos="1276"/>
        </w:tabs>
        <w:ind w:left="-1134" w:firstLine="1134"/>
        <w:rPr>
          <w:b/>
          <w:sz w:val="28"/>
        </w:rPr>
      </w:pPr>
      <w:bookmarkStart w:id="0" w:name="_GoBack"/>
      <w:bookmarkEnd w:id="0"/>
    </w:p>
    <w:sectPr w:rsidR="00E15FBD">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56"/>
    <w:rsid w:val="00001172"/>
    <w:rsid w:val="0001177E"/>
    <w:rsid w:val="00013FF4"/>
    <w:rsid w:val="0001407C"/>
    <w:rsid w:val="00022A7C"/>
    <w:rsid w:val="00026856"/>
    <w:rsid w:val="00033465"/>
    <w:rsid w:val="00047B0D"/>
    <w:rsid w:val="00071F8E"/>
    <w:rsid w:val="00073768"/>
    <w:rsid w:val="000867B0"/>
    <w:rsid w:val="0009467D"/>
    <w:rsid w:val="00097DF0"/>
    <w:rsid w:val="000A2204"/>
    <w:rsid w:val="000B5D40"/>
    <w:rsid w:val="000C0C72"/>
    <w:rsid w:val="000C5953"/>
    <w:rsid w:val="000D534A"/>
    <w:rsid w:val="000E5FA0"/>
    <w:rsid w:val="000E611E"/>
    <w:rsid w:val="000F18FE"/>
    <w:rsid w:val="000F3EEE"/>
    <w:rsid w:val="000F4556"/>
    <w:rsid w:val="00100A34"/>
    <w:rsid w:val="00126727"/>
    <w:rsid w:val="00127778"/>
    <w:rsid w:val="00135412"/>
    <w:rsid w:val="00143656"/>
    <w:rsid w:val="00155963"/>
    <w:rsid w:val="00161A87"/>
    <w:rsid w:val="001634B9"/>
    <w:rsid w:val="001671DE"/>
    <w:rsid w:val="001712BC"/>
    <w:rsid w:val="00186651"/>
    <w:rsid w:val="001A287E"/>
    <w:rsid w:val="001D5522"/>
    <w:rsid w:val="001F5AC6"/>
    <w:rsid w:val="002059AD"/>
    <w:rsid w:val="00207D45"/>
    <w:rsid w:val="0022226E"/>
    <w:rsid w:val="00237DB6"/>
    <w:rsid w:val="002462FF"/>
    <w:rsid w:val="00253162"/>
    <w:rsid w:val="002608E3"/>
    <w:rsid w:val="00267FC1"/>
    <w:rsid w:val="002871AD"/>
    <w:rsid w:val="002D5CD8"/>
    <w:rsid w:val="002E7435"/>
    <w:rsid w:val="002E7751"/>
    <w:rsid w:val="002F31F6"/>
    <w:rsid w:val="002F53A6"/>
    <w:rsid w:val="00303E1D"/>
    <w:rsid w:val="003125C1"/>
    <w:rsid w:val="00330C61"/>
    <w:rsid w:val="00335FB0"/>
    <w:rsid w:val="003372A6"/>
    <w:rsid w:val="0034218D"/>
    <w:rsid w:val="00355251"/>
    <w:rsid w:val="00360AE7"/>
    <w:rsid w:val="00361E18"/>
    <w:rsid w:val="00370F89"/>
    <w:rsid w:val="003806C2"/>
    <w:rsid w:val="0038157D"/>
    <w:rsid w:val="00387EC2"/>
    <w:rsid w:val="003A0CB8"/>
    <w:rsid w:val="003A5FC9"/>
    <w:rsid w:val="003B4DE8"/>
    <w:rsid w:val="003D41A2"/>
    <w:rsid w:val="003F0380"/>
    <w:rsid w:val="003F4AD8"/>
    <w:rsid w:val="00402D5D"/>
    <w:rsid w:val="0040376B"/>
    <w:rsid w:val="00407517"/>
    <w:rsid w:val="00413B04"/>
    <w:rsid w:val="004214D1"/>
    <w:rsid w:val="00424C64"/>
    <w:rsid w:val="004309E7"/>
    <w:rsid w:val="00437505"/>
    <w:rsid w:val="00447E69"/>
    <w:rsid w:val="004514FD"/>
    <w:rsid w:val="00453542"/>
    <w:rsid w:val="0045482B"/>
    <w:rsid w:val="004674B5"/>
    <w:rsid w:val="00483EB5"/>
    <w:rsid w:val="004875DF"/>
    <w:rsid w:val="004C4C01"/>
    <w:rsid w:val="004E024A"/>
    <w:rsid w:val="00501D18"/>
    <w:rsid w:val="00520D71"/>
    <w:rsid w:val="005331E3"/>
    <w:rsid w:val="005349AA"/>
    <w:rsid w:val="005739C0"/>
    <w:rsid w:val="00576AFA"/>
    <w:rsid w:val="00587BBF"/>
    <w:rsid w:val="005A3941"/>
    <w:rsid w:val="005A4EAC"/>
    <w:rsid w:val="005A63E8"/>
    <w:rsid w:val="005D0198"/>
    <w:rsid w:val="005D63F2"/>
    <w:rsid w:val="005E36F0"/>
    <w:rsid w:val="005F5155"/>
    <w:rsid w:val="00601C28"/>
    <w:rsid w:val="00602725"/>
    <w:rsid w:val="0060305B"/>
    <w:rsid w:val="006110B5"/>
    <w:rsid w:val="00622525"/>
    <w:rsid w:val="00637376"/>
    <w:rsid w:val="00650ADB"/>
    <w:rsid w:val="00656ECC"/>
    <w:rsid w:val="00664DF0"/>
    <w:rsid w:val="00666846"/>
    <w:rsid w:val="00667E8B"/>
    <w:rsid w:val="0067487F"/>
    <w:rsid w:val="00680665"/>
    <w:rsid w:val="006965E4"/>
    <w:rsid w:val="006A2991"/>
    <w:rsid w:val="006B026C"/>
    <w:rsid w:val="006B1BCF"/>
    <w:rsid w:val="006B1D76"/>
    <w:rsid w:val="006B4C5A"/>
    <w:rsid w:val="006B65A5"/>
    <w:rsid w:val="006B7A08"/>
    <w:rsid w:val="006E0945"/>
    <w:rsid w:val="006E6B54"/>
    <w:rsid w:val="00711344"/>
    <w:rsid w:val="00721260"/>
    <w:rsid w:val="00740F7D"/>
    <w:rsid w:val="00766B40"/>
    <w:rsid w:val="0076736F"/>
    <w:rsid w:val="00775DBD"/>
    <w:rsid w:val="007765ED"/>
    <w:rsid w:val="00776CA2"/>
    <w:rsid w:val="007801D9"/>
    <w:rsid w:val="00786FC6"/>
    <w:rsid w:val="007A1350"/>
    <w:rsid w:val="007A2471"/>
    <w:rsid w:val="007B32E2"/>
    <w:rsid w:val="007B38F0"/>
    <w:rsid w:val="007B66A7"/>
    <w:rsid w:val="007B6F35"/>
    <w:rsid w:val="007C0DFA"/>
    <w:rsid w:val="007C52B4"/>
    <w:rsid w:val="007D0184"/>
    <w:rsid w:val="007D23C1"/>
    <w:rsid w:val="007D3639"/>
    <w:rsid w:val="007D47AC"/>
    <w:rsid w:val="007D76A1"/>
    <w:rsid w:val="007E5066"/>
    <w:rsid w:val="007E738E"/>
    <w:rsid w:val="007F73E1"/>
    <w:rsid w:val="00823C8C"/>
    <w:rsid w:val="00827DBD"/>
    <w:rsid w:val="00832BA8"/>
    <w:rsid w:val="0083501D"/>
    <w:rsid w:val="008350E9"/>
    <w:rsid w:val="00841B9D"/>
    <w:rsid w:val="00872753"/>
    <w:rsid w:val="00876835"/>
    <w:rsid w:val="00886BA6"/>
    <w:rsid w:val="008929D2"/>
    <w:rsid w:val="008B080B"/>
    <w:rsid w:val="008B1772"/>
    <w:rsid w:val="008B4A0D"/>
    <w:rsid w:val="008C35C4"/>
    <w:rsid w:val="008F6C98"/>
    <w:rsid w:val="008F7983"/>
    <w:rsid w:val="009171C9"/>
    <w:rsid w:val="00923EFE"/>
    <w:rsid w:val="00925ABE"/>
    <w:rsid w:val="0094358D"/>
    <w:rsid w:val="00960E59"/>
    <w:rsid w:val="0097543C"/>
    <w:rsid w:val="00985715"/>
    <w:rsid w:val="009A1313"/>
    <w:rsid w:val="009A164A"/>
    <w:rsid w:val="009A1CEC"/>
    <w:rsid w:val="009B52FA"/>
    <w:rsid w:val="009D5E29"/>
    <w:rsid w:val="009E1FCA"/>
    <w:rsid w:val="009E7A20"/>
    <w:rsid w:val="00A0106A"/>
    <w:rsid w:val="00A03D80"/>
    <w:rsid w:val="00A102DB"/>
    <w:rsid w:val="00A13D11"/>
    <w:rsid w:val="00A2367D"/>
    <w:rsid w:val="00A27656"/>
    <w:rsid w:val="00A370F4"/>
    <w:rsid w:val="00A47DB2"/>
    <w:rsid w:val="00A65178"/>
    <w:rsid w:val="00A66B33"/>
    <w:rsid w:val="00A84772"/>
    <w:rsid w:val="00A956F9"/>
    <w:rsid w:val="00AB2E46"/>
    <w:rsid w:val="00AB3B80"/>
    <w:rsid w:val="00AB5776"/>
    <w:rsid w:val="00AD44A0"/>
    <w:rsid w:val="00AD77E4"/>
    <w:rsid w:val="00AF4D2B"/>
    <w:rsid w:val="00AF62C3"/>
    <w:rsid w:val="00B1265F"/>
    <w:rsid w:val="00B2693D"/>
    <w:rsid w:val="00B40576"/>
    <w:rsid w:val="00B432F2"/>
    <w:rsid w:val="00B529AF"/>
    <w:rsid w:val="00B6136A"/>
    <w:rsid w:val="00B63606"/>
    <w:rsid w:val="00B73227"/>
    <w:rsid w:val="00B734EF"/>
    <w:rsid w:val="00B93D87"/>
    <w:rsid w:val="00BA05FF"/>
    <w:rsid w:val="00BA1F9C"/>
    <w:rsid w:val="00BA404C"/>
    <w:rsid w:val="00BB4FC6"/>
    <w:rsid w:val="00BB6E1B"/>
    <w:rsid w:val="00BB7028"/>
    <w:rsid w:val="00BE5A89"/>
    <w:rsid w:val="00BF1E92"/>
    <w:rsid w:val="00BF5F58"/>
    <w:rsid w:val="00C04265"/>
    <w:rsid w:val="00C1169B"/>
    <w:rsid w:val="00C150F8"/>
    <w:rsid w:val="00C21DC4"/>
    <w:rsid w:val="00C318F6"/>
    <w:rsid w:val="00C33798"/>
    <w:rsid w:val="00C422E7"/>
    <w:rsid w:val="00C616C4"/>
    <w:rsid w:val="00C62BD3"/>
    <w:rsid w:val="00C6692B"/>
    <w:rsid w:val="00C66AC4"/>
    <w:rsid w:val="00C76BCC"/>
    <w:rsid w:val="00C77DBB"/>
    <w:rsid w:val="00C82E31"/>
    <w:rsid w:val="00C866DE"/>
    <w:rsid w:val="00C87373"/>
    <w:rsid w:val="00C96CF1"/>
    <w:rsid w:val="00CA2266"/>
    <w:rsid w:val="00CA6BB2"/>
    <w:rsid w:val="00CC15D0"/>
    <w:rsid w:val="00CD10D8"/>
    <w:rsid w:val="00CD4DBD"/>
    <w:rsid w:val="00CE524E"/>
    <w:rsid w:val="00CE6958"/>
    <w:rsid w:val="00CF376E"/>
    <w:rsid w:val="00CF6815"/>
    <w:rsid w:val="00CF7C43"/>
    <w:rsid w:val="00D16550"/>
    <w:rsid w:val="00D21331"/>
    <w:rsid w:val="00D274DC"/>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B577E"/>
    <w:rsid w:val="00EC27A5"/>
    <w:rsid w:val="00EC418A"/>
    <w:rsid w:val="00EE4C8A"/>
    <w:rsid w:val="00EE73D8"/>
    <w:rsid w:val="00F1215A"/>
    <w:rsid w:val="00F12574"/>
    <w:rsid w:val="00F23954"/>
    <w:rsid w:val="00F33EF9"/>
    <w:rsid w:val="00F46F0D"/>
    <w:rsid w:val="00F7021F"/>
    <w:rsid w:val="00F70C44"/>
    <w:rsid w:val="00F72877"/>
    <w:rsid w:val="00F816D5"/>
    <w:rsid w:val="00F8533C"/>
    <w:rsid w:val="00F86EAA"/>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02FD6E-05B6-4058-8179-33CA64F7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3798"/>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Ballongtext">
    <w:name w:val="Balloon Text"/>
    <w:basedOn w:val="Normal"/>
    <w:link w:val="BallongtextChar"/>
    <w:rsid w:val="008B1772"/>
    <w:rPr>
      <w:rFonts w:ascii="Segoe UI" w:hAnsi="Segoe UI" w:cs="Segoe UI"/>
      <w:sz w:val="18"/>
      <w:szCs w:val="18"/>
    </w:rPr>
  </w:style>
  <w:style w:type="character" w:customStyle="1" w:styleId="BallongtextChar">
    <w:name w:val="Ballongtext Char"/>
    <w:basedOn w:val="Standardstycketeckensnitt"/>
    <w:link w:val="Ballongtext"/>
    <w:rsid w:val="008B17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19-2020.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Protokollsmall-2019-2020</Template>
  <TotalTime>0</TotalTime>
  <Pages>8</Pages>
  <Words>1635</Words>
  <Characters>11394</Characters>
  <Application>Microsoft Office Word</Application>
  <DocSecurity>0</DocSecurity>
  <Lines>94</Lines>
  <Paragraphs>26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3</cp:revision>
  <cp:lastPrinted>2019-11-14T12:04:00Z</cp:lastPrinted>
  <dcterms:created xsi:type="dcterms:W3CDTF">2019-11-21T13:46:00Z</dcterms:created>
  <dcterms:modified xsi:type="dcterms:W3CDTF">2019-11-21T13:46:00Z</dcterms:modified>
</cp:coreProperties>
</file>