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21304" w:rsidRDefault="00BE6F89" w14:paraId="52CD3EC7" w14:textId="77777777">
      <w:pPr>
        <w:pStyle w:val="RubrikFrslagTIllRiksdagsbeslut"/>
      </w:pPr>
      <w:sdt>
        <w:sdtPr>
          <w:alias w:val="CC_Boilerplate_4"/>
          <w:tag w:val="CC_Boilerplate_4"/>
          <w:id w:val="-1644581176"/>
          <w:lock w:val="sdtContentLocked"/>
          <w:placeholder>
            <w:docPart w:val="E4BAAC60522246BCADCC86FB87D310D6"/>
          </w:placeholder>
          <w:text/>
        </w:sdtPr>
        <w:sdtEndPr/>
        <w:sdtContent>
          <w:r w:rsidRPr="009B062B" w:rsidR="00AF30DD">
            <w:t>Förslag till riksdagsbeslut</w:t>
          </w:r>
        </w:sdtContent>
      </w:sdt>
      <w:bookmarkEnd w:id="0"/>
      <w:bookmarkEnd w:id="1"/>
    </w:p>
    <w:sdt>
      <w:sdtPr>
        <w:alias w:val="Yrkande 1"/>
        <w:tag w:val="6e48408e-4235-4fcc-ac94-7b751ec36087"/>
        <w:id w:val="1063296375"/>
        <w:lock w:val="sdtLocked"/>
      </w:sdtPr>
      <w:sdtEndPr/>
      <w:sdtContent>
        <w:p w:rsidR="00CC5087" w:rsidRDefault="00434DA6" w14:paraId="13C17C41" w14:textId="77777777">
          <w:pPr>
            <w:pStyle w:val="Frslagstext"/>
          </w:pPr>
          <w:r>
            <w:t>Riksdagen ställer sig bakom det som anförs i motionen om att ta fram statistik på hur många som underrättats om att de utsatts för hemliga tvångsmedel, och detta tillkännager riksdagen för regeringen.</w:t>
          </w:r>
        </w:p>
      </w:sdtContent>
    </w:sdt>
    <w:sdt>
      <w:sdtPr>
        <w:alias w:val="Yrkande 2"/>
        <w:tag w:val="4d12986c-d9fd-4c15-a489-05d057235336"/>
        <w:id w:val="1198669807"/>
        <w:lock w:val="sdtLocked"/>
      </w:sdtPr>
      <w:sdtEndPr/>
      <w:sdtContent>
        <w:p w:rsidR="00CC5087" w:rsidRDefault="00434DA6" w14:paraId="1A28A11D" w14:textId="77777777">
          <w:pPr>
            <w:pStyle w:val="Frslagstext"/>
          </w:pPr>
          <w:r>
            <w:t>Riksdagen ställer sig bakom det som anförs i motionen om att Säkerhets- och integritetsskyddsnämnden bör förstärkas för att säkerställa en effektiv tillsyn av användningen av hemliga tvångsmedel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0F413E0A394B76B895D213F64F114E"/>
        </w:placeholder>
        <w:text/>
      </w:sdtPr>
      <w:sdtEndPr/>
      <w:sdtContent>
        <w:p w:rsidRPr="009B062B" w:rsidR="006D79C9" w:rsidP="00333E95" w:rsidRDefault="006D79C9" w14:paraId="1B92EDB0" w14:textId="77777777">
          <w:pPr>
            <w:pStyle w:val="Rubrik1"/>
          </w:pPr>
          <w:r>
            <w:t>Motivering</w:t>
          </w:r>
        </w:p>
      </w:sdtContent>
    </w:sdt>
    <w:bookmarkEnd w:displacedByCustomXml="prev" w:id="3"/>
    <w:bookmarkEnd w:displacedByCustomXml="prev" w:id="4"/>
    <w:p w:rsidRPr="00F25E16" w:rsidR="00F25E16" w:rsidP="00821304" w:rsidRDefault="00F25E16" w14:paraId="3CE26F46" w14:textId="27467DB5">
      <w:pPr>
        <w:pStyle w:val="Normalutanindragellerluft"/>
        <w:rPr>
          <w:rFonts w:ascii="Times New Roman" w:hAnsi="Times New Roman" w:eastAsia="Times New Roman" w:cs="Times New Roman"/>
          <w:lang w:eastAsia="sv-SE"/>
        </w:rPr>
      </w:pPr>
      <w:r w:rsidRPr="00F25E16">
        <w:rPr>
          <w:rFonts w:eastAsia="Times New Roman"/>
          <w:lang w:eastAsia="sv-SE"/>
        </w:rPr>
        <w:t>Befogenheterna för Polismyndigheten och Åklagarmyndigheten att använda hemliga tvångsmedel har successivt utökats över tid, med brett stöd i riksdagen. Av regeringens skrivelse framgår att användningen av hemliga tvångsmedel fortsätter att öka och att även nivåerna under 2024 ligger på en hög nivå. Miljöpartiet har i allt väsentligt stått bakom denna utveckling. Utökade möjligheter att använda hemliga tvångsmedel har länge efterfrågats av de brottsbekämpande myndigheterna och bedöms vara ett viktigt verktyg i arbetet mot den organiserade och gängrelaterade brottsligheten.</w:t>
      </w:r>
    </w:p>
    <w:p w:rsidRPr="00F25E16" w:rsidR="00F25E16" w:rsidP="00F25E16" w:rsidRDefault="00F25E16" w14:paraId="339CB1B9" w14:textId="2C9F8108">
      <w:pPr>
        <w:rPr>
          <w:rFonts w:ascii="Times New Roman" w:hAnsi="Times New Roman" w:eastAsia="Times New Roman" w:cs="Times New Roman"/>
          <w:lang w:eastAsia="sv-SE"/>
        </w:rPr>
      </w:pPr>
      <w:r w:rsidRPr="00F25E16">
        <w:rPr>
          <w:rFonts w:eastAsia="Times New Roman"/>
          <w:lang w:eastAsia="sv-SE"/>
        </w:rPr>
        <w:t xml:space="preserve">Genom att användning av hemliga tvångsmedel, även i preventivt syfte, </w:t>
      </w:r>
      <w:r w:rsidRPr="00F25E16" w:rsidR="004A037D">
        <w:rPr>
          <w:rFonts w:eastAsia="Times New Roman"/>
          <w:lang w:eastAsia="sv-SE"/>
        </w:rPr>
        <w:t>möjligg</w:t>
      </w:r>
      <w:r w:rsidR="004A037D">
        <w:rPr>
          <w:rFonts w:eastAsia="Times New Roman"/>
          <w:lang w:eastAsia="sv-SE"/>
        </w:rPr>
        <w:t>jorts</w:t>
      </w:r>
      <w:r w:rsidRPr="00F25E16" w:rsidR="004A037D">
        <w:rPr>
          <w:rFonts w:eastAsia="Times New Roman"/>
          <w:lang w:eastAsia="sv-SE"/>
        </w:rPr>
        <w:t xml:space="preserve"> </w:t>
      </w:r>
      <w:r w:rsidRPr="00F25E16">
        <w:rPr>
          <w:rFonts w:eastAsia="Times New Roman"/>
          <w:lang w:eastAsia="sv-SE"/>
        </w:rPr>
        <w:t>har polisens förmåga att förhindra och utreda allvarliga våldsbrott samt lagföra gärningspersoner stärkts. Tvångsmedlen är därmed betydelsefulla för den allmänna tryggheten i samhället, för att ge brottsoffer upprättelse och ur ett bredare brotts</w:t>
      </w:r>
      <w:r w:rsidR="00BE6F89">
        <w:rPr>
          <w:rFonts w:eastAsia="Times New Roman"/>
          <w:lang w:eastAsia="sv-SE"/>
        </w:rPr>
        <w:softHyphen/>
      </w:r>
      <w:r w:rsidRPr="00F25E16">
        <w:rPr>
          <w:rFonts w:eastAsia="Times New Roman"/>
          <w:lang w:eastAsia="sv-SE"/>
        </w:rPr>
        <w:t xml:space="preserve">förebyggande perspektiv. Av årets redovisning framgår också att hemliga tvångsmedel huvudsakligen används inom förundersökningar som rör allvarlig brottslighet, såsom grov organiserad kriminalitet, narkotikabrott och våldsbrott. Mot denna bakgrund delar Miljöpartiet i stora drag regeringens bedömning att den nuvarande ordningen för </w:t>
      </w:r>
      <w:r w:rsidRPr="00F25E16">
        <w:rPr>
          <w:rFonts w:eastAsia="Times New Roman"/>
          <w:lang w:eastAsia="sv-SE"/>
        </w:rPr>
        <w:lastRenderedPageBreak/>
        <w:t>användning och kontroll av hemliga tvångsmedel i grunden fungerar väl och att de utökade befogenheterna i huvudsak riktas mot grov brottslighet.</w:t>
      </w:r>
    </w:p>
    <w:p w:rsidRPr="00F25E16" w:rsidR="00F25E16" w:rsidP="00F25E16" w:rsidRDefault="00F25E16" w14:paraId="411B8C00" w14:textId="2892B9DB">
      <w:pPr>
        <w:rPr>
          <w:rFonts w:ascii="Times New Roman" w:hAnsi="Times New Roman" w:eastAsia="Times New Roman" w:cs="Times New Roman"/>
          <w:lang w:eastAsia="sv-SE"/>
        </w:rPr>
      </w:pPr>
      <w:r w:rsidRPr="00F25E16">
        <w:rPr>
          <w:rFonts w:eastAsia="Times New Roman"/>
          <w:lang w:eastAsia="sv-SE"/>
        </w:rPr>
        <w:t>Samtidigt menar Miljöpartiet att en fortsatt utbyggnad av tvångsmedelsanvändningen måste gå hand i hand med ett starkt och konsekvent fokus på rättssäkerhet och skydd för den personliga integriteten. I takt med att användningen ökar, ökar också kraven på uppföljning, insyn och effektiv tillsyn. Den årliga redovisningen till riksdagen blir därför allt viktigare som ett verktyg för demokratisk kontroll.</w:t>
      </w:r>
    </w:p>
    <w:p w:rsidRPr="00F25E16" w:rsidR="00F25E16" w:rsidP="00F25E16" w:rsidRDefault="00F25E16" w14:paraId="3DAF25F0" w14:textId="7E25D237">
      <w:pPr>
        <w:rPr>
          <w:rFonts w:ascii="Times New Roman" w:hAnsi="Times New Roman" w:eastAsia="Times New Roman" w:cs="Times New Roman"/>
          <w:lang w:eastAsia="sv-SE"/>
        </w:rPr>
      </w:pPr>
      <w:r w:rsidRPr="00F25E16">
        <w:rPr>
          <w:rFonts w:eastAsia="Times New Roman"/>
          <w:lang w:eastAsia="sv-SE"/>
        </w:rPr>
        <w:t>Miljöpartiet konstaterar dock att regeringens skrivelse även fortsatt uppvisar brister när det gäller transparens och möjligheten för riksdagen att fullt ut bedöma konsekven</w:t>
      </w:r>
      <w:r w:rsidR="00BE6F89">
        <w:rPr>
          <w:rFonts w:eastAsia="Times New Roman"/>
          <w:lang w:eastAsia="sv-SE"/>
        </w:rPr>
        <w:softHyphen/>
      </w:r>
      <w:r w:rsidRPr="00F25E16">
        <w:rPr>
          <w:rFonts w:eastAsia="Times New Roman"/>
          <w:lang w:eastAsia="sv-SE"/>
        </w:rPr>
        <w:t>serna för enskilda. När hemliga tvångsmedel används i stor omfattning och i många fall riktas mot personer som senare inte lagförs är det av särskild vikt att riksdagen har tillgång till ett tillräckligt och heltäckande underlag för att kunna utöva sin kontrollmakt.</w:t>
      </w:r>
    </w:p>
    <w:p w:rsidRPr="00F25E16" w:rsidR="00F25E16" w:rsidP="00F25E16" w:rsidRDefault="00F25E16" w14:paraId="1009F639" w14:textId="4804C899">
      <w:pPr>
        <w:rPr>
          <w:rFonts w:ascii="Times New Roman" w:hAnsi="Times New Roman" w:eastAsia="Times New Roman" w:cs="Times New Roman"/>
          <w:lang w:eastAsia="sv-SE"/>
        </w:rPr>
      </w:pPr>
      <w:r w:rsidRPr="00F25E16">
        <w:rPr>
          <w:rFonts w:eastAsia="Times New Roman"/>
          <w:lang w:eastAsia="sv-SE"/>
        </w:rPr>
        <w:t>En brist rör underrättelser till enskilda. I dag redovisas statistik över hur många underrättelser som inte lämnas på grund av sekretess, men regeringen redovisar inte hur många personer som faktiskt underrättas om att de har varit föremål för hemliga tvångsmedel. Avsaknaden av sådan statistik försvårar en samlad bedömning av hur underrättelseskyldigheten tillämpas i praktiken. Miljöpartiet menar därför att regeringen bör återkomma med statistik som tydligt visar hur ofta underrättelser lämnas respektive uteblir.</w:t>
      </w:r>
    </w:p>
    <w:p w:rsidRPr="00F25E16" w:rsidR="00F25E16" w:rsidP="00F25E16" w:rsidRDefault="00F25E16" w14:paraId="14EB65B3" w14:textId="22DCDEFD">
      <w:pPr>
        <w:rPr>
          <w:rFonts w:ascii="Times New Roman" w:hAnsi="Times New Roman" w:eastAsia="Times New Roman" w:cs="Times New Roman"/>
          <w:lang w:eastAsia="sv-SE"/>
        </w:rPr>
      </w:pPr>
      <w:r w:rsidRPr="00F25E16">
        <w:rPr>
          <w:rFonts w:eastAsia="Times New Roman"/>
          <w:lang w:eastAsia="sv-SE"/>
        </w:rPr>
        <w:t xml:space="preserve">Vidare anser Miljöpartiet att den nuvarande tidsgränsen om ett år och sex månader för när </w:t>
      </w:r>
      <w:r w:rsidR="00A24411">
        <w:rPr>
          <w:rFonts w:eastAsia="Times New Roman"/>
          <w:lang w:eastAsia="sv-SE"/>
        </w:rPr>
        <w:t xml:space="preserve">en </w:t>
      </w:r>
      <w:r w:rsidRPr="00F25E16">
        <w:rPr>
          <w:rFonts w:eastAsia="Times New Roman"/>
          <w:lang w:eastAsia="sv-SE"/>
        </w:rPr>
        <w:t>underrättelse inte längre behöver lämnas på grund av sekretess är alltför kort. För den enskilde kan det ha ett betydande värde att i efterhand få kännedom om att hemliga tvångsmedel har använts, även om lång tid har förflutit. När användningen av hemliga tvångsmedel ökar bör också kraven på öppenhet och möjlighet till insyn stärkas. Tidsgränsen bör därför höjas till åtminstone tio år. Vi välkomnar den utredning som just nu har i uppdrag att se över hur dagens system med underrättelser fungerar i praktiken</w:t>
      </w:r>
      <w:r>
        <w:rPr>
          <w:rFonts w:eastAsia="Times New Roman"/>
          <w:lang w:eastAsia="sv-SE"/>
        </w:rPr>
        <w:t xml:space="preserve"> </w:t>
      </w:r>
      <w:r w:rsidRPr="00F25E16">
        <w:rPr>
          <w:rFonts w:eastAsia="Times New Roman"/>
          <w:lang w:eastAsia="sv-SE"/>
        </w:rPr>
        <w:t>och ser fram emot att senare i år ta del av utredningens slutsatser.</w:t>
      </w:r>
    </w:p>
    <w:p w:rsidR="00F25E16" w:rsidP="00F25E16" w:rsidRDefault="00F25E16" w14:paraId="25A9521B" w14:textId="11C976E1">
      <w:pPr>
        <w:rPr>
          <w:rFonts w:eastAsia="Times New Roman"/>
          <w:lang w:eastAsia="sv-SE"/>
        </w:rPr>
      </w:pPr>
      <w:r w:rsidRPr="00F25E16">
        <w:rPr>
          <w:rFonts w:eastAsia="Times New Roman"/>
          <w:lang w:eastAsia="sv-SE"/>
        </w:rPr>
        <w:t xml:space="preserve">Miljöpartiet konstaterar också att en ökad användning av hemliga tvångsmedel ställer höga krav på att lagstiftningen tillämpas korrekt. Regeringens skrivelse ger begränsad information om felaktig användning och om hur ansvarsfrågor hanteras. För att stärka rättssäkerheten bör regeringen därför tillsätta en utredning </w:t>
      </w:r>
      <w:r w:rsidR="00A24411">
        <w:rPr>
          <w:rFonts w:eastAsia="Times New Roman"/>
          <w:lang w:eastAsia="sv-SE"/>
        </w:rPr>
        <w:t>i</w:t>
      </w:r>
      <w:r w:rsidRPr="00F25E16">
        <w:rPr>
          <w:rFonts w:eastAsia="Times New Roman"/>
          <w:lang w:eastAsia="sv-SE"/>
        </w:rPr>
        <w:t xml:space="preserve"> syfte att minska utrymmet för vilka tjänstefel som kan anses ringa, och därmed straffria, när det gäller användning av hemliga tvångsmedel.</w:t>
      </w:r>
    </w:p>
    <w:p w:rsidRPr="00F25E16" w:rsidR="00F25E16" w:rsidP="00F25E16" w:rsidRDefault="00F25E16" w14:paraId="6BBF939F" w14:textId="3D4E352C">
      <w:pPr>
        <w:rPr>
          <w:rFonts w:ascii="Times New Roman" w:hAnsi="Times New Roman" w:eastAsia="Times New Roman" w:cs="Times New Roman"/>
          <w:lang w:eastAsia="sv-SE"/>
        </w:rPr>
      </w:pPr>
      <w:r w:rsidRPr="00F25E16">
        <w:rPr>
          <w:rFonts w:ascii="Times New Roman" w:hAnsi="Times New Roman" w:eastAsia="Times New Roman" w:cs="Times New Roman"/>
          <w:lang w:eastAsia="sv-SE"/>
        </w:rPr>
        <w:t>Slutligen konstaterar Miljöpartiet att de sänkta trösklarna för användning av hemliga tvångsmedel, i kombination med att de nu även används i preventivt syfte, har lett till en kraftigt ökad arbetsbelastning för tillsynsmyndigheten Säkerhets- och integritetsskydds</w:t>
      </w:r>
      <w:r w:rsidR="00BE6F89">
        <w:rPr>
          <w:rFonts w:ascii="Times New Roman" w:hAnsi="Times New Roman" w:eastAsia="Times New Roman" w:cs="Times New Roman"/>
          <w:lang w:eastAsia="sv-SE"/>
        </w:rPr>
        <w:softHyphen/>
      </w:r>
      <w:r w:rsidRPr="00F25E16">
        <w:rPr>
          <w:rFonts w:ascii="Times New Roman" w:hAnsi="Times New Roman" w:eastAsia="Times New Roman" w:cs="Times New Roman"/>
          <w:lang w:eastAsia="sv-SE"/>
        </w:rPr>
        <w:t>nämnden (SIN). Detta har bl</w:t>
      </w:r>
      <w:r w:rsidR="00A24411">
        <w:rPr>
          <w:rFonts w:ascii="Times New Roman" w:hAnsi="Times New Roman" w:eastAsia="Times New Roman" w:cs="Times New Roman"/>
          <w:lang w:eastAsia="sv-SE"/>
        </w:rPr>
        <w:t>.</w:t>
      </w:r>
      <w:r w:rsidRPr="00F25E16">
        <w:rPr>
          <w:rFonts w:ascii="Times New Roman" w:hAnsi="Times New Roman" w:eastAsia="Times New Roman" w:cs="Times New Roman"/>
          <w:lang w:eastAsia="sv-SE"/>
        </w:rPr>
        <w:t>a</w:t>
      </w:r>
      <w:r w:rsidR="00A24411">
        <w:rPr>
          <w:rFonts w:ascii="Times New Roman" w:hAnsi="Times New Roman" w:eastAsia="Times New Roman" w:cs="Times New Roman"/>
          <w:lang w:eastAsia="sv-SE"/>
        </w:rPr>
        <w:t>.</w:t>
      </w:r>
      <w:r w:rsidRPr="00F25E16">
        <w:rPr>
          <w:rFonts w:ascii="Times New Roman" w:hAnsi="Times New Roman" w:eastAsia="Times New Roman" w:cs="Times New Roman"/>
          <w:lang w:eastAsia="sv-SE"/>
        </w:rPr>
        <w:t xml:space="preserve"> redovisats i samband med nämndens besök i justitie</w:t>
      </w:r>
      <w:r w:rsidR="00BE6F89">
        <w:rPr>
          <w:rFonts w:ascii="Times New Roman" w:hAnsi="Times New Roman" w:eastAsia="Times New Roman" w:cs="Times New Roman"/>
          <w:lang w:eastAsia="sv-SE"/>
        </w:rPr>
        <w:softHyphen/>
      </w:r>
      <w:r w:rsidRPr="00F25E16">
        <w:rPr>
          <w:rFonts w:ascii="Times New Roman" w:hAnsi="Times New Roman" w:eastAsia="Times New Roman" w:cs="Times New Roman"/>
          <w:lang w:eastAsia="sv-SE"/>
        </w:rPr>
        <w:t>utskottet i november 2024. Miljöpartiet menar att SIN behöver förstärkas, både resursmässigt och befogenhetsmässigt. När hemliga tvångsmedel, inklusive hemlig dataavläsning, används i allt större omfattning måste tillsynsmyndigheten ha goda förutsättningar att bedriva en effektiv och kvalificerad tillsyn, så att tvångsmedel inte används på felaktiga eller oproportionerliga grunder.</w:t>
      </w:r>
    </w:p>
    <w:sdt>
      <w:sdtPr>
        <w:rPr>
          <w:i/>
          <w:noProof/>
        </w:rPr>
        <w:alias w:val="CC_Underskrifter"/>
        <w:tag w:val="CC_Underskrifter"/>
        <w:id w:val="583496634"/>
        <w:lock w:val="sdtContentLocked"/>
        <w:placeholder>
          <w:docPart w:val="3032DDC2582C4E8A8BA7ADCAE61776F8"/>
        </w:placeholder>
      </w:sdtPr>
      <w:sdtEndPr/>
      <w:sdtContent>
        <w:p w:rsidR="00821304" w:rsidP="003E1DE1" w:rsidRDefault="00821304" w14:paraId="3E98A2D8" w14:textId="77777777"/>
        <w:p w:rsidR="00821304" w:rsidP="003E1DE1" w:rsidRDefault="00BE6F89" w14:paraId="7F7D08AF" w14:textId="446B93FF"/>
      </w:sdtContent>
    </w:sdt>
    <w:tbl>
      <w:tblPr>
        <w:tblW w:w="5000" w:type="pct"/>
        <w:tblLook w:val="04A0" w:firstRow="1" w:lastRow="0" w:firstColumn="1" w:lastColumn="0" w:noHBand="0" w:noVBand="1"/>
        <w:tblCaption w:val="underskrifter"/>
      </w:tblPr>
      <w:tblGrid>
        <w:gridCol w:w="4252"/>
        <w:gridCol w:w="4252"/>
      </w:tblGrid>
      <w:tr w:rsidR="00CC5087" w14:paraId="44DAD50D" w14:textId="77777777">
        <w:trPr>
          <w:cantSplit/>
        </w:trPr>
        <w:tc>
          <w:tcPr>
            <w:tcW w:w="50" w:type="pct"/>
            <w:vAlign w:val="bottom"/>
          </w:tcPr>
          <w:p w:rsidR="00CC5087" w:rsidRDefault="00434DA6" w14:paraId="094BF57C" w14:textId="77777777">
            <w:pPr>
              <w:pStyle w:val="Underskrifter"/>
              <w:spacing w:after="0"/>
            </w:pPr>
            <w:r>
              <w:t>Ulrika Westerlund (MP)</w:t>
            </w:r>
          </w:p>
        </w:tc>
        <w:tc>
          <w:tcPr>
            <w:tcW w:w="50" w:type="pct"/>
            <w:vAlign w:val="bottom"/>
          </w:tcPr>
          <w:p w:rsidR="00CC5087" w:rsidRDefault="00CC5087" w14:paraId="421543E7" w14:textId="77777777">
            <w:pPr>
              <w:pStyle w:val="Underskrifter"/>
              <w:spacing w:after="0"/>
            </w:pPr>
          </w:p>
        </w:tc>
      </w:tr>
      <w:tr w:rsidR="00CC5087" w14:paraId="36EB266C" w14:textId="77777777">
        <w:trPr>
          <w:cantSplit/>
        </w:trPr>
        <w:tc>
          <w:tcPr>
            <w:tcW w:w="50" w:type="pct"/>
            <w:vAlign w:val="bottom"/>
          </w:tcPr>
          <w:p w:rsidR="00CC5087" w:rsidRDefault="00434DA6" w14:paraId="1A2C2F4A" w14:textId="77777777">
            <w:pPr>
              <w:pStyle w:val="Underskrifter"/>
              <w:spacing w:after="0"/>
            </w:pPr>
            <w:r>
              <w:lastRenderedPageBreak/>
              <w:t>Mats Berglund (MP)</w:t>
            </w:r>
          </w:p>
        </w:tc>
        <w:tc>
          <w:tcPr>
            <w:tcW w:w="50" w:type="pct"/>
            <w:vAlign w:val="bottom"/>
          </w:tcPr>
          <w:p w:rsidR="00CC5087" w:rsidRDefault="00434DA6" w14:paraId="2C1EDC03" w14:textId="77777777">
            <w:pPr>
              <w:pStyle w:val="Underskrifter"/>
              <w:spacing w:after="0"/>
            </w:pPr>
            <w:r>
              <w:t>Camilla Hansén (MP)</w:t>
            </w:r>
          </w:p>
        </w:tc>
      </w:tr>
      <w:tr w:rsidR="00CC5087" w14:paraId="12C7E651" w14:textId="77777777">
        <w:trPr>
          <w:cantSplit/>
        </w:trPr>
        <w:tc>
          <w:tcPr>
            <w:tcW w:w="50" w:type="pct"/>
            <w:vAlign w:val="bottom"/>
          </w:tcPr>
          <w:p w:rsidR="00CC5087" w:rsidRDefault="00434DA6" w14:paraId="762DD413" w14:textId="77777777">
            <w:pPr>
              <w:pStyle w:val="Underskrifter"/>
              <w:spacing w:after="0"/>
            </w:pPr>
            <w:r>
              <w:t>Annika Hirvonen (MP)</w:t>
            </w:r>
          </w:p>
        </w:tc>
        <w:tc>
          <w:tcPr>
            <w:tcW w:w="50" w:type="pct"/>
            <w:vAlign w:val="bottom"/>
          </w:tcPr>
          <w:p w:rsidR="00CC5087" w:rsidRDefault="00434DA6" w14:paraId="572DCABF" w14:textId="77777777">
            <w:pPr>
              <w:pStyle w:val="Underskrifter"/>
              <w:spacing w:after="0"/>
            </w:pPr>
            <w:r>
              <w:t>Jan Riise (MP)</w:t>
            </w:r>
          </w:p>
        </w:tc>
      </w:tr>
      <w:tr w:rsidR="00CC5087" w14:paraId="284631BF" w14:textId="77777777">
        <w:trPr>
          <w:cantSplit/>
        </w:trPr>
        <w:tc>
          <w:tcPr>
            <w:tcW w:w="50" w:type="pct"/>
            <w:vAlign w:val="bottom"/>
          </w:tcPr>
          <w:p w:rsidR="00CC5087" w:rsidRDefault="00434DA6" w14:paraId="19DB7E9B" w14:textId="77777777">
            <w:pPr>
              <w:pStyle w:val="Underskrifter"/>
              <w:spacing w:after="0"/>
            </w:pPr>
            <w:r>
              <w:t>Nils Seye Larsen (MP)</w:t>
            </w:r>
          </w:p>
        </w:tc>
        <w:tc>
          <w:tcPr>
            <w:tcW w:w="50" w:type="pct"/>
            <w:vAlign w:val="bottom"/>
          </w:tcPr>
          <w:p w:rsidR="00CC5087" w:rsidRDefault="00CC5087" w14:paraId="1494B73C" w14:textId="77777777">
            <w:pPr>
              <w:pStyle w:val="Underskrifter"/>
              <w:spacing w:after="0"/>
            </w:pPr>
          </w:p>
        </w:tc>
      </w:tr>
    </w:tbl>
    <w:p w:rsidRPr="008E0FE2" w:rsidR="004801AC" w:rsidP="00DF3554" w:rsidRDefault="004801AC" w14:paraId="656304C4" w14:textId="7AC32F5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4DCDC" w14:textId="77777777" w:rsidR="00BF3A62" w:rsidRDefault="00BF3A62" w:rsidP="000C1CAD">
      <w:pPr>
        <w:spacing w:line="240" w:lineRule="auto"/>
      </w:pPr>
      <w:r>
        <w:separator/>
      </w:r>
    </w:p>
  </w:endnote>
  <w:endnote w:type="continuationSeparator" w:id="0">
    <w:p w14:paraId="77BA8F2F" w14:textId="77777777" w:rsidR="00BF3A62" w:rsidRDefault="00BF3A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85E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E78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45410" w14:textId="07D78971" w:rsidR="00262EA3" w:rsidRPr="003E1DE1" w:rsidRDefault="00262EA3" w:rsidP="003E1D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27EC0" w14:textId="77777777" w:rsidR="00BF3A62" w:rsidRDefault="00BF3A62" w:rsidP="000C1CAD">
      <w:pPr>
        <w:spacing w:line="240" w:lineRule="auto"/>
      </w:pPr>
      <w:r>
        <w:separator/>
      </w:r>
    </w:p>
  </w:footnote>
  <w:footnote w:type="continuationSeparator" w:id="0">
    <w:p w14:paraId="264883DC" w14:textId="77777777" w:rsidR="00BF3A62" w:rsidRDefault="00BF3A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D1D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2FFCFF" wp14:editId="3E0978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91C9AC" w14:textId="6017DC81" w:rsidR="00262EA3" w:rsidRDefault="00BE6F89" w:rsidP="008103B5">
                          <w:pPr>
                            <w:jc w:val="right"/>
                          </w:pPr>
                          <w:sdt>
                            <w:sdtPr>
                              <w:alias w:val="CC_Noformat_Partikod"/>
                              <w:tag w:val="CC_Noformat_Partikod"/>
                              <w:id w:val="-53464382"/>
                              <w:placeholder>
                                <w:docPart w:val="478135D79AC14C15AEA5BDFEBD6398DD"/>
                              </w:placeholder>
                              <w:text/>
                            </w:sdtPr>
                            <w:sdtEndPr/>
                            <w:sdtContent>
                              <w:r w:rsidR="00F25E16">
                                <w:t>MP</w:t>
                              </w:r>
                            </w:sdtContent>
                          </w:sdt>
                          <w:sdt>
                            <w:sdtPr>
                              <w:alias w:val="CC_Noformat_Partinummer"/>
                              <w:tag w:val="CC_Noformat_Partinummer"/>
                              <w:id w:val="-1709555926"/>
                              <w:placeholder>
                                <w:docPart w:val="861C618A38E04B6B9FE7B7881820063D"/>
                              </w:placeholder>
                              <w:text/>
                            </w:sdtPr>
                            <w:sdtEndPr/>
                            <w:sdtContent>
                              <w:r w:rsidR="00821304">
                                <w:t>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2FFC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91C9AC" w14:textId="6017DC81" w:rsidR="00262EA3" w:rsidRDefault="00BE6F89" w:rsidP="008103B5">
                    <w:pPr>
                      <w:jc w:val="right"/>
                    </w:pPr>
                    <w:sdt>
                      <w:sdtPr>
                        <w:alias w:val="CC_Noformat_Partikod"/>
                        <w:tag w:val="CC_Noformat_Partikod"/>
                        <w:id w:val="-53464382"/>
                        <w:placeholder>
                          <w:docPart w:val="478135D79AC14C15AEA5BDFEBD6398DD"/>
                        </w:placeholder>
                        <w:text/>
                      </w:sdtPr>
                      <w:sdtEndPr/>
                      <w:sdtContent>
                        <w:r w:rsidR="00F25E16">
                          <w:t>MP</w:t>
                        </w:r>
                      </w:sdtContent>
                    </w:sdt>
                    <w:sdt>
                      <w:sdtPr>
                        <w:alias w:val="CC_Noformat_Partinummer"/>
                        <w:tag w:val="CC_Noformat_Partinummer"/>
                        <w:id w:val="-1709555926"/>
                        <w:placeholder>
                          <w:docPart w:val="861C618A38E04B6B9FE7B7881820063D"/>
                        </w:placeholder>
                        <w:text/>
                      </w:sdtPr>
                      <w:sdtEndPr/>
                      <w:sdtContent>
                        <w:r w:rsidR="00821304">
                          <w:t>026</w:t>
                        </w:r>
                      </w:sdtContent>
                    </w:sdt>
                  </w:p>
                </w:txbxContent>
              </v:textbox>
              <w10:wrap anchorx="page"/>
            </v:shape>
          </w:pict>
        </mc:Fallback>
      </mc:AlternateContent>
    </w:r>
  </w:p>
  <w:p w14:paraId="7AD48A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07FD9" w14:textId="77777777" w:rsidR="00262EA3" w:rsidRDefault="00262EA3" w:rsidP="008563AC">
    <w:pPr>
      <w:jc w:val="right"/>
    </w:pPr>
  </w:p>
  <w:p w14:paraId="49B587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7D71" w14:textId="77777777" w:rsidR="00262EA3" w:rsidRDefault="00BE6F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6F636D" wp14:editId="284600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FF4167" w14:textId="754689D9" w:rsidR="00262EA3" w:rsidRDefault="00BE6F89" w:rsidP="00A314CF">
    <w:pPr>
      <w:pStyle w:val="FSHNormal"/>
      <w:spacing w:before="40"/>
    </w:pPr>
    <w:sdt>
      <w:sdtPr>
        <w:alias w:val="CC_Noformat_Motionstyp"/>
        <w:tag w:val="CC_Noformat_Motionstyp"/>
        <w:id w:val="1162973129"/>
        <w:lock w:val="sdtContentLocked"/>
        <w15:appearance w15:val="hidden"/>
        <w:text/>
      </w:sdtPr>
      <w:sdtEndPr/>
      <w:sdtContent>
        <w:r w:rsidR="003E1DE1">
          <w:t>Kommittémotion</w:t>
        </w:r>
      </w:sdtContent>
    </w:sdt>
    <w:r w:rsidR="00821B36">
      <w:t xml:space="preserve"> </w:t>
    </w:r>
    <w:sdt>
      <w:sdtPr>
        <w:alias w:val="CC_Noformat_Partikod"/>
        <w:tag w:val="CC_Noformat_Partikod"/>
        <w:id w:val="1471015553"/>
        <w:text/>
      </w:sdtPr>
      <w:sdtEndPr/>
      <w:sdtContent>
        <w:r w:rsidR="00F25E16">
          <w:t>MP</w:t>
        </w:r>
      </w:sdtContent>
    </w:sdt>
    <w:sdt>
      <w:sdtPr>
        <w:alias w:val="CC_Noformat_Partinummer"/>
        <w:tag w:val="CC_Noformat_Partinummer"/>
        <w:id w:val="-2014525982"/>
        <w:text/>
      </w:sdtPr>
      <w:sdtEndPr/>
      <w:sdtContent>
        <w:r w:rsidR="00821304">
          <w:t>026</w:t>
        </w:r>
      </w:sdtContent>
    </w:sdt>
  </w:p>
  <w:p w14:paraId="6F7CCEBA" w14:textId="77777777" w:rsidR="00262EA3" w:rsidRPr="008227B3" w:rsidRDefault="00BE6F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13AC42" w14:textId="5E6E8A0E" w:rsidR="00262EA3" w:rsidRPr="008227B3" w:rsidRDefault="00BE6F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1DE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1DE1">
          <w:t>:3886</w:t>
        </w:r>
      </w:sdtContent>
    </w:sdt>
  </w:p>
  <w:p w14:paraId="67C42F06" w14:textId="4B75446B" w:rsidR="00262EA3" w:rsidRDefault="00BE6F89" w:rsidP="00E03A3D">
    <w:pPr>
      <w:pStyle w:val="Motionr"/>
    </w:pPr>
    <w:sdt>
      <w:sdtPr>
        <w:alias w:val="CC_Noformat_Avtext"/>
        <w:tag w:val="CC_Noformat_Avtext"/>
        <w:id w:val="-2020768203"/>
        <w:lock w:val="sdtContentLocked"/>
        <w:placeholder>
          <w:docPart w:val="478135D79AC14C15AEA5BDFEBD6398DD"/>
        </w:placeholder>
        <w15:appearance w15:val="hidden"/>
        <w:text/>
      </w:sdtPr>
      <w:sdtEndPr/>
      <w:sdtContent>
        <w:r w:rsidR="003E1DE1">
          <w:t>av Ulrika Westerlund m.fl. (MP)</w:t>
        </w:r>
      </w:sdtContent>
    </w:sdt>
  </w:p>
  <w:sdt>
    <w:sdtPr>
      <w:alias w:val="CC_Noformat_Rubtext"/>
      <w:tag w:val="CC_Noformat_Rubtext"/>
      <w:id w:val="-218060500"/>
      <w:lock w:val="sdtLocked"/>
      <w:placeholder>
        <w:docPart w:val="861C618A38E04B6B9FE7B7881820063D"/>
      </w:placeholder>
      <w:text/>
    </w:sdtPr>
    <w:sdtEndPr/>
    <w:sdtContent>
      <w:p w14:paraId="6C4CEB38" w14:textId="6E222F20" w:rsidR="00262EA3" w:rsidRDefault="00821304" w:rsidP="00283E0F">
        <w:pPr>
          <w:pStyle w:val="FSHRub2"/>
        </w:pPr>
        <w:r>
          <w:t>med anledning av skr. 2025/26:82 Redovisning av användningen av hemliga tvångsmedel under 2024</w:t>
        </w:r>
      </w:p>
    </w:sdtContent>
  </w:sdt>
  <w:sdt>
    <w:sdtPr>
      <w:alias w:val="CC_Boilerplate_3"/>
      <w:tag w:val="CC_Boilerplate_3"/>
      <w:id w:val="1606463544"/>
      <w:lock w:val="sdtContentLocked"/>
      <w15:appearance w15:val="hidden"/>
      <w:text w:multiLine="1"/>
    </w:sdtPr>
    <w:sdtEndPr/>
    <w:sdtContent>
      <w:p w14:paraId="5DE8AE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65A3CE2"/>
    <w:multiLevelType w:val="hybridMultilevel"/>
    <w:tmpl w:val="AF7EE9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5E1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DE1"/>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DA6"/>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37D"/>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304"/>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410"/>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11"/>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C9A"/>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6F89"/>
    <w:rsid w:val="00BE714A"/>
    <w:rsid w:val="00BE75A8"/>
    <w:rsid w:val="00BF01BE"/>
    <w:rsid w:val="00BF01CE"/>
    <w:rsid w:val="00BF1375"/>
    <w:rsid w:val="00BF14D4"/>
    <w:rsid w:val="00BF1DA5"/>
    <w:rsid w:val="00BF1DB6"/>
    <w:rsid w:val="00BF1F4C"/>
    <w:rsid w:val="00BF23DA"/>
    <w:rsid w:val="00BF3A62"/>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087"/>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E16"/>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EDCEF0"/>
  <w15:chartTrackingRefBased/>
  <w15:docId w15:val="{3F9682AC-BEBE-4FC0-824D-11D72502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0907100">
      <w:bodyDiv w:val="1"/>
      <w:marLeft w:val="0"/>
      <w:marRight w:val="0"/>
      <w:marTop w:val="0"/>
      <w:marBottom w:val="0"/>
      <w:divBdr>
        <w:top w:val="none" w:sz="0" w:space="0" w:color="auto"/>
        <w:left w:val="none" w:sz="0" w:space="0" w:color="auto"/>
        <w:bottom w:val="none" w:sz="0" w:space="0" w:color="auto"/>
        <w:right w:val="none" w:sz="0" w:space="0" w:color="auto"/>
      </w:divBdr>
    </w:div>
    <w:div w:id="41736210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8772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BAAC60522246BCADCC86FB87D310D6"/>
        <w:category>
          <w:name w:val="Allmänt"/>
          <w:gallery w:val="placeholder"/>
        </w:category>
        <w:types>
          <w:type w:val="bbPlcHdr"/>
        </w:types>
        <w:behaviors>
          <w:behavior w:val="content"/>
        </w:behaviors>
        <w:guid w:val="{87362452-1E47-469C-A3A3-851AAA1778C7}"/>
      </w:docPartPr>
      <w:docPartBody>
        <w:p w:rsidR="00C235BB" w:rsidRDefault="00EB79EF">
          <w:pPr>
            <w:pStyle w:val="E4BAAC60522246BCADCC86FB87D310D6"/>
          </w:pPr>
          <w:r w:rsidRPr="005A0A93">
            <w:rPr>
              <w:rStyle w:val="Platshllartext"/>
            </w:rPr>
            <w:t>Förslag till riksdagsbeslut</w:t>
          </w:r>
        </w:p>
      </w:docPartBody>
    </w:docPart>
    <w:docPart>
      <w:docPartPr>
        <w:name w:val="100F413E0A394B76B895D213F64F114E"/>
        <w:category>
          <w:name w:val="Allmänt"/>
          <w:gallery w:val="placeholder"/>
        </w:category>
        <w:types>
          <w:type w:val="bbPlcHdr"/>
        </w:types>
        <w:behaviors>
          <w:behavior w:val="content"/>
        </w:behaviors>
        <w:guid w:val="{6D555879-EA8C-418F-9D1E-611F345A3246}"/>
      </w:docPartPr>
      <w:docPartBody>
        <w:p w:rsidR="00C235BB" w:rsidRDefault="00EB79EF">
          <w:pPr>
            <w:pStyle w:val="100F413E0A394B76B895D213F64F114E"/>
          </w:pPr>
          <w:r w:rsidRPr="005A0A93">
            <w:rPr>
              <w:rStyle w:val="Platshllartext"/>
            </w:rPr>
            <w:t>Motivering</w:t>
          </w:r>
        </w:p>
      </w:docPartBody>
    </w:docPart>
    <w:docPart>
      <w:docPartPr>
        <w:name w:val="478135D79AC14C15AEA5BDFEBD6398DD"/>
        <w:category>
          <w:name w:val="Allmänt"/>
          <w:gallery w:val="placeholder"/>
        </w:category>
        <w:types>
          <w:type w:val="bbPlcHdr"/>
        </w:types>
        <w:behaviors>
          <w:behavior w:val="content"/>
        </w:behaviors>
        <w:guid w:val="{CE4AF0E6-910A-45C7-A052-FF6665C0AE2C}"/>
      </w:docPartPr>
      <w:docPartBody>
        <w:p w:rsidR="00C235BB" w:rsidRDefault="00EB79EF">
          <w:pPr>
            <w:pStyle w:val="478135D79AC14C15AEA5BDFEBD6398DD"/>
          </w:pPr>
          <w:r>
            <w:rPr>
              <w:rStyle w:val="Platshllartext"/>
            </w:rPr>
            <w:t xml:space="preserve"> </w:t>
          </w:r>
        </w:p>
      </w:docPartBody>
    </w:docPart>
    <w:docPart>
      <w:docPartPr>
        <w:name w:val="861C618A38E04B6B9FE7B7881820063D"/>
        <w:category>
          <w:name w:val="Allmänt"/>
          <w:gallery w:val="placeholder"/>
        </w:category>
        <w:types>
          <w:type w:val="bbPlcHdr"/>
        </w:types>
        <w:behaviors>
          <w:behavior w:val="content"/>
        </w:behaviors>
        <w:guid w:val="{7541559F-478C-47B7-8377-CD8D02FE6621}"/>
      </w:docPartPr>
      <w:docPartBody>
        <w:p w:rsidR="00C235BB" w:rsidRDefault="00EB79EF">
          <w:pPr>
            <w:pStyle w:val="861C618A38E04B6B9FE7B7881820063D"/>
          </w:pPr>
          <w:r>
            <w:t xml:space="preserve"> </w:t>
          </w:r>
        </w:p>
      </w:docPartBody>
    </w:docPart>
    <w:docPart>
      <w:docPartPr>
        <w:name w:val="3032DDC2582C4E8A8BA7ADCAE61776F8"/>
        <w:category>
          <w:name w:val="Allmänt"/>
          <w:gallery w:val="placeholder"/>
        </w:category>
        <w:types>
          <w:type w:val="bbPlcHdr"/>
        </w:types>
        <w:behaviors>
          <w:behavior w:val="content"/>
        </w:behaviors>
        <w:guid w:val="{31DFE655-A0B0-443A-BF8A-3393646A6709}"/>
      </w:docPartPr>
      <w:docPartBody>
        <w:p w:rsidR="00C169C4" w:rsidRDefault="00C169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9EF"/>
    <w:rsid w:val="00982410"/>
    <w:rsid w:val="00C169C4"/>
    <w:rsid w:val="00C235BB"/>
    <w:rsid w:val="00EB79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BAAC60522246BCADCC86FB87D310D6">
    <w:name w:val="E4BAAC60522246BCADCC86FB87D310D6"/>
  </w:style>
  <w:style w:type="paragraph" w:customStyle="1" w:styleId="100F413E0A394B76B895D213F64F114E">
    <w:name w:val="100F413E0A394B76B895D213F64F114E"/>
  </w:style>
  <w:style w:type="paragraph" w:customStyle="1" w:styleId="478135D79AC14C15AEA5BDFEBD6398DD">
    <w:name w:val="478135D79AC14C15AEA5BDFEBD6398DD"/>
  </w:style>
  <w:style w:type="paragraph" w:customStyle="1" w:styleId="861C618A38E04B6B9FE7B7881820063D">
    <w:name w:val="861C618A38E04B6B9FE7B788182006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62B141-E4C4-4C53-9562-085A603A2606}"/>
</file>

<file path=customXml/itemProps2.xml><?xml version="1.0" encoding="utf-8"?>
<ds:datastoreItem xmlns:ds="http://schemas.openxmlformats.org/officeDocument/2006/customXml" ds:itemID="{182D6B69-C4B5-45B6-AE9A-BFDC5C9303F7}"/>
</file>

<file path=customXml/itemProps3.xml><?xml version="1.0" encoding="utf-8"?>
<ds:datastoreItem xmlns:ds="http://schemas.openxmlformats.org/officeDocument/2006/customXml" ds:itemID="{500077A7-D375-4711-B97C-9E4D0C5D37EC}"/>
</file>

<file path=docProps/app.xml><?xml version="1.0" encoding="utf-8"?>
<Properties xmlns="http://schemas.openxmlformats.org/officeDocument/2006/extended-properties" xmlns:vt="http://schemas.openxmlformats.org/officeDocument/2006/docPropsVTypes">
  <Template>Normal</Template>
  <TotalTime>11</TotalTime>
  <Pages>3</Pages>
  <Words>735</Words>
  <Characters>4497</Characters>
  <Application>Microsoft Office Word</Application>
  <DocSecurity>0</DocSecurity>
  <Lines>78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5212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