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5D8" w:rsidRPr="002155AD" w:rsidRDefault="007435D8" w:rsidP="007435D8">
      <w:pPr>
        <w:pStyle w:val="Hemstlrubrik"/>
      </w:pPr>
      <w:r w:rsidRPr="002155AD">
        <w:t>Förslag till riksdagsbeslut</w:t>
      </w:r>
    </w:p>
    <w:p w:rsidR="007435D8" w:rsidRPr="002155AD" w:rsidRDefault="007435D8" w:rsidP="007435D8">
      <w:pPr>
        <w:pStyle w:val="Hemstlatt"/>
      </w:pPr>
      <w:r w:rsidRPr="002155AD">
        <w:t>Riksdagen tillkännager för regeringen som sin mening vad i motionen anförs om att säkerställa att transparenta och grundliga berednings- och beslutsprocesser finns på plats redan initialt vid ombildningar av statlig ver</w:t>
      </w:r>
      <w:r w:rsidRPr="002155AD">
        <w:t>k</w:t>
      </w:r>
      <w:r w:rsidRPr="002155AD">
        <w:t>samhet.</w:t>
      </w:r>
    </w:p>
    <w:p w:rsidR="007435D8" w:rsidRPr="002155AD" w:rsidRDefault="007435D8" w:rsidP="007435D8">
      <w:pPr>
        <w:pStyle w:val="Hemstlatt"/>
      </w:pPr>
      <w:r w:rsidRPr="002155AD">
        <w:t xml:space="preserve">Riksdagen tillkännager för regeringen som sin mening vad i motionen anförs om att </w:t>
      </w:r>
      <w:r w:rsidR="009E1F02" w:rsidRPr="002155AD">
        <w:t>kapitalisera statliga bolag långsiktigt.</w:t>
      </w:r>
    </w:p>
    <w:p w:rsidR="009E1F02" w:rsidRPr="002155AD" w:rsidRDefault="009E1F02" w:rsidP="009E1F02">
      <w:pPr>
        <w:pStyle w:val="Hemstlatt"/>
      </w:pPr>
      <w:r w:rsidRPr="002155AD">
        <w:t>Riksdagen tillkännager för regeringen som sin mening vad i motionen anförs om att utveckla nomineringsprocessen för bolagsstyrelser.</w:t>
      </w:r>
    </w:p>
    <w:p w:rsidR="009E1F02" w:rsidRPr="002155AD" w:rsidRDefault="009E1F02" w:rsidP="009E1F02">
      <w:pPr>
        <w:pStyle w:val="Hemstlatt"/>
      </w:pPr>
      <w:r w:rsidRPr="002155AD">
        <w:t>Riksdagen tillkännager för regeringen som sin mening vad i motionen anförs om att styra statliga bolag med aktiebolagsrättsligt giltiga direktiv.</w:t>
      </w:r>
    </w:p>
    <w:p w:rsidR="009E1F02" w:rsidRPr="002155AD" w:rsidRDefault="009E1F02" w:rsidP="009E1F02">
      <w:pPr>
        <w:pStyle w:val="Hemstlatt"/>
      </w:pPr>
      <w:r w:rsidRPr="002155AD">
        <w:t>Riksdagen tillkännager för regeringen som sin mening vad i motionen anförs om att tydliggöra den långsiktiga regleringen av järnvägssektorn.</w:t>
      </w:r>
    </w:p>
    <w:p w:rsidR="00426D22" w:rsidRPr="002155AD" w:rsidRDefault="00426D22" w:rsidP="00426D22">
      <w:pPr>
        <w:pStyle w:val="Hemstlatt"/>
      </w:pPr>
      <w:r w:rsidRPr="002155AD">
        <w:t>Riksdagen tillkännager för regeringen som sin mening vad i motionen anförs om den formlösa styrningen av SJ och övriga statliga bolag.</w:t>
      </w:r>
    </w:p>
    <w:p w:rsidR="00E84F25" w:rsidRPr="002155AD" w:rsidRDefault="003B50E5" w:rsidP="00E22893">
      <w:pPr>
        <w:pStyle w:val="Rubrik1"/>
      </w:pPr>
      <w:r w:rsidRPr="002155AD">
        <w:t>Inledning</w:t>
      </w:r>
    </w:p>
    <w:p w:rsidR="003B50E5" w:rsidRPr="002155AD" w:rsidRDefault="003B50E5" w:rsidP="003B50E5">
      <w:r w:rsidRPr="002155AD">
        <w:t xml:space="preserve">Riksrevisionen har granskat bolagiseringen av Statens </w:t>
      </w:r>
      <w:r w:rsidR="00551857" w:rsidRPr="002155AD">
        <w:t xml:space="preserve">järnvägar </w:t>
      </w:r>
      <w:r w:rsidRPr="002155AD">
        <w:t>och funnit att för</w:t>
      </w:r>
      <w:r w:rsidR="00155874" w:rsidRPr="002155AD">
        <w:softHyphen/>
      </w:r>
      <w:r w:rsidRPr="002155AD">
        <w:t>beredel</w:t>
      </w:r>
      <w:r w:rsidR="00155874" w:rsidRPr="002155AD">
        <w:softHyphen/>
      </w:r>
      <w:r w:rsidRPr="002155AD">
        <w:t>serna för bolagiseringen var otillräckliga och att ansvarsförhålla</w:t>
      </w:r>
      <w:r w:rsidRPr="002155AD">
        <w:t>n</w:t>
      </w:r>
      <w:r w:rsidRPr="002155AD">
        <w:t xml:space="preserve">dena var otydliga. </w:t>
      </w:r>
      <w:r w:rsidR="00591EAF" w:rsidRPr="002155AD">
        <w:t>Enligt Riksrevisionen genomfördes bolagiseringen med en kombination av formlös styrning, otydliga uppdrag till centrala aktörer och dubbla roller för Närings</w:t>
      </w:r>
      <w:r w:rsidR="00155874" w:rsidRPr="002155AD">
        <w:softHyphen/>
      </w:r>
      <w:r w:rsidR="00591EAF" w:rsidRPr="002155AD">
        <w:t xml:space="preserve">departementets bolagsförvaltare. </w:t>
      </w:r>
      <w:r w:rsidRPr="002155AD">
        <w:t xml:space="preserve">Folkpartiet </w:t>
      </w:r>
      <w:r w:rsidR="00591EAF" w:rsidRPr="002155AD">
        <w:t>har redan tidigare kritiserat bolagiseringen av SJ liksom statens</w:t>
      </w:r>
      <w:r w:rsidR="007435D8" w:rsidRPr="002155AD">
        <w:t xml:space="preserve"> övriga styrning av sina bolag och anser att det är ytterst viktigt att regeringen tar intryck av de</w:t>
      </w:r>
      <w:r w:rsidR="007435D8" w:rsidRPr="002155AD">
        <w:t>n</w:t>
      </w:r>
      <w:r w:rsidR="007435D8" w:rsidRPr="002155AD">
        <w:t xml:space="preserve">na kritik. </w:t>
      </w:r>
    </w:p>
    <w:p w:rsidR="00055EC7" w:rsidRPr="002155AD" w:rsidRDefault="00055EC7" w:rsidP="00055EC7">
      <w:pPr>
        <w:pStyle w:val="Normaltindrag"/>
      </w:pPr>
      <w:r w:rsidRPr="002155AD">
        <w:t>I motionen nedan återges den kritik som Riksrevisionen riktar mot rege</w:t>
      </w:r>
      <w:r w:rsidRPr="002155AD">
        <w:t>r</w:t>
      </w:r>
      <w:r w:rsidRPr="002155AD">
        <w:t>ingen för felsteg under b</w:t>
      </w:r>
      <w:r w:rsidR="00B65DD8" w:rsidRPr="002155AD">
        <w:t xml:space="preserve">olagiseringen av SJ. </w:t>
      </w:r>
      <w:r w:rsidRPr="002155AD">
        <w:t xml:space="preserve">Folkpartiet </w:t>
      </w:r>
      <w:r w:rsidR="00B65DD8" w:rsidRPr="002155AD">
        <w:t>delar denna kritik</w:t>
      </w:r>
      <w:r w:rsidRPr="002155AD">
        <w:t>.</w:t>
      </w:r>
    </w:p>
    <w:p w:rsidR="00856008" w:rsidRPr="002155AD" w:rsidRDefault="00856008" w:rsidP="00856008">
      <w:pPr>
        <w:pStyle w:val="Rubrik1"/>
      </w:pPr>
      <w:r w:rsidRPr="002155AD">
        <w:lastRenderedPageBreak/>
        <w:t>Flera felsteg under bolagiseringen av SJ</w:t>
      </w:r>
    </w:p>
    <w:p w:rsidR="00CF0D2E" w:rsidRPr="002155AD" w:rsidRDefault="00CF0D2E" w:rsidP="00D87D0D">
      <w:pPr>
        <w:pStyle w:val="Rubrik2"/>
        <w:spacing w:before="120"/>
      </w:pPr>
      <w:bookmarkStart w:id="0" w:name="_Toc115516877"/>
      <w:bookmarkStart w:id="1" w:name="_Toc117057718"/>
      <w:bookmarkStart w:id="2" w:name="_Toc117587683"/>
      <w:bookmarkEnd w:id="0"/>
      <w:bookmarkEnd w:id="1"/>
      <w:bookmarkEnd w:id="2"/>
      <w:r w:rsidRPr="002155AD">
        <w:t>Formlös styrning och bristfällig dokumentation</w:t>
      </w:r>
    </w:p>
    <w:p w:rsidR="00CF0D2E" w:rsidRPr="002155AD" w:rsidRDefault="00CF0D2E" w:rsidP="00CF0D2E">
      <w:pPr>
        <w:rPr>
          <w:rFonts w:ascii="Verdana" w:hAnsi="Verdana"/>
        </w:rPr>
      </w:pPr>
      <w:r w:rsidRPr="002155AD">
        <w:t>Den formlösa styrnin</w:t>
      </w:r>
      <w:bookmarkStart w:id="3" w:name="fnref4"/>
      <w:bookmarkEnd w:id="3"/>
      <w:r w:rsidR="00055EC7" w:rsidRPr="002155AD">
        <w:t>g</w:t>
      </w:r>
      <w:r w:rsidRPr="002155AD">
        <w:t xml:space="preserve"> som tillämpas av Näringsdepartementet – inklu</w:t>
      </w:r>
      <w:r w:rsidRPr="002155AD">
        <w:softHyphen/>
        <w:t xml:space="preserve">sive frånvaron av dokumentation av överväganden, analyser och beslut – innebär enligt Riksrevisionen att det inte varit möjligt att i granskningen klarlägga </w:t>
      </w:r>
      <w:r w:rsidR="00D87D0D" w:rsidRPr="002155AD">
        <w:t>alla delar av den berednings- och besluts</w:t>
      </w:r>
      <w:r w:rsidRPr="002155AD">
        <w:t>pro</w:t>
      </w:r>
      <w:r w:rsidRPr="002155AD">
        <w:softHyphen/>
        <w:t>cess som legat till grund för de olika åtgärder som vid</w:t>
      </w:r>
      <w:r w:rsidRPr="002155AD">
        <w:softHyphen/>
        <w:t xml:space="preserve">tagits inom ramen för bolagiseringen. </w:t>
      </w:r>
    </w:p>
    <w:p w:rsidR="00CF0D2E" w:rsidRPr="002155AD" w:rsidRDefault="00CF0D2E" w:rsidP="00CF0D2E">
      <w:pPr>
        <w:pStyle w:val="Rubrik2"/>
      </w:pPr>
      <w:bookmarkStart w:id="4" w:name="_Toc115516878"/>
      <w:bookmarkStart w:id="5" w:name="_Toc117057719"/>
      <w:bookmarkStart w:id="6" w:name="_Toc117587684"/>
      <w:bookmarkEnd w:id="4"/>
      <w:bookmarkEnd w:id="5"/>
      <w:bookmarkEnd w:id="6"/>
      <w:r w:rsidRPr="002155AD">
        <w:t xml:space="preserve">Bolagiseringen var otillräckligt förberedd </w:t>
      </w:r>
    </w:p>
    <w:p w:rsidR="00CF0D2E" w:rsidRPr="002155AD" w:rsidRDefault="00CF0D2E" w:rsidP="00CF0D2E">
      <w:pPr>
        <w:rPr>
          <w:rFonts w:ascii="Verdana" w:hAnsi="Verdana"/>
        </w:rPr>
      </w:pPr>
      <w:r w:rsidRPr="002155AD">
        <w:t>Riksrevisionen bedömer att förberedelserna för bolagiseringen var ofull</w:t>
      </w:r>
      <w:r w:rsidRPr="002155AD">
        <w:softHyphen/>
        <w:t>ständiga och otillräckliga i vissa väsentliga avseenden. Starkt bidragande orsaker till detta var sannolikt att ägarförvaltningen, dvs. regeringen och Nä</w:t>
      </w:r>
      <w:r w:rsidRPr="002155AD">
        <w:t>r</w:t>
      </w:r>
      <w:r w:rsidRPr="002155AD">
        <w:t>ingsdepartementet, på oklara grunder införde två egna väsentliga restrik</w:t>
      </w:r>
      <w:r w:rsidRPr="002155AD">
        <w:softHyphen/>
        <w:t>tioner, nämligen dels att bolagiseringen sku</w:t>
      </w:r>
      <w:r w:rsidR="00D87D0D" w:rsidRPr="002155AD">
        <w:t>lle genomföras redan den 1 janu</w:t>
      </w:r>
      <w:r w:rsidRPr="002155AD">
        <w:t>ari 2001, dels att kapital inte skulle tillskjutas t</w:t>
      </w:r>
      <w:r w:rsidR="00D87D0D" w:rsidRPr="002155AD">
        <w:t>ill de nybildade bolagen. Bered</w:t>
      </w:r>
      <w:r w:rsidRPr="002155AD">
        <w:t>ning</w:t>
      </w:r>
      <w:r w:rsidR="00D87D0D" w:rsidRPr="002155AD">
        <w:t>en och analysen av centra</w:t>
      </w:r>
      <w:r w:rsidRPr="002155AD">
        <w:t>la frågor som affärsplanerna och de samlade ekon</w:t>
      </w:r>
      <w:r w:rsidRPr="002155AD">
        <w:t>o</w:t>
      </w:r>
      <w:r w:rsidRPr="002155AD">
        <w:t>miska konse</w:t>
      </w:r>
      <w:r w:rsidRPr="002155AD">
        <w:softHyphen/>
        <w:t>kven</w:t>
      </w:r>
      <w:r w:rsidRPr="002155AD">
        <w:softHyphen/>
        <w:t xml:space="preserve">serna av bolagiseringen kom därmed att bli bristfälliga. </w:t>
      </w:r>
    </w:p>
    <w:p w:rsidR="00CF0D2E" w:rsidRPr="002155AD" w:rsidRDefault="00CF0D2E" w:rsidP="00CF0D2E">
      <w:pPr>
        <w:pStyle w:val="Rubrik2"/>
      </w:pPr>
      <w:bookmarkStart w:id="7" w:name="_Toc115516879"/>
      <w:bookmarkStart w:id="8" w:name="_Toc117057720"/>
      <w:bookmarkStart w:id="9" w:name="_Toc117587685"/>
      <w:bookmarkEnd w:id="7"/>
      <w:bookmarkEnd w:id="8"/>
      <w:bookmarkEnd w:id="9"/>
      <w:r w:rsidRPr="002155AD">
        <w:t>Otydliga ansvarsförhållanden</w:t>
      </w:r>
    </w:p>
    <w:p w:rsidR="00CF0D2E" w:rsidRPr="002155AD" w:rsidRDefault="00CF0D2E" w:rsidP="00CF0D2E">
      <w:pPr>
        <w:rPr>
          <w:rFonts w:ascii="Verdana" w:hAnsi="Verdana"/>
        </w:rPr>
      </w:pPr>
      <w:r w:rsidRPr="002155AD">
        <w:t>Preciserade och dokumenterade uppdrag från ägarförvaltningen till de olika aktörerna i beredningen av bolagiseringen saknas i allt väsentligt. Såväl enh</w:t>
      </w:r>
      <w:r w:rsidRPr="002155AD">
        <w:t>e</w:t>
      </w:r>
      <w:r w:rsidRPr="002155AD">
        <w:t>ten för statligt ägande inom Närings</w:t>
      </w:r>
      <w:r w:rsidRPr="002155AD">
        <w:softHyphen/>
        <w:t>departe</w:t>
      </w:r>
      <w:r w:rsidRPr="002155AD">
        <w:softHyphen/>
        <w:t>mentet som den arbets</w:t>
      </w:r>
      <w:r w:rsidRPr="002155AD">
        <w:softHyphen/>
        <w:t>grupp inom samma departement med företrädare för andra be</w:t>
      </w:r>
      <w:r w:rsidRPr="002155AD">
        <w:softHyphen/>
        <w:t>rör</w:t>
      </w:r>
      <w:r w:rsidRPr="002155AD">
        <w:softHyphen/>
        <w:t>da departe</w:t>
      </w:r>
      <w:r w:rsidRPr="002155AD">
        <w:softHyphen/>
        <w:t>ment och a</w:t>
      </w:r>
      <w:r w:rsidRPr="002155AD">
        <w:t>f</w:t>
      </w:r>
      <w:r w:rsidRPr="002155AD">
        <w:t xml:space="preserve">färsverket SJ arbetade utan specificerade uppdrag. </w:t>
      </w:r>
    </w:p>
    <w:p w:rsidR="00AA4DB6" w:rsidRPr="002155AD" w:rsidRDefault="00CF0D2E" w:rsidP="00CF0D2E">
      <w:pPr>
        <w:pStyle w:val="Normaltindrag"/>
      </w:pPr>
      <w:r w:rsidRPr="002155AD">
        <w:t>Den formlösa styrning som tillämpats av Näringsdepartementet gällande statliga bolag innebär att det i flertalet fall saknas doku</w:t>
      </w:r>
      <w:r w:rsidRPr="002155AD">
        <w:softHyphen/>
        <w:t>mentation av de be</w:t>
      </w:r>
      <w:r w:rsidRPr="002155AD">
        <w:softHyphen/>
        <w:t>slut som fattats av departe</w:t>
      </w:r>
      <w:r w:rsidRPr="002155AD">
        <w:softHyphen/>
        <w:t>mentets ledning eller annan under bolagise</w:t>
      </w:r>
      <w:r w:rsidRPr="002155AD">
        <w:softHyphen/>
        <w:t>rings</w:t>
      </w:r>
      <w:r w:rsidRPr="002155AD">
        <w:softHyphen/>
        <w:t>pro</w:t>
      </w:r>
      <w:r w:rsidRPr="002155AD">
        <w:softHyphen/>
        <w:t>ces</w:t>
      </w:r>
      <w:r w:rsidRPr="002155AD">
        <w:softHyphen/>
        <w:t xml:space="preserve">sen. </w:t>
      </w:r>
    </w:p>
    <w:p w:rsidR="00CF0D2E" w:rsidRPr="002155AD" w:rsidRDefault="00CF0D2E" w:rsidP="00CF0D2E">
      <w:pPr>
        <w:pStyle w:val="Normaltindrag"/>
      </w:pPr>
      <w:r w:rsidRPr="002155AD">
        <w:t>Ansvaret för utformningen av bolagiseringsavtalet åvilade delvis affärs</w:t>
      </w:r>
      <w:r w:rsidRPr="002155AD">
        <w:softHyphen/>
        <w:t>ver</w:t>
      </w:r>
      <w:r w:rsidRPr="002155AD">
        <w:softHyphen/>
        <w:t>ket SJ:s styrelse, vars ledamöter inte skulle ingå i de nya bolagsstyrelserna. Tillträdande bolagsstyrelser kom in för sent för att ha möjlighet att påverka avtalet. Riksrevisionen anser att det var olyckligt att väsentliga beslut fatta</w:t>
      </w:r>
      <w:r w:rsidRPr="002155AD">
        <w:softHyphen/>
        <w:t>des i detta övergångsskede. Förut</w:t>
      </w:r>
      <w:r w:rsidRPr="002155AD">
        <w:softHyphen/>
        <w:t>sätt</w:t>
      </w:r>
      <w:r w:rsidRPr="002155AD">
        <w:softHyphen/>
        <w:t>ningarna för ett klart ansvarstagande i g</w:t>
      </w:r>
      <w:r w:rsidRPr="002155AD">
        <w:t>e</w:t>
      </w:r>
      <w:r w:rsidRPr="002155AD">
        <w:t>nomförandet av bolagiseringen hade förbättrats väsentligt om styrelserna i de nya bolagen hade tillsatts i god tid för att kun</w:t>
      </w:r>
      <w:r w:rsidRPr="002155AD">
        <w:softHyphen/>
        <w:t xml:space="preserve">na agera som tydliga parter och mottagare i ombildningen. </w:t>
      </w:r>
    </w:p>
    <w:p w:rsidR="00CF0D2E" w:rsidRPr="002155AD" w:rsidRDefault="00CF0D2E" w:rsidP="00CF0D2E">
      <w:pPr>
        <w:pStyle w:val="Rubrik2"/>
      </w:pPr>
      <w:bookmarkStart w:id="10" w:name="_Toc115516880"/>
      <w:bookmarkStart w:id="11" w:name="_Toc117057721"/>
      <w:bookmarkStart w:id="12" w:name="_Toc117587686"/>
      <w:bookmarkEnd w:id="10"/>
      <w:bookmarkEnd w:id="11"/>
      <w:bookmarkEnd w:id="12"/>
      <w:r w:rsidRPr="002155AD">
        <w:t>Ogynnsamma villkor för de nya bolagen</w:t>
      </w:r>
    </w:p>
    <w:p w:rsidR="00FD5574" w:rsidRPr="002155AD" w:rsidRDefault="00CF0D2E" w:rsidP="00FD5574">
      <w:r w:rsidRPr="002155AD">
        <w:t>Vidare drar Riksrevisionen slutsatsen att regeringen i vissa avse</w:t>
      </w:r>
      <w:r w:rsidRPr="002155AD">
        <w:softHyphen/>
        <w:t>en</w:t>
      </w:r>
      <w:r w:rsidRPr="002155AD">
        <w:softHyphen/>
        <w:t>den inte skapade goda förut</w:t>
      </w:r>
      <w:r w:rsidRPr="002155AD">
        <w:softHyphen/>
        <w:t>sättningar för SJ AB och Green Cargo AB genom ut</w:t>
      </w:r>
      <w:r w:rsidRPr="002155AD">
        <w:softHyphen/>
        <w:t>formningen av överlåtelse</w:t>
      </w:r>
      <w:r w:rsidRPr="002155AD">
        <w:softHyphen/>
        <w:t>avtalen och det begränsade kapital som bolagen erhöll. Inte heller villkoren för de övriga nya statliga järnvägs</w:t>
      </w:r>
      <w:r w:rsidRPr="002155AD">
        <w:softHyphen/>
        <w:t>bolagen kan sägas ha varit gynnsamma då företagen blev under</w:t>
      </w:r>
      <w:r w:rsidRPr="002155AD">
        <w:softHyphen/>
        <w:t>kapitaliserade. Ägarför</w:t>
      </w:r>
      <w:r w:rsidRPr="002155AD">
        <w:softHyphen/>
        <w:t>valtningen tog inte till sig den information och de varningar som kom från de egna konsulterna och från de nybildade bolagens styr</w:t>
      </w:r>
      <w:r w:rsidRPr="002155AD">
        <w:softHyphen/>
        <w:t>elser om konse</w:t>
      </w:r>
      <w:r w:rsidRPr="002155AD">
        <w:softHyphen/>
        <w:t>kven</w:t>
      </w:r>
      <w:r w:rsidRPr="002155AD">
        <w:softHyphen/>
        <w:t>serna av ett för litet eget kapital vid genom</w:t>
      </w:r>
      <w:r w:rsidRPr="002155AD">
        <w:softHyphen/>
        <w:t>förandet av bolagise</w:t>
      </w:r>
      <w:r w:rsidRPr="002155AD">
        <w:softHyphen/>
        <w:t>ringen.</w:t>
      </w:r>
    </w:p>
    <w:p w:rsidR="00CF0D2E" w:rsidRPr="002155AD" w:rsidRDefault="00CF0D2E" w:rsidP="00FD5574">
      <w:pPr>
        <w:pStyle w:val="Normaltindrag"/>
      </w:pPr>
      <w:r w:rsidRPr="002155AD">
        <w:t>Riksrevisionen anser därför att det kan ifrågasättas om det sätt som bolagi</w:t>
      </w:r>
      <w:r w:rsidRPr="002155AD">
        <w:softHyphen/>
        <w:t>ser</w:t>
      </w:r>
      <w:r w:rsidRPr="002155AD">
        <w:softHyphen/>
        <w:t>ingen genom</w:t>
      </w:r>
      <w:r w:rsidRPr="002155AD">
        <w:softHyphen/>
        <w:t>fördes på står i överensstämmelse med statens ägar</w:t>
      </w:r>
      <w:r w:rsidRPr="002155AD">
        <w:softHyphen/>
        <w:t>policy, vars uttalade ambition är att skapa långsiktiga lösningar.</w:t>
      </w:r>
    </w:p>
    <w:p w:rsidR="00CF0D2E" w:rsidRPr="002155AD" w:rsidRDefault="00CF0D2E" w:rsidP="00CF0D2E">
      <w:pPr>
        <w:pStyle w:val="Rubrik2"/>
      </w:pPr>
      <w:bookmarkStart w:id="13" w:name="_Toc115516881"/>
      <w:bookmarkStart w:id="14" w:name="_Toc117057722"/>
      <w:bookmarkStart w:id="15" w:name="_Toc117587687"/>
      <w:bookmarkEnd w:id="13"/>
      <w:bookmarkEnd w:id="14"/>
      <w:bookmarkEnd w:id="15"/>
      <w:r w:rsidRPr="002155AD">
        <w:t xml:space="preserve">God uppföljning men otydlig ägarstyrning </w:t>
      </w:r>
    </w:p>
    <w:p w:rsidR="00CF0D2E" w:rsidRPr="002155AD" w:rsidRDefault="00CF0D2E" w:rsidP="00CF0D2E">
      <w:pPr>
        <w:rPr>
          <w:rFonts w:ascii="Verdana" w:hAnsi="Verdana"/>
        </w:rPr>
      </w:pPr>
      <w:r w:rsidRPr="002155AD">
        <w:t>Riksrevisionen drar också slutsatsen att den uppföljning som skett i allt v</w:t>
      </w:r>
      <w:r w:rsidRPr="002155AD">
        <w:t>ä</w:t>
      </w:r>
      <w:r w:rsidRPr="002155AD">
        <w:t>sentligt varit tillfredsställande men att ägarstyrningen i samband med och efter bolags</w:t>
      </w:r>
      <w:r w:rsidRPr="002155AD">
        <w:softHyphen/>
        <w:t>bildningen inte varit adekvat. Relevant och utförlig information har lämnats av järnvägsbolagen. Ägar</w:t>
      </w:r>
      <w:r w:rsidRPr="002155AD">
        <w:softHyphen/>
      </w:r>
      <w:r w:rsidRPr="002155AD">
        <w:softHyphen/>
        <w:t>för</w:t>
      </w:r>
      <w:r w:rsidRPr="002155AD">
        <w:softHyphen/>
        <w:t>valt</w:t>
      </w:r>
      <w:r w:rsidRPr="002155AD">
        <w:softHyphen/>
        <w:t>ning</w:t>
      </w:r>
      <w:r w:rsidRPr="002155AD">
        <w:softHyphen/>
        <w:t>en har dock i många fall inte agerat med den skyndsamhet och tydlighet som borde ha föranletts av den information man haft eller fått tillgång till. Ägarstyrningen har inte varit til</w:t>
      </w:r>
      <w:r w:rsidRPr="002155AD">
        <w:t>l</w:t>
      </w:r>
      <w:r w:rsidRPr="002155AD">
        <w:t>räckligt tydlig när det gäller vilka mål som bolagen ska uppfylla. Ägar</w:t>
      </w:r>
      <w:r w:rsidRPr="002155AD">
        <w:softHyphen/>
        <w:t>styrningen har inte heller utformats så att den fått aktiebolagsrättslig gil</w:t>
      </w:r>
      <w:r w:rsidRPr="002155AD">
        <w:softHyphen/>
        <w:t>tig</w:t>
      </w:r>
      <w:r w:rsidRPr="002155AD">
        <w:softHyphen/>
        <w:t xml:space="preserve">het genom beslut på bolagsstämma. </w:t>
      </w:r>
    </w:p>
    <w:p w:rsidR="00CF0D2E" w:rsidRPr="002155AD" w:rsidRDefault="00CF0D2E" w:rsidP="00CF0D2E">
      <w:pPr>
        <w:pStyle w:val="Rubrik2"/>
      </w:pPr>
      <w:bookmarkStart w:id="16" w:name="_Toc115516882"/>
      <w:bookmarkStart w:id="17" w:name="_Toc117057723"/>
      <w:bookmarkStart w:id="18" w:name="_Toc117587688"/>
      <w:bookmarkEnd w:id="16"/>
      <w:bookmarkEnd w:id="17"/>
      <w:bookmarkEnd w:id="18"/>
      <w:r w:rsidRPr="002155AD">
        <w:t>Begränsade möjligheter till ansvarsutkrävande</w:t>
      </w:r>
    </w:p>
    <w:p w:rsidR="00CF0D2E" w:rsidRPr="002155AD" w:rsidRDefault="00CF0D2E" w:rsidP="00CF0D2E">
      <w:pPr>
        <w:rPr>
          <w:rFonts w:ascii="Verdana" w:hAnsi="Verdana"/>
        </w:rPr>
      </w:pPr>
      <w:r w:rsidRPr="002155AD">
        <w:t>Den formlösa styrningen av järnvägsbolagen, frånvaron av doku</w:t>
      </w:r>
      <w:r w:rsidRPr="002155AD">
        <w:softHyphen/>
        <w:t>men</w:t>
      </w:r>
      <w:r w:rsidRPr="002155AD">
        <w:softHyphen/>
        <w:t>t</w:t>
      </w:r>
      <w:r w:rsidRPr="002155AD">
        <w:softHyphen/>
        <w:t>a</w:t>
      </w:r>
      <w:r w:rsidRPr="002155AD">
        <w:softHyphen/>
        <w:t>tion, otydliga uppdrag till centrala aktörer samt Näringsdeparte</w:t>
      </w:r>
      <w:r w:rsidRPr="002155AD">
        <w:softHyphen/>
        <w:t>mentets bolags</w:t>
      </w:r>
      <w:r w:rsidRPr="002155AD">
        <w:softHyphen/>
      </w:r>
      <w:r w:rsidRPr="002155AD">
        <w:softHyphen/>
      </w:r>
      <w:r w:rsidRPr="002155AD">
        <w:softHyphen/>
      </w:r>
      <w:r w:rsidRPr="002155AD">
        <w:softHyphen/>
        <w:t>förvaltares dubbla roller som ägarföreträdare och styrelse</w:t>
      </w:r>
      <w:r w:rsidRPr="002155AD">
        <w:softHyphen/>
        <w:t>ledamot inne</w:t>
      </w:r>
      <w:r w:rsidRPr="002155AD">
        <w:softHyphen/>
        <w:t>bar sammantaget att de rutiner som vanligen används av ledningen för en orga</w:t>
      </w:r>
      <w:r w:rsidRPr="002155AD">
        <w:softHyphen/>
        <w:t>ni</w:t>
      </w:r>
      <w:r w:rsidRPr="002155AD">
        <w:softHyphen/>
      </w:r>
      <w:r w:rsidRPr="002155AD">
        <w:softHyphen/>
        <w:t>sation för att säkerställa att verksamheten bedrivs ändamålsenligt och effek</w:t>
      </w:r>
      <w:r w:rsidRPr="002155AD">
        <w:softHyphen/>
      </w:r>
      <w:r w:rsidRPr="002155AD">
        <w:softHyphen/>
        <w:t xml:space="preserve">tivt inte fanns på plats. </w:t>
      </w:r>
      <w:r w:rsidR="00AA4DB6" w:rsidRPr="002155AD">
        <w:t>Den</w:t>
      </w:r>
      <w:r w:rsidRPr="002155AD">
        <w:t xml:space="preserve"> interna kon</w:t>
      </w:r>
      <w:r w:rsidRPr="002155AD">
        <w:softHyphen/>
        <w:t>trollen mellan ägarförvaltningen och järnvägsföretag</w:t>
      </w:r>
      <w:r w:rsidR="00D87D0D" w:rsidRPr="002155AD">
        <w:t>en</w:t>
      </w:r>
      <w:r w:rsidRPr="002155AD">
        <w:t xml:space="preserve"> har varit mycket svag. Insyn och kontroll av hur ägar</w:t>
      </w:r>
      <w:r w:rsidRPr="002155AD">
        <w:softHyphen/>
        <w:t>förvaltningen faktiskt agerat har redu</w:t>
      </w:r>
      <w:r w:rsidRPr="002155AD">
        <w:softHyphen/>
        <w:t>cerats. Möjligheter</w:t>
      </w:r>
      <w:r w:rsidRPr="002155AD">
        <w:softHyphen/>
        <w:t>na till ansvars</w:t>
      </w:r>
      <w:r w:rsidRPr="002155AD">
        <w:softHyphen/>
        <w:t xml:space="preserve">utkrävande är därför begränsade. </w:t>
      </w:r>
    </w:p>
    <w:p w:rsidR="00CF0D2E" w:rsidRPr="002155AD" w:rsidRDefault="00CF0D2E" w:rsidP="00CF0D2E">
      <w:pPr>
        <w:pStyle w:val="Rubrik2"/>
      </w:pPr>
      <w:bookmarkStart w:id="19" w:name="_Toc115516883"/>
      <w:bookmarkStart w:id="20" w:name="_Toc117057724"/>
      <w:bookmarkStart w:id="21" w:name="_Toc117587689"/>
      <w:bookmarkEnd w:id="19"/>
      <w:bookmarkEnd w:id="20"/>
      <w:bookmarkEnd w:id="21"/>
      <w:r w:rsidRPr="002155AD">
        <w:t xml:space="preserve">Brist på långsiktiga ställningstaganden </w:t>
      </w:r>
    </w:p>
    <w:p w:rsidR="00CF0D2E" w:rsidRPr="002155AD" w:rsidRDefault="00CF0D2E" w:rsidP="00CF0D2E">
      <w:pPr>
        <w:rPr>
          <w:rFonts w:ascii="Verdana" w:hAnsi="Verdana"/>
        </w:rPr>
      </w:pPr>
      <w:r w:rsidRPr="002155AD">
        <w:t>Riksrevisionen konstaterar att det fyra år efter bolagiseringen inte finns några klara ställ</w:t>
      </w:r>
      <w:r w:rsidR="00FD5574" w:rsidRPr="002155AD">
        <w:softHyphen/>
      </w:r>
      <w:r w:rsidRPr="002155AD">
        <w:t>ningstaganden från rege</w:t>
      </w:r>
      <w:r w:rsidRPr="002155AD">
        <w:softHyphen/>
        <w:t>ringen i olika regleringsfrågor av betydelse för järnvägs</w:t>
      </w:r>
      <w:r w:rsidR="00FD5574" w:rsidRPr="002155AD">
        <w:softHyphen/>
      </w:r>
      <w:r w:rsidRPr="002155AD">
        <w:t>sektorns utveckling. Riksrevisionens bedömning är att detta är till nackdel för utveck</w:t>
      </w:r>
      <w:r w:rsidR="00FD5574" w:rsidRPr="002155AD">
        <w:softHyphen/>
      </w:r>
      <w:r w:rsidRPr="002155AD">
        <w:t xml:space="preserve">lingen av såväl de statliga som de privata järnvägsbolagen. </w:t>
      </w:r>
    </w:p>
    <w:p w:rsidR="00CF0D2E" w:rsidRPr="002155AD" w:rsidRDefault="00CF0D2E" w:rsidP="00CF0D2E">
      <w:pPr>
        <w:pStyle w:val="Rubrik2"/>
      </w:pPr>
      <w:bookmarkStart w:id="22" w:name="_Toc115516884"/>
      <w:bookmarkStart w:id="23" w:name="_Toc117057725"/>
      <w:bookmarkStart w:id="24" w:name="_Toc117587690"/>
      <w:bookmarkEnd w:id="22"/>
      <w:bookmarkEnd w:id="23"/>
      <w:bookmarkEnd w:id="24"/>
      <w:r w:rsidRPr="002155AD">
        <w:t>Eventuellt statsstöd</w:t>
      </w:r>
    </w:p>
    <w:p w:rsidR="00CF0D2E" w:rsidRPr="002155AD" w:rsidRDefault="00CF0D2E" w:rsidP="00CF0D2E">
      <w:pPr>
        <w:rPr>
          <w:rFonts w:ascii="Verdana" w:hAnsi="Verdana"/>
        </w:rPr>
      </w:pPr>
      <w:r w:rsidRPr="002155AD">
        <w:t>Under sin granskning har Riksrevisionen också uppmärksammat att de avtal som våren 2001 slöts mellan SJ och Euromaint AB inte har karaktären av en normal affärs</w:t>
      </w:r>
      <w:r w:rsidR="00AA4DB6" w:rsidRPr="002155AD">
        <w:softHyphen/>
      </w:r>
      <w:r w:rsidRPr="002155AD">
        <w:t>överens</w:t>
      </w:r>
      <w:r w:rsidR="00AA4DB6" w:rsidRPr="002155AD">
        <w:softHyphen/>
      </w:r>
      <w:r w:rsidRPr="002155AD">
        <w:t>kommelse mellan två statliga bolag. Avtalet styrdes av en promemoria från Närings</w:t>
      </w:r>
      <w:r w:rsidR="00AA4DB6" w:rsidRPr="002155AD">
        <w:softHyphen/>
      </w:r>
      <w:r w:rsidRPr="002155AD">
        <w:t>departementet till SJ AB som inte hade formen av ett regeringsbeslut. Riksrevisionen ställer frågan om avtalet kan ha inneb</w:t>
      </w:r>
      <w:r w:rsidRPr="002155AD">
        <w:t>u</w:t>
      </w:r>
      <w:r w:rsidRPr="002155AD">
        <w:t xml:space="preserve">rit eventuellt statsstöd i EG-rättslig mening. Frågan om eventuellt statsstöd har inte blivit föremål för några dokumenterade analyser i departementet, något som Riksrevisionen ställer sig frågande till. </w:t>
      </w:r>
    </w:p>
    <w:p w:rsidR="00CF0D2E" w:rsidRPr="002155AD" w:rsidRDefault="00CF0D2E" w:rsidP="00CF0D2E">
      <w:pPr>
        <w:pStyle w:val="Rubrik2"/>
      </w:pPr>
      <w:bookmarkStart w:id="25" w:name="_Toc115516885"/>
      <w:bookmarkStart w:id="26" w:name="_Toc117057726"/>
      <w:bookmarkStart w:id="27" w:name="_Toc117587691"/>
      <w:bookmarkEnd w:id="25"/>
      <w:bookmarkEnd w:id="26"/>
      <w:bookmarkEnd w:id="27"/>
      <w:r w:rsidRPr="002155AD">
        <w:t>Onödigt stort risktagande för staten</w:t>
      </w:r>
    </w:p>
    <w:p w:rsidR="00CF0D2E" w:rsidRPr="002155AD" w:rsidRDefault="00CF0D2E" w:rsidP="00CF0D2E">
      <w:pPr>
        <w:rPr>
          <w:rFonts w:ascii="Verdana" w:hAnsi="Verdana"/>
        </w:rPr>
      </w:pPr>
      <w:r w:rsidRPr="002155AD">
        <w:t>Sammantaget bedömer Riksrevisionen att ägarförvaltningens plane</w:t>
      </w:r>
      <w:r w:rsidRPr="002155AD">
        <w:softHyphen/>
        <w:t>ring, ge</w:t>
      </w:r>
      <w:r w:rsidRPr="002155AD">
        <w:softHyphen/>
        <w:t>nomförande och upp</w:t>
      </w:r>
      <w:r w:rsidRPr="002155AD">
        <w:softHyphen/>
        <w:t>följning av bolagiseringen av affärs</w:t>
      </w:r>
      <w:r w:rsidRPr="002155AD">
        <w:softHyphen/>
        <w:t>ver</w:t>
      </w:r>
      <w:r w:rsidRPr="002155AD">
        <w:softHyphen/>
        <w:t>ket SJ innehållit ett onödigt stort risk</w:t>
      </w:r>
      <w:r w:rsidR="00AA4DB6" w:rsidRPr="002155AD">
        <w:softHyphen/>
      </w:r>
      <w:r w:rsidRPr="002155AD">
        <w:t>tagande för staten samt moment som medfört en för</w:t>
      </w:r>
      <w:r w:rsidRPr="002155AD">
        <w:softHyphen/>
        <w:t>dröj</w:t>
      </w:r>
      <w:r w:rsidRPr="002155AD">
        <w:softHyphen/>
      </w:r>
      <w:r w:rsidRPr="002155AD">
        <w:softHyphen/>
        <w:t>ning av omställningsprocessen till långsiktiga och effektiva transport</w:t>
      </w:r>
      <w:r w:rsidRPr="002155AD">
        <w:softHyphen/>
        <w:t xml:space="preserve">lösningar. </w:t>
      </w:r>
    </w:p>
    <w:p w:rsidR="00CF0D2E" w:rsidRPr="002155AD" w:rsidRDefault="00AA4DB6" w:rsidP="00AA4DB6">
      <w:pPr>
        <w:pStyle w:val="Rubrik1"/>
      </w:pPr>
      <w:bookmarkStart w:id="28" w:name="_Toc115516886"/>
      <w:bookmarkStart w:id="29" w:name="_Toc117587692"/>
      <w:bookmarkEnd w:id="28"/>
      <w:bookmarkEnd w:id="29"/>
      <w:r w:rsidRPr="002155AD">
        <w:t>Avslutande</w:t>
      </w:r>
      <w:r w:rsidR="00CF0D2E" w:rsidRPr="002155AD">
        <w:t xml:space="preserve"> rekommendationer</w:t>
      </w:r>
    </w:p>
    <w:p w:rsidR="00CF0D2E" w:rsidRPr="002155AD" w:rsidRDefault="00AA4DB6" w:rsidP="00CF0D2E">
      <w:pPr>
        <w:rPr>
          <w:rFonts w:ascii="Verdana" w:hAnsi="Verdana"/>
        </w:rPr>
      </w:pPr>
      <w:r w:rsidRPr="002155AD">
        <w:t>Riksrevisionen avslutar sin granskning med följande rekommendationer till regeringen, rekommendationer som Folkpartiet ställer sig helt bakom. Rege</w:t>
      </w:r>
      <w:r w:rsidRPr="002155AD">
        <w:t>r</w:t>
      </w:r>
      <w:r w:rsidRPr="002155AD">
        <w:t>ingen bör:</w:t>
      </w:r>
    </w:p>
    <w:p w:rsidR="00CF0D2E" w:rsidRPr="002155AD" w:rsidRDefault="00CF0D2E" w:rsidP="00D87D0D">
      <w:pPr>
        <w:pStyle w:val="PunktlistaBomb"/>
        <w:tabs>
          <w:tab w:val="clear" w:pos="360"/>
        </w:tabs>
        <w:spacing w:before="0"/>
      </w:pPr>
      <w:r w:rsidRPr="002155AD">
        <w:t>säkerställa att transparenta och grundliga berednings- och besluts</w:t>
      </w:r>
      <w:r w:rsidRPr="002155AD">
        <w:softHyphen/>
        <w:t>processer finns på plats redan initialt vid ombildningar,</w:t>
      </w:r>
    </w:p>
    <w:p w:rsidR="00CF0D2E" w:rsidRPr="002155AD" w:rsidRDefault="00CF0D2E" w:rsidP="00D87D0D">
      <w:pPr>
        <w:pStyle w:val="PunktlistaBomb"/>
        <w:tabs>
          <w:tab w:val="clear" w:pos="360"/>
        </w:tabs>
        <w:spacing w:before="0"/>
      </w:pPr>
      <w:r w:rsidRPr="002155AD">
        <w:t>kapitalisera statliga bolag långsiktigt,</w:t>
      </w:r>
    </w:p>
    <w:p w:rsidR="00CF0D2E" w:rsidRPr="002155AD" w:rsidRDefault="00CF0D2E" w:rsidP="00D87D0D">
      <w:pPr>
        <w:pStyle w:val="PunktlistaBomb"/>
        <w:tabs>
          <w:tab w:val="clear" w:pos="360"/>
        </w:tabs>
        <w:spacing w:before="0"/>
      </w:pPr>
      <w:r w:rsidRPr="002155AD">
        <w:t>utveckla nomineringsprocessen för bolagsstyrelser,</w:t>
      </w:r>
    </w:p>
    <w:p w:rsidR="00CF0D2E" w:rsidRPr="002155AD" w:rsidRDefault="00CF0D2E" w:rsidP="00D87D0D">
      <w:pPr>
        <w:pStyle w:val="PunktlistaBomb"/>
        <w:tabs>
          <w:tab w:val="clear" w:pos="360"/>
        </w:tabs>
        <w:spacing w:before="0"/>
      </w:pPr>
      <w:r w:rsidRPr="002155AD">
        <w:t>styra statliga bolag med aktiebolagsrättsligt</w:t>
      </w:r>
      <w:r w:rsidR="00AA4DB6" w:rsidRPr="002155AD">
        <w:t xml:space="preserve"> giltiga direktiv</w:t>
      </w:r>
    </w:p>
    <w:p w:rsidR="00CF0D2E" w:rsidRPr="002155AD" w:rsidRDefault="00CF0D2E" w:rsidP="00D87D0D">
      <w:pPr>
        <w:pStyle w:val="PunktlistaBomb"/>
        <w:tabs>
          <w:tab w:val="clear" w:pos="360"/>
        </w:tabs>
        <w:spacing w:before="0"/>
      </w:pPr>
      <w:r w:rsidRPr="002155AD">
        <w:t>tydliggöra den lång</w:t>
      </w:r>
      <w:r w:rsidRPr="002155AD">
        <w:softHyphen/>
        <w:t xml:space="preserve">siktiga </w:t>
      </w:r>
      <w:r w:rsidRPr="002155AD">
        <w:softHyphen/>
        <w:t xml:space="preserve">regleringen av järnvägssektorn. </w:t>
      </w:r>
    </w:p>
    <w:p w:rsidR="00AA4DB6" w:rsidRPr="002155AD" w:rsidRDefault="00A70411" w:rsidP="00D87D0D">
      <w:r w:rsidRPr="002155AD">
        <w:t xml:space="preserve">Utöver detta vill Folkpartiet även lyfta fram att </w:t>
      </w:r>
      <w:r w:rsidR="005C1187" w:rsidRPr="002155AD">
        <w:t xml:space="preserve">regeringens sätt att hantera </w:t>
      </w:r>
      <w:r w:rsidRPr="002155AD">
        <w:t xml:space="preserve">bolagiseringen av SJ </w:t>
      </w:r>
      <w:r w:rsidR="005C1187" w:rsidRPr="002155AD">
        <w:t>och styra</w:t>
      </w:r>
      <w:r w:rsidRPr="002155AD">
        <w:t xml:space="preserve"> bolaget därefter följer samma formlösa mön</w:t>
      </w:r>
      <w:r w:rsidRPr="002155AD">
        <w:t>s</w:t>
      </w:r>
      <w:r w:rsidRPr="002155AD">
        <w:t>ter som styrningen av andra statliga bolag, exempelvis Vattenfall. Detta är en brist som vi kritiserat i tidigare motioner.</w:t>
      </w:r>
    </w:p>
    <w:p w:rsidR="00AA4DB6" w:rsidRPr="002155AD" w:rsidRDefault="00AA4DB6" w:rsidP="00AA4DB6">
      <w:pPr>
        <w:pStyle w:val="Normaltindrag"/>
      </w:pPr>
      <w:r w:rsidRPr="002155AD">
        <w:t>Allt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87D0D" w:rsidRPr="00215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7D0D" w:rsidRPr="002155AD" w:rsidRDefault="00D87D0D" w:rsidP="00D87D0D">
            <w:pPr>
              <w:pStyle w:val="UnderskriftDatum"/>
              <w:spacing w:before="240"/>
            </w:pPr>
            <w:r w:rsidRPr="002155AD">
              <w:t>Stockholm den 30 november 2005</w:t>
            </w:r>
          </w:p>
        </w:tc>
        <w:tc>
          <w:tcPr>
            <w:tcW w:w="3047" w:type="dxa"/>
          </w:tcPr>
          <w:p w:rsidR="00D87D0D" w:rsidRPr="002155AD" w:rsidRDefault="00D87D0D" w:rsidP="00D87D0D">
            <w:pPr>
              <w:pStyle w:val="Underskrifter"/>
              <w:spacing w:before="240"/>
            </w:pPr>
          </w:p>
        </w:tc>
      </w:tr>
      <w:tr w:rsidR="00D87D0D" w:rsidRPr="00215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7D0D" w:rsidRPr="002155AD" w:rsidRDefault="00D87D0D" w:rsidP="00D87D0D">
            <w:pPr>
              <w:pStyle w:val="Underskrifter"/>
            </w:pPr>
            <w:r w:rsidRPr="002155AD">
              <w:t>Eva Flyborg (fp)</w:t>
            </w:r>
          </w:p>
        </w:tc>
        <w:tc>
          <w:tcPr>
            <w:tcW w:w="3047" w:type="dxa"/>
          </w:tcPr>
          <w:p w:rsidR="00D87D0D" w:rsidRPr="002155AD" w:rsidRDefault="00D87D0D" w:rsidP="00D87D0D">
            <w:pPr>
              <w:pStyle w:val="Underskrifter"/>
            </w:pPr>
          </w:p>
        </w:tc>
      </w:tr>
      <w:tr w:rsidR="00D87D0D" w:rsidRPr="00215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7D0D" w:rsidRPr="002155AD" w:rsidRDefault="00D87D0D" w:rsidP="00D87D0D">
            <w:pPr>
              <w:pStyle w:val="Underskrifter"/>
            </w:pPr>
            <w:r w:rsidRPr="002155AD">
              <w:t>Yvonne Ångström (fp)</w:t>
            </w:r>
          </w:p>
        </w:tc>
        <w:tc>
          <w:tcPr>
            <w:tcW w:w="3047" w:type="dxa"/>
          </w:tcPr>
          <w:p w:rsidR="00D87D0D" w:rsidRPr="002155AD" w:rsidRDefault="00D87D0D" w:rsidP="00D87D0D">
            <w:pPr>
              <w:pStyle w:val="Underskrifter"/>
            </w:pPr>
            <w:r w:rsidRPr="002155AD">
              <w:t>Nyamko Sabuni (fp)</w:t>
            </w:r>
          </w:p>
        </w:tc>
      </w:tr>
    </w:tbl>
    <w:p w:rsidR="003B50E5" w:rsidRPr="002155AD" w:rsidRDefault="003B50E5" w:rsidP="00D87D0D">
      <w:pPr>
        <w:pStyle w:val="Normaltindrag"/>
      </w:pPr>
    </w:p>
    <w:sectPr w:rsidR="003B50E5" w:rsidRPr="002155AD" w:rsidSect="00D87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A3B" w:rsidRPr="002155AD" w:rsidRDefault="00996A3B">
      <w:r w:rsidRPr="002155AD">
        <w:separator/>
      </w:r>
    </w:p>
  </w:endnote>
  <w:endnote w:type="continuationSeparator" w:id="0">
    <w:p w:rsidR="00996A3B" w:rsidRPr="002155AD" w:rsidRDefault="00996A3B">
      <w:r w:rsidRPr="00215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1FF7" w:rsidRPr="002155AD" w:rsidRDefault="002155AD" w:rsidP="00D87D0D">
    <w:pPr>
      <w:pStyle w:val="Sidfot"/>
    </w:pPr>
    <w:r w:rsidRPr="002155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63555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D0D" w:rsidRDefault="00D87D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288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7D0D" w:rsidRDefault="00D87D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F288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187" w:rsidRPr="002155AD" w:rsidRDefault="002155AD" w:rsidP="00D87D0D">
    <w:pPr>
      <w:pStyle w:val="Sidfot"/>
    </w:pPr>
    <w:r w:rsidRPr="002155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79654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D0D" w:rsidRDefault="00D87D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288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7D0D" w:rsidRDefault="00D87D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F288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187" w:rsidRPr="002155AD" w:rsidRDefault="002155AD" w:rsidP="00D87D0D">
    <w:pPr>
      <w:pStyle w:val="Sidfot"/>
    </w:pPr>
    <w:r w:rsidRPr="002155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6918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D0D" w:rsidRDefault="00D87D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28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7D0D" w:rsidRDefault="00D87D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F28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A3B" w:rsidRPr="002155AD" w:rsidRDefault="00996A3B">
      <w:r w:rsidRPr="002155AD">
        <w:separator/>
      </w:r>
    </w:p>
  </w:footnote>
  <w:footnote w:type="continuationSeparator" w:id="0">
    <w:p w:rsidR="00996A3B" w:rsidRPr="002155AD" w:rsidRDefault="00996A3B">
      <w:r w:rsidRPr="002155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1FF7" w:rsidRPr="002155AD" w:rsidRDefault="002155AD" w:rsidP="00D87D0D">
    <w:pPr>
      <w:pStyle w:val="Sidhuvud"/>
    </w:pPr>
    <w:r w:rsidRPr="002155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16328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D0D" w:rsidRDefault="00D87D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7D0D" w:rsidRDefault="00D87D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187" w:rsidRPr="002155AD" w:rsidRDefault="002155AD" w:rsidP="00D87D0D">
    <w:pPr>
      <w:pStyle w:val="Sidhuvud"/>
    </w:pPr>
    <w:r w:rsidRPr="002155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82435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D0D" w:rsidRDefault="00D87D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7D0D" w:rsidRDefault="00D87D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7D0D" w:rsidRPr="002155AD" w:rsidRDefault="00D87D0D">
    <w:pPr>
      <w:pStyle w:val="FSHNormal"/>
      <w:tabs>
        <w:tab w:val="right" w:pos="5840"/>
      </w:tabs>
    </w:pPr>
    <w:r w:rsidRPr="002155AD">
      <w:br/>
    </w:r>
    <w:r w:rsidRPr="002155AD">
      <w:fldChar w:fldCharType="begin" w:fldLock="1"/>
    </w:r>
    <w:r w:rsidRPr="002155AD">
      <w:instrText xml:space="preserve"> DOCPROPERTY</w:instrText>
    </w:r>
    <w:r w:rsidRPr="002155AD">
      <w:rPr>
        <w:sz w:val="18"/>
      </w:rPr>
      <w:instrText xml:space="preserve"> "YearUser" *\charformat </w:instrText>
    </w:r>
    <w:r w:rsidRPr="002155AD">
      <w:fldChar w:fldCharType="separate"/>
    </w:r>
    <w:r w:rsidR="0088082B" w:rsidRPr="002155AD">
      <w:t>2005/06</w:t>
    </w:r>
    <w:r w:rsidRPr="002155AD">
      <w:fldChar w:fldCharType="end"/>
    </w:r>
    <w:r w:rsidRPr="002155AD">
      <w:t xml:space="preserve"> </w:t>
    </w:r>
    <w:r w:rsidRPr="002155AD">
      <w:tab/>
      <w:t xml:space="preserve">mnr: </w:t>
    </w:r>
    <w:r w:rsidRPr="002155AD">
      <w:fldChar w:fldCharType="begin" w:fldLock="1"/>
    </w:r>
    <w:r w:rsidRPr="002155AD">
      <w:instrText xml:space="preserve"> DOCPROPERTY</w:instrText>
    </w:r>
    <w:r w:rsidRPr="002155AD">
      <w:rPr>
        <w:sz w:val="18"/>
      </w:rPr>
      <w:instrText xml:space="preserve"> "Motionsnummer" *\charformat </w:instrText>
    </w:r>
    <w:r w:rsidRPr="002155AD">
      <w:fldChar w:fldCharType="separate"/>
    </w:r>
    <w:r w:rsidR="0088082B" w:rsidRPr="002155AD">
      <w:t>N14</w:t>
    </w:r>
    <w:r w:rsidRPr="002155AD">
      <w:fldChar w:fldCharType="end"/>
    </w:r>
    <w:r w:rsidRPr="002155AD">
      <w:br/>
    </w:r>
    <w:r w:rsidRPr="002155AD">
      <w:fldChar w:fldCharType="begin" w:fldLock="1"/>
    </w:r>
    <w:r w:rsidRPr="002155AD">
      <w:instrText xml:space="preserve"> DOCPROPERTY</w:instrText>
    </w:r>
    <w:r w:rsidRPr="002155AD">
      <w:rPr>
        <w:sz w:val="18"/>
      </w:rPr>
      <w:instrText xml:space="preserve"> "Samling" *\charformat </w:instrText>
    </w:r>
    <w:r w:rsidRPr="002155AD">
      <w:fldChar w:fldCharType="end"/>
    </w:r>
    <w:r w:rsidRPr="002155AD">
      <w:tab/>
      <w:t xml:space="preserve">pnr: </w:t>
    </w:r>
    <w:r w:rsidRPr="002155AD">
      <w:fldChar w:fldCharType="begin" w:fldLock="1"/>
    </w:r>
    <w:r w:rsidRPr="002155AD">
      <w:instrText xml:space="preserve"> DOCPROPERTY</w:instrText>
    </w:r>
    <w:r w:rsidRPr="002155AD">
      <w:rPr>
        <w:sz w:val="18"/>
      </w:rPr>
      <w:instrText xml:space="preserve"> "Partinummer" *\charformat </w:instrText>
    </w:r>
    <w:r w:rsidRPr="002155AD">
      <w:fldChar w:fldCharType="separate"/>
    </w:r>
    <w:r w:rsidR="0088082B" w:rsidRPr="002155AD">
      <w:t>fp1268</w:t>
    </w:r>
    <w:r w:rsidRPr="002155AD">
      <w:fldChar w:fldCharType="end"/>
    </w:r>
  </w:p>
  <w:p w:rsidR="00D87D0D" w:rsidRPr="002155AD" w:rsidRDefault="00D87D0D">
    <w:pPr>
      <w:pStyle w:val="FSHRub1"/>
    </w:pPr>
    <w:r w:rsidRPr="002155AD">
      <w:t>Motion till riksdagen</w:t>
    </w:r>
    <w:r w:rsidRPr="002155AD">
      <w:br/>
    </w:r>
    <w:r w:rsidRPr="002155AD">
      <w:fldChar w:fldCharType="begin" w:fldLock="1"/>
    </w:r>
    <w:r w:rsidRPr="002155AD">
      <w:instrText xml:space="preserve"> DOCPROPERTY "YearUser" *\charformat </w:instrText>
    </w:r>
    <w:r w:rsidRPr="002155AD">
      <w:fldChar w:fldCharType="separate"/>
    </w:r>
    <w:r w:rsidR="0088082B" w:rsidRPr="002155AD">
      <w:t>2005/06</w:t>
    </w:r>
    <w:r w:rsidRPr="002155AD">
      <w:fldChar w:fldCharType="end"/>
    </w:r>
    <w:r w:rsidRPr="002155AD">
      <w:t>:</w:t>
    </w:r>
    <w:r w:rsidRPr="002155AD">
      <w:fldChar w:fldCharType="begin" w:fldLock="1"/>
    </w:r>
    <w:r w:rsidRPr="002155AD">
      <w:instrText xml:space="preserve"> DOCPROPERTY "Motionsnummer" *\charformat </w:instrText>
    </w:r>
    <w:r w:rsidRPr="002155AD">
      <w:fldChar w:fldCharType="separate"/>
    </w:r>
    <w:r w:rsidR="0088082B" w:rsidRPr="002155AD">
      <w:t>N14</w:t>
    </w:r>
    <w:r w:rsidRPr="002155AD">
      <w:fldChar w:fldCharType="end"/>
    </w:r>
  </w:p>
  <w:p w:rsidR="00D87D0D" w:rsidRPr="002155AD" w:rsidRDefault="00D87D0D">
    <w:pPr>
      <w:pStyle w:val="FSHNormalS5"/>
    </w:pPr>
    <w:r w:rsidRPr="002155AD">
      <w:fldChar w:fldCharType="begin" w:fldLock="1"/>
    </w:r>
    <w:r w:rsidRPr="002155AD">
      <w:instrText xml:space="preserve"> DOCPROPERTY "MotionarText" *\charformat </w:instrText>
    </w:r>
    <w:r w:rsidRPr="002155AD">
      <w:fldChar w:fldCharType="separate"/>
    </w:r>
    <w:r w:rsidR="0088082B" w:rsidRPr="002155AD">
      <w:t>av Eva Flyborg m.fl. (fp)</w:t>
    </w:r>
    <w:r w:rsidRPr="002155AD">
      <w:fldChar w:fldCharType="end"/>
    </w:r>
    <w:r w:rsidRPr="002155AD">
      <w:br/>
    </w:r>
    <w:r w:rsidRPr="002155AD">
      <w:fldChar w:fldCharType="begin" w:fldLock="1"/>
    </w:r>
    <w:r w:rsidRPr="002155AD">
      <w:instrText xml:space="preserve"> DOCPROPERTY "SvarFrasKort" *\charformat </w:instrText>
    </w:r>
    <w:r w:rsidRPr="002155AD">
      <w:fldChar w:fldCharType="separate"/>
    </w:r>
    <w:r w:rsidR="0088082B" w:rsidRPr="002155AD">
      <w:t>med anledning av framst. 2005/06:RRS6</w:t>
    </w:r>
    <w:r w:rsidRPr="002155AD">
      <w:fldChar w:fldCharType="end"/>
    </w:r>
  </w:p>
  <w:p w:rsidR="00D87D0D" w:rsidRPr="002155AD" w:rsidRDefault="00D87D0D">
    <w:pPr>
      <w:pStyle w:val="FSHTitel"/>
    </w:pPr>
    <w:r w:rsidRPr="002155AD">
      <w:fldChar w:fldCharType="begin" w:fldLock="1"/>
    </w:r>
    <w:r w:rsidRPr="002155AD">
      <w:instrText xml:space="preserve"> DOCPROPERTY</w:instrText>
    </w:r>
    <w:r w:rsidRPr="002155AD">
      <w:rPr>
        <w:sz w:val="18"/>
      </w:rPr>
      <w:instrText xml:space="preserve"> "RubrikSvar" *\charformat </w:instrText>
    </w:r>
    <w:r w:rsidRPr="002155AD">
      <w:fldChar w:fldCharType="separate"/>
    </w:r>
    <w:r w:rsidR="0088082B" w:rsidRPr="002155AD">
      <w:t>Riksrevisionens styrelses framställning angående bolagiseringen av Statens järnvägar</w:t>
    </w:r>
    <w:r w:rsidRPr="002155AD">
      <w:fldChar w:fldCharType="end"/>
    </w:r>
  </w:p>
  <w:p w:rsidR="00D87D0D" w:rsidRPr="002155AD" w:rsidRDefault="00D87D0D" w:rsidP="00D87D0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F81404"/>
    <w:multiLevelType w:val="hybridMultilevel"/>
    <w:tmpl w:val="C72ED8FA"/>
    <w:lvl w:ilvl="0" w:tplc="8EE0CBD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FB24D8"/>
    <w:multiLevelType w:val="multilevel"/>
    <w:tmpl w:val="4A90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D3726B"/>
    <w:multiLevelType w:val="hybridMultilevel"/>
    <w:tmpl w:val="9BE0693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668050">
    <w:abstractNumId w:val="15"/>
  </w:num>
  <w:num w:numId="2" w16cid:durableId="974795277">
    <w:abstractNumId w:val="10"/>
  </w:num>
  <w:num w:numId="3" w16cid:durableId="1794514845">
    <w:abstractNumId w:val="11"/>
  </w:num>
  <w:num w:numId="4" w16cid:durableId="1935161874">
    <w:abstractNumId w:val="14"/>
  </w:num>
  <w:num w:numId="5" w16cid:durableId="375202187">
    <w:abstractNumId w:val="8"/>
  </w:num>
  <w:num w:numId="6" w16cid:durableId="56513369">
    <w:abstractNumId w:val="3"/>
  </w:num>
  <w:num w:numId="7" w16cid:durableId="1436516211">
    <w:abstractNumId w:val="2"/>
  </w:num>
  <w:num w:numId="8" w16cid:durableId="888146927">
    <w:abstractNumId w:val="1"/>
  </w:num>
  <w:num w:numId="9" w16cid:durableId="1874070670">
    <w:abstractNumId w:val="0"/>
  </w:num>
  <w:num w:numId="10" w16cid:durableId="1686521337">
    <w:abstractNumId w:val="9"/>
  </w:num>
  <w:num w:numId="11" w16cid:durableId="716200204">
    <w:abstractNumId w:val="7"/>
  </w:num>
  <w:num w:numId="12" w16cid:durableId="1903952180">
    <w:abstractNumId w:val="6"/>
  </w:num>
  <w:num w:numId="13" w16cid:durableId="1734620911">
    <w:abstractNumId w:val="5"/>
  </w:num>
  <w:num w:numId="14" w16cid:durableId="800195228">
    <w:abstractNumId w:val="4"/>
  </w:num>
  <w:num w:numId="15" w16cid:durableId="1130591341">
    <w:abstractNumId w:val="12"/>
  </w:num>
  <w:num w:numId="16" w16cid:durableId="1284769089">
    <w:abstractNumId w:val="13"/>
  </w:num>
  <w:num w:numId="17" w16cid:durableId="7651546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3B50E5"/>
    <w:rsid w:val="0004381F"/>
    <w:rsid w:val="00055EC7"/>
    <w:rsid w:val="00064BC3"/>
    <w:rsid w:val="00066775"/>
    <w:rsid w:val="00072FB9"/>
    <w:rsid w:val="00100531"/>
    <w:rsid w:val="00155874"/>
    <w:rsid w:val="001E0043"/>
    <w:rsid w:val="00201DFB"/>
    <w:rsid w:val="00204A63"/>
    <w:rsid w:val="00212FF1"/>
    <w:rsid w:val="002155AD"/>
    <w:rsid w:val="00230193"/>
    <w:rsid w:val="0025068A"/>
    <w:rsid w:val="002818D3"/>
    <w:rsid w:val="002943C8"/>
    <w:rsid w:val="002D11A8"/>
    <w:rsid w:val="003B50E5"/>
    <w:rsid w:val="003F288C"/>
    <w:rsid w:val="00426D22"/>
    <w:rsid w:val="00445271"/>
    <w:rsid w:val="00447A04"/>
    <w:rsid w:val="004A0504"/>
    <w:rsid w:val="004A1FF7"/>
    <w:rsid w:val="004E2F3D"/>
    <w:rsid w:val="004E38D9"/>
    <w:rsid w:val="00551857"/>
    <w:rsid w:val="00591EAF"/>
    <w:rsid w:val="005B145B"/>
    <w:rsid w:val="005C1187"/>
    <w:rsid w:val="006A5CB4"/>
    <w:rsid w:val="00740D6D"/>
    <w:rsid w:val="007435D8"/>
    <w:rsid w:val="00743F76"/>
    <w:rsid w:val="00794149"/>
    <w:rsid w:val="007B67A7"/>
    <w:rsid w:val="007C6092"/>
    <w:rsid w:val="007D7849"/>
    <w:rsid w:val="00856008"/>
    <w:rsid w:val="0088082B"/>
    <w:rsid w:val="00996A3B"/>
    <w:rsid w:val="009E1F02"/>
    <w:rsid w:val="00A053C6"/>
    <w:rsid w:val="00A70411"/>
    <w:rsid w:val="00AA4DB6"/>
    <w:rsid w:val="00B13BF0"/>
    <w:rsid w:val="00B33C81"/>
    <w:rsid w:val="00B65DD8"/>
    <w:rsid w:val="00C1285C"/>
    <w:rsid w:val="00C27B7D"/>
    <w:rsid w:val="00CF0D2E"/>
    <w:rsid w:val="00CF7A43"/>
    <w:rsid w:val="00D01775"/>
    <w:rsid w:val="00D1174F"/>
    <w:rsid w:val="00D87D0D"/>
    <w:rsid w:val="00D9438F"/>
    <w:rsid w:val="00DC6C70"/>
    <w:rsid w:val="00E22893"/>
    <w:rsid w:val="00E349C2"/>
    <w:rsid w:val="00E360DE"/>
    <w:rsid w:val="00E75D28"/>
    <w:rsid w:val="00E84F25"/>
    <w:rsid w:val="00F21B30"/>
    <w:rsid w:val="00FA3374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015D46-A5DF-4806-8ED3-05AE3AA9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normal0">
    <w:name w:val="normal"/>
    <w:basedOn w:val="Normal"/>
    <w:rsid w:val="00CF0D2E"/>
    <w:pPr>
      <w:spacing w:line="240" w:lineRule="auto"/>
    </w:pPr>
    <w:rPr>
      <w:rFonts w:ascii="Verdana" w:hAnsi="Verdana"/>
      <w:szCs w:val="24"/>
    </w:rPr>
  </w:style>
  <w:style w:type="character" w:customStyle="1" w:styleId="footnotereference">
    <w:name w:val="footnote reference"/>
    <w:basedOn w:val="Standardstycketeckensnitt"/>
    <w:rsid w:val="00CF0D2E"/>
    <w:rPr>
      <w:rFonts w:ascii="Verdana" w:hAnsi="Verdana" w:hint="default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87D0D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indent">
    <w:name w:val="normal indent"/>
    <w:basedOn w:val="Normal"/>
    <w:rsid w:val="00CF0D2E"/>
    <w:pPr>
      <w:spacing w:line="240" w:lineRule="auto"/>
    </w:pPr>
    <w:rPr>
      <w:rFonts w:ascii="Verdana" w:hAnsi="Verdana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FD5574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844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3364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2792939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85337908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1108</Words>
  <Characters>7348</Characters>
  <Application>Microsoft Office Word</Application>
  <DocSecurity>4</DocSecurity>
  <Lines>136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N14</vt:lpstr>
    </vt:vector>
  </TitlesOfParts>
  <Company>Riksdagen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N14</dc:title>
  <dc:subject>N14</dc:subject>
  <dc:creator>Riksdagen</dc:creator>
  <cp:keywords>Riksdagen</cp:keywords>
  <dc:description/>
  <cp:lastModifiedBy>Lars Brink</cp:lastModifiedBy>
  <cp:revision>2</cp:revision>
  <cp:lastPrinted>2005-12-05T09:29:00Z</cp:lastPrinted>
  <dcterms:created xsi:type="dcterms:W3CDTF">2025-12-16T20:19:00Z</dcterms:created>
  <dcterms:modified xsi:type="dcterms:W3CDTF">2025-12-16T20:19:00Z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mot2000_423_2005-11-30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framst. 2005/06:RRS6 Riksrevisionens styrelses framställning angående bolagiseringen av Statens järnvägar</vt:lpwstr>
  </property>
  <property fmtid="{D5CDD505-2E9C-101B-9397-08002B2CF9AE}" pid="11" name="SvarFrasKort">
    <vt:lpwstr>med anledning av framst. 2005/06:RRS6</vt:lpwstr>
  </property>
  <property fmtid="{D5CDD505-2E9C-101B-9397-08002B2CF9AE}" pid="12" name="Svar">
    <vt:lpwstr>framstallning</vt:lpwstr>
  </property>
  <property fmtid="{D5CDD505-2E9C-101B-9397-08002B2CF9AE}" pid="13" name="SvarNr">
    <vt:lpwstr>2005/06:RRS6</vt:lpwstr>
  </property>
  <property fmtid="{D5CDD505-2E9C-101B-9397-08002B2CF9AE}" pid="14" name="RubrikSvar">
    <vt:lpwstr>Riksrevisionens styrelses framställning angående bolagiseringen av Statens järnvägar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fp1268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Eva Flyborg m.fl. (fp)</vt:lpwstr>
  </property>
  <property fmtid="{D5CDD505-2E9C-101B-9397-08002B2CF9AE}" pid="26" name="MotionarLista">
    <vt:lpwstr>Flyborg, Eva (fp)\Ångström, Yvonne (fp)\Sabuni, Nyamko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(fp), Yvonne Ångström (fp), Nyamko Sabuni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november 2005</vt:lpwstr>
  </property>
  <property fmtid="{D5CDD505-2E9C-101B-9397-08002B2CF9AE}" pid="44" name="NotesUID">
    <vt:lpwstr>patrick.joyce@riksdagen.se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20052006000001020112000012680075</vt:lpwstr>
  </property>
  <property fmtid="{D5CDD505-2E9C-101B-9397-08002B2CF9AE}" pid="47" name="datum">
    <vt:lpwstr>051130</vt:lpwstr>
  </property>
  <property fmtid="{D5CDD505-2E9C-101B-9397-08002B2CF9AE}" pid="48" name="avsändar-e-post">
    <vt:lpwstr>patrick.joyce@riksdagen.se</vt:lpwstr>
  </property>
  <property fmtid="{D5CDD505-2E9C-101B-9397-08002B2CF9AE}" pid="49" name="id">
    <vt:lpwstr>20052006000001020112000012680075</vt:lpwstr>
  </property>
  <property fmtid="{D5CDD505-2E9C-101B-9397-08002B2CF9AE}" pid="50" name="nummer">
    <vt:lpwstr>14</vt:lpwstr>
  </property>
  <property fmtid="{D5CDD505-2E9C-101B-9397-08002B2CF9AE}" pid="51" name="utskottsbeteckning">
    <vt:lpwstr>N</vt:lpwstr>
  </property>
</Properties>
</file>