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71A" w:rsidRPr="009312E0" w:rsidRDefault="006F771A">
      <w:pPr>
        <w:pStyle w:val="RubrikSammanf"/>
        <w:shd w:val="clear" w:color="000000" w:fill="auto"/>
        <w:spacing w:before="125"/>
      </w:pPr>
      <w:r w:rsidRPr="009312E0">
        <w:t>Sammanfattning</w:t>
      </w:r>
    </w:p>
    <w:p w:rsidR="006F771A" w:rsidRPr="009312E0" w:rsidRDefault="006F771A">
      <w:pPr>
        <w:shd w:val="clear" w:color="000000" w:fill="auto"/>
      </w:pPr>
      <w:r w:rsidRPr="009312E0">
        <w:t>Kommunsektorn är en grundpelare i den svenska välfärden, och för Miljöpa</w:t>
      </w:r>
      <w:r w:rsidRPr="009312E0">
        <w:t>r</w:t>
      </w:r>
      <w:r w:rsidRPr="009312E0">
        <w:t>tiet de gröna är det viktigt att återupprätta kvaliteten i barnomsorgen, skolo</w:t>
      </w:r>
      <w:r w:rsidRPr="009312E0">
        <w:t>r</w:t>
      </w:r>
      <w:r w:rsidRPr="009312E0">
        <w:t>na, familje- och individomsorgen, sjukvården och äldreomsorgen. Därför gör vi ökade satsningar på kommuner och landsting. Vi satsar även på jämställda löner inom staten.</w:t>
      </w:r>
    </w:p>
    <w:p w:rsidR="006F771A" w:rsidRPr="009312E0" w:rsidRDefault="006F771A">
      <w:pPr>
        <w:pStyle w:val="Frslagsrubrik"/>
        <w:shd w:val="clear" w:color="000000" w:fill="auto"/>
        <w:spacing w:before="480"/>
      </w:pPr>
      <w:r w:rsidRPr="009312E0">
        <w:t>Förslag till riksdagsbeslut</w:t>
      </w:r>
    </w:p>
    <w:p w:rsidR="006F771A" w:rsidRPr="009312E0" w:rsidRDefault="006F771A">
      <w:pPr>
        <w:pStyle w:val="Hemstlatt"/>
        <w:numPr>
          <w:ilvl w:val="0"/>
          <w:numId w:val="1"/>
        </w:numPr>
        <w:shd w:val="clear" w:color="000000" w:fill="auto"/>
      </w:pPr>
      <w:r w:rsidRPr="009312E0">
        <w:t>Riksdagen anvisar med följande ändringar i förhållande till regeringens förslag anslagen under utgiftsområde 2 Samhällsekonomi och finansförvaltning enligt uppstäl</w:t>
      </w:r>
      <w:r w:rsidRPr="009312E0">
        <w:t>l</w:t>
      </w:r>
      <w:r w:rsidRPr="009312E0">
        <w:t>ning:</w:t>
      </w:r>
    </w:p>
    <w:tbl>
      <w:tblPr>
        <w:tblW w:w="601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0"/>
        <w:gridCol w:w="3220"/>
        <w:gridCol w:w="760"/>
        <w:gridCol w:w="760"/>
        <w:gridCol w:w="760"/>
      </w:tblGrid>
      <w:tr w:rsidR="00000000" w:rsidRPr="009312E0">
        <w:trPr>
          <w:trHeight w:val="262"/>
        </w:trPr>
        <w:tc>
          <w:tcPr>
            <w:tcW w:w="51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pPr>
          </w:p>
        </w:tc>
        <w:tc>
          <w:tcPr>
            <w:tcW w:w="322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b/>
                <w:bCs/>
                <w:color w:val="000000"/>
                <w:sz w:val="16"/>
                <w:szCs w:val="16"/>
              </w:rPr>
            </w:pPr>
            <w:r w:rsidRPr="009312E0">
              <w:rPr>
                <w:b/>
                <w:bCs/>
                <w:color w:val="000000"/>
                <w:sz w:val="16"/>
                <w:szCs w:val="16"/>
              </w:rPr>
              <w:t>Anslag</w:t>
            </w:r>
          </w:p>
        </w:tc>
        <w:tc>
          <w:tcPr>
            <w:tcW w:w="2280" w:type="dxa"/>
            <w:gridSpan w:val="3"/>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center"/>
              <w:rPr>
                <w:color w:val="000000"/>
                <w:sz w:val="16"/>
                <w:szCs w:val="16"/>
              </w:rPr>
            </w:pPr>
            <w:r w:rsidRPr="009312E0">
              <w:rPr>
                <w:b/>
                <w:bCs/>
                <w:color w:val="000000"/>
                <w:sz w:val="16"/>
                <w:szCs w:val="16"/>
              </w:rPr>
              <w:t>Anslagsförändring</w:t>
            </w:r>
          </w:p>
        </w:tc>
      </w:tr>
      <w:tr w:rsidR="00000000" w:rsidRPr="009312E0">
        <w:trPr>
          <w:trHeight w:val="262"/>
        </w:trPr>
        <w:tc>
          <w:tcPr>
            <w:tcW w:w="51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color w:val="000000"/>
                <w:sz w:val="16"/>
                <w:szCs w:val="16"/>
              </w:rPr>
            </w:pPr>
          </w:p>
        </w:tc>
        <w:tc>
          <w:tcPr>
            <w:tcW w:w="322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rPr>
                <w:b/>
                <w:bCs/>
                <w:color w:val="000000"/>
                <w:sz w:val="16"/>
                <w:szCs w:val="16"/>
              </w:rPr>
            </w:pP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color w:val="000000"/>
                <w:sz w:val="16"/>
                <w:szCs w:val="16"/>
              </w:rPr>
            </w:pPr>
            <w:r w:rsidRPr="009312E0">
              <w:rPr>
                <w:b/>
                <w:color w:val="000000"/>
                <w:sz w:val="16"/>
                <w:szCs w:val="16"/>
              </w:rPr>
              <w:t>2012</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color w:val="000000"/>
                <w:sz w:val="16"/>
                <w:szCs w:val="16"/>
              </w:rPr>
            </w:pPr>
            <w:r w:rsidRPr="009312E0">
              <w:rPr>
                <w:b/>
                <w:color w:val="000000"/>
                <w:sz w:val="16"/>
                <w:szCs w:val="16"/>
              </w:rPr>
              <w:t>2013</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color w:val="000000"/>
                <w:sz w:val="16"/>
                <w:szCs w:val="16"/>
              </w:rPr>
            </w:pPr>
            <w:r w:rsidRPr="009312E0">
              <w:rPr>
                <w:b/>
                <w:color w:val="000000"/>
                <w:sz w:val="16"/>
                <w:szCs w:val="16"/>
              </w:rPr>
              <w:t>2014</w:t>
            </w:r>
          </w:p>
        </w:tc>
      </w:tr>
      <w:tr w:rsidR="00000000" w:rsidRPr="009312E0">
        <w:trPr>
          <w:trHeight w:val="262"/>
        </w:trPr>
        <w:tc>
          <w:tcPr>
            <w:tcW w:w="51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1:4</w:t>
            </w:r>
          </w:p>
        </w:tc>
        <w:tc>
          <w:tcPr>
            <w:tcW w:w="322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Arbetsgivarpolitiska frågor</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r>
      <w:tr w:rsidR="00000000" w:rsidRPr="009312E0">
        <w:trPr>
          <w:trHeight w:val="276"/>
        </w:trPr>
        <w:tc>
          <w:tcPr>
            <w:tcW w:w="51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322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rPr>
                <w:b/>
                <w:bCs/>
                <w:i/>
                <w:iCs/>
                <w:color w:val="000000"/>
                <w:sz w:val="16"/>
                <w:szCs w:val="16"/>
              </w:rPr>
            </w:pPr>
            <w:r w:rsidRPr="009312E0">
              <w:rPr>
                <w:b/>
                <w:bCs/>
                <w:i/>
                <w:iCs/>
                <w:color w:val="000000"/>
                <w:sz w:val="16"/>
                <w:szCs w:val="16"/>
              </w:rPr>
              <w:t>Summa</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+150</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+150</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+150</w:t>
            </w:r>
          </w:p>
        </w:tc>
      </w:tr>
      <w:tr w:rsidR="00000000" w:rsidRPr="009312E0">
        <w:trPr>
          <w:trHeight w:val="262"/>
        </w:trPr>
        <w:tc>
          <w:tcPr>
            <w:tcW w:w="51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322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rPr>
                <w:i/>
                <w:iCs/>
                <w:color w:val="000000"/>
                <w:sz w:val="16"/>
                <w:szCs w:val="16"/>
              </w:rPr>
            </w:pPr>
            <w:r w:rsidRPr="009312E0">
              <w:rPr>
                <w:i/>
                <w:iCs/>
                <w:color w:val="000000"/>
                <w:sz w:val="16"/>
                <w:szCs w:val="16"/>
              </w:rPr>
              <w:t>Specificering av anslagsförändringar</w:t>
            </w: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r>
      <w:tr w:rsidR="00000000" w:rsidRPr="009312E0">
        <w:trPr>
          <w:trHeight w:val="262"/>
        </w:trPr>
        <w:tc>
          <w:tcPr>
            <w:tcW w:w="51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1:4</w:t>
            </w:r>
          </w:p>
        </w:tc>
        <w:tc>
          <w:tcPr>
            <w:tcW w:w="322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Jämställda löner inom statlig verksamhet</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+150</w:t>
            </w:r>
          </w:p>
        </w:tc>
      </w:tr>
    </w:tbl>
    <w:p w:rsidR="006F771A" w:rsidRPr="009312E0" w:rsidRDefault="006F771A">
      <w:pPr>
        <w:pStyle w:val="Hemstlatt"/>
        <w:numPr>
          <w:ilvl w:val="0"/>
          <w:numId w:val="1"/>
        </w:numPr>
        <w:shd w:val="clear" w:color="000000" w:fill="auto"/>
      </w:pPr>
      <w:r w:rsidRPr="009312E0">
        <w:t>Riksdagen anvisar med följande ändringar i förhållande till regeringens förslag anslagen under utgiftsområde 25 Allmänna bidrag till kommuner enligt uppställning:</w:t>
      </w:r>
    </w:p>
    <w:tbl>
      <w:tblPr>
        <w:tblW w:w="601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0"/>
        <w:gridCol w:w="3220"/>
        <w:gridCol w:w="760"/>
        <w:gridCol w:w="760"/>
        <w:gridCol w:w="760"/>
      </w:tblGrid>
      <w:tr w:rsidR="00000000" w:rsidRPr="009312E0">
        <w:trPr>
          <w:trHeight w:val="262"/>
        </w:trPr>
        <w:tc>
          <w:tcPr>
            <w:tcW w:w="51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322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b/>
                <w:bCs/>
                <w:color w:val="000000"/>
                <w:sz w:val="16"/>
                <w:szCs w:val="16"/>
              </w:rPr>
            </w:pPr>
            <w:r w:rsidRPr="009312E0">
              <w:rPr>
                <w:b/>
                <w:bCs/>
                <w:color w:val="000000"/>
                <w:sz w:val="16"/>
                <w:szCs w:val="16"/>
              </w:rPr>
              <w:t>Anslag</w:t>
            </w:r>
          </w:p>
        </w:tc>
        <w:tc>
          <w:tcPr>
            <w:tcW w:w="2280" w:type="dxa"/>
            <w:gridSpan w:val="3"/>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center"/>
              <w:rPr>
                <w:color w:val="000000"/>
                <w:sz w:val="16"/>
                <w:szCs w:val="16"/>
              </w:rPr>
            </w:pPr>
            <w:r w:rsidRPr="009312E0">
              <w:rPr>
                <w:b/>
                <w:bCs/>
                <w:color w:val="000000"/>
                <w:sz w:val="16"/>
                <w:szCs w:val="16"/>
              </w:rPr>
              <w:t>Anslagsförändring</w:t>
            </w:r>
          </w:p>
        </w:tc>
      </w:tr>
      <w:tr w:rsidR="00000000" w:rsidRPr="009312E0">
        <w:trPr>
          <w:trHeight w:val="262"/>
        </w:trPr>
        <w:tc>
          <w:tcPr>
            <w:tcW w:w="51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rPr>
            </w:pPr>
          </w:p>
        </w:tc>
        <w:tc>
          <w:tcPr>
            <w:tcW w:w="322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rPr>
                <w:b/>
                <w:bCs/>
                <w:color w:val="000000"/>
                <w:sz w:val="16"/>
                <w:szCs w:val="16"/>
              </w:rPr>
            </w:pP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color w:val="000000"/>
                <w:sz w:val="16"/>
                <w:szCs w:val="16"/>
              </w:rPr>
            </w:pPr>
            <w:r w:rsidRPr="009312E0">
              <w:rPr>
                <w:b/>
                <w:bCs/>
                <w:color w:val="000000"/>
                <w:sz w:val="16"/>
                <w:szCs w:val="16"/>
              </w:rPr>
              <w:t>2012</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color w:val="000000"/>
                <w:sz w:val="16"/>
                <w:szCs w:val="16"/>
              </w:rPr>
            </w:pPr>
            <w:r w:rsidRPr="009312E0">
              <w:rPr>
                <w:b/>
                <w:bCs/>
                <w:color w:val="000000"/>
                <w:sz w:val="16"/>
                <w:szCs w:val="16"/>
              </w:rPr>
              <w:t>2013</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color w:val="000000"/>
                <w:sz w:val="16"/>
                <w:szCs w:val="16"/>
              </w:rPr>
            </w:pPr>
            <w:r w:rsidRPr="009312E0">
              <w:rPr>
                <w:b/>
                <w:bCs/>
                <w:color w:val="000000"/>
                <w:sz w:val="16"/>
                <w:szCs w:val="16"/>
              </w:rPr>
              <w:t>2014</w:t>
            </w:r>
          </w:p>
        </w:tc>
      </w:tr>
      <w:tr w:rsidR="00000000" w:rsidRPr="009312E0">
        <w:trPr>
          <w:trHeight w:val="262"/>
        </w:trPr>
        <w:tc>
          <w:tcPr>
            <w:tcW w:w="51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1:1</w:t>
            </w:r>
          </w:p>
        </w:tc>
        <w:tc>
          <w:tcPr>
            <w:tcW w:w="322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Kommunalekonomisk utjämning</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+3 025</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+3 130</w:t>
            </w:r>
          </w:p>
        </w:tc>
        <w:tc>
          <w:tcPr>
            <w:tcW w:w="760" w:type="dxa"/>
            <w:tcBorders>
              <w:top w:val="single" w:sz="4" w:space="0" w:color="auto"/>
              <w:bottom w:val="nil"/>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+3 534</w:t>
            </w:r>
          </w:p>
        </w:tc>
      </w:tr>
      <w:tr w:rsidR="00000000" w:rsidRPr="009312E0">
        <w:trPr>
          <w:trHeight w:val="276"/>
        </w:trPr>
        <w:tc>
          <w:tcPr>
            <w:tcW w:w="51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322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rPr>
                <w:b/>
                <w:bCs/>
                <w:i/>
                <w:iCs/>
                <w:color w:val="000000"/>
                <w:sz w:val="16"/>
                <w:szCs w:val="16"/>
              </w:rPr>
            </w:pPr>
            <w:r w:rsidRPr="009312E0">
              <w:rPr>
                <w:b/>
                <w:bCs/>
                <w:i/>
                <w:iCs/>
                <w:color w:val="000000"/>
                <w:sz w:val="16"/>
                <w:szCs w:val="16"/>
              </w:rPr>
              <w:t>Summa</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+3 025</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+3 130</w:t>
            </w:r>
          </w:p>
        </w:tc>
        <w:tc>
          <w:tcPr>
            <w:tcW w:w="760" w:type="dxa"/>
            <w:tcBorders>
              <w:top w:val="nil"/>
              <w:bottom w:val="single" w:sz="4" w:space="0" w:color="auto"/>
            </w:tcBorders>
          </w:tcPr>
          <w:p w:rsidR="006F771A" w:rsidRPr="009312E0" w:rsidRDefault="006F771A">
            <w:pPr>
              <w:shd w:val="clear" w:color="000000" w:fill="auto"/>
              <w:autoSpaceDE w:val="0"/>
              <w:autoSpaceDN w:val="0"/>
              <w:adjustRightInd w:val="0"/>
              <w:spacing w:before="60" w:line="200" w:lineRule="exact"/>
              <w:jc w:val="right"/>
              <w:rPr>
                <w:b/>
                <w:bCs/>
                <w:i/>
                <w:iCs/>
                <w:color w:val="000000"/>
                <w:sz w:val="16"/>
                <w:szCs w:val="16"/>
              </w:rPr>
            </w:pPr>
            <w:r w:rsidRPr="009312E0">
              <w:rPr>
                <w:b/>
                <w:bCs/>
                <w:i/>
                <w:iCs/>
                <w:color w:val="000000"/>
                <w:sz w:val="16"/>
                <w:szCs w:val="16"/>
              </w:rPr>
              <w:t>+3 534</w:t>
            </w:r>
          </w:p>
        </w:tc>
      </w:tr>
      <w:tr w:rsidR="00000000" w:rsidRPr="009312E0">
        <w:trPr>
          <w:trHeight w:val="262"/>
        </w:trPr>
        <w:tc>
          <w:tcPr>
            <w:tcW w:w="51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322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rPr>
                <w:i/>
                <w:iCs/>
                <w:color w:val="000000"/>
                <w:sz w:val="16"/>
                <w:szCs w:val="16"/>
              </w:rPr>
            </w:pPr>
            <w:r w:rsidRPr="009312E0">
              <w:rPr>
                <w:i/>
                <w:iCs/>
                <w:color w:val="000000"/>
                <w:sz w:val="16"/>
                <w:szCs w:val="16"/>
              </w:rPr>
              <w:t>Specificering av anslagsförändringar</w:t>
            </w: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p>
        </w:tc>
      </w:tr>
      <w:tr w:rsidR="00000000" w:rsidRPr="009312E0">
        <w:trPr>
          <w:trHeight w:val="262"/>
        </w:trPr>
        <w:tc>
          <w:tcPr>
            <w:tcW w:w="51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lastRenderedPageBreak/>
              <w:t>1:1</w:t>
            </w:r>
          </w:p>
        </w:tc>
        <w:tc>
          <w:tcPr>
            <w:tcW w:w="322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Generellt statsbidrag</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+2 000</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+1 500</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+1 500</w:t>
            </w:r>
          </w:p>
        </w:tc>
      </w:tr>
      <w:tr w:rsidR="00000000" w:rsidRPr="009312E0">
        <w:trPr>
          <w:trHeight w:val="262"/>
        </w:trPr>
        <w:tc>
          <w:tcPr>
            <w:tcW w:w="51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1:1</w:t>
            </w:r>
          </w:p>
        </w:tc>
        <w:tc>
          <w:tcPr>
            <w:tcW w:w="3220" w:type="dxa"/>
          </w:tcPr>
          <w:p w:rsidR="006F771A" w:rsidRPr="009312E0" w:rsidRDefault="006F771A">
            <w:pPr>
              <w:shd w:val="clear" w:color="000000" w:fill="auto"/>
              <w:autoSpaceDE w:val="0"/>
              <w:autoSpaceDN w:val="0"/>
              <w:adjustRightInd w:val="0"/>
              <w:spacing w:before="60" w:line="200" w:lineRule="exact"/>
              <w:rPr>
                <w:color w:val="000000"/>
                <w:sz w:val="16"/>
                <w:szCs w:val="16"/>
              </w:rPr>
            </w:pPr>
            <w:r w:rsidRPr="009312E0">
              <w:rPr>
                <w:color w:val="000000"/>
                <w:sz w:val="16"/>
                <w:szCs w:val="16"/>
              </w:rPr>
              <w:t>Kompensation ekonomiska regleringar</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+1 025</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+1 630</w:t>
            </w:r>
          </w:p>
        </w:tc>
        <w:tc>
          <w:tcPr>
            <w:tcW w:w="760" w:type="dxa"/>
          </w:tcPr>
          <w:p w:rsidR="006F771A" w:rsidRPr="009312E0" w:rsidRDefault="006F771A">
            <w:pPr>
              <w:shd w:val="clear" w:color="000000" w:fill="auto"/>
              <w:autoSpaceDE w:val="0"/>
              <w:autoSpaceDN w:val="0"/>
              <w:adjustRightInd w:val="0"/>
              <w:spacing w:before="60" w:line="200" w:lineRule="exact"/>
              <w:jc w:val="right"/>
              <w:rPr>
                <w:color w:val="000000"/>
                <w:sz w:val="16"/>
                <w:szCs w:val="16"/>
              </w:rPr>
            </w:pPr>
            <w:r w:rsidRPr="009312E0">
              <w:rPr>
                <w:color w:val="000000"/>
                <w:sz w:val="16"/>
                <w:szCs w:val="16"/>
              </w:rPr>
              <w:t>+2 034</w:t>
            </w:r>
          </w:p>
        </w:tc>
      </w:tr>
    </w:tbl>
    <w:p w:rsidR="006F771A" w:rsidRPr="009312E0" w:rsidRDefault="006F771A">
      <w:pPr>
        <w:shd w:val="clear" w:color="000000" w:fill="auto"/>
      </w:pPr>
    </w:p>
    <w:p w:rsidR="006F771A" w:rsidRPr="009312E0" w:rsidRDefault="006F771A">
      <w:pPr>
        <w:pStyle w:val="Rubrik1"/>
        <w:shd w:val="clear" w:color="000000" w:fill="auto"/>
        <w:spacing w:before="0" w:line="260" w:lineRule="exact"/>
      </w:pPr>
      <w:r w:rsidRPr="009312E0">
        <w:t>Utgiftsområde 2 Samhällsekonomi och finansförvaltning</w:t>
      </w:r>
    </w:p>
    <w:p w:rsidR="006F771A" w:rsidRPr="009312E0" w:rsidRDefault="006F771A">
      <w:pPr>
        <w:shd w:val="clear" w:color="000000" w:fill="auto"/>
      </w:pPr>
      <w:r w:rsidRPr="009312E0">
        <w:t>Överallt i arbetslivet råder det stor brist på jämställdhet mellan könen. Diskrimineringen av kvinnor finns på alla nivåer: vid tillsättande av chef</w:t>
      </w:r>
      <w:r w:rsidRPr="009312E0">
        <w:t>s</w:t>
      </w:r>
      <w:r w:rsidRPr="009312E0">
        <w:t>tjänster, när det gäller lönens storlek, när det gäller anställningsformer och när det gäller hel- och deltider. Denna ordning är oacceptabel.</w:t>
      </w:r>
    </w:p>
    <w:p w:rsidR="006F771A" w:rsidRPr="009312E0" w:rsidRDefault="006F771A">
      <w:pPr>
        <w:pStyle w:val="Normaltindrag"/>
        <w:shd w:val="clear" w:color="000000" w:fill="auto"/>
      </w:pPr>
      <w:r w:rsidRPr="009312E0">
        <w:t>Vi vill avskaffa den könsrelaterade lönediskrimineringen på den svenska arbetsmarknaden, och då gäller det också att arbetsmarknadens parter tar sitt fulla ansvar.</w:t>
      </w:r>
    </w:p>
    <w:p w:rsidR="006F771A" w:rsidRPr="009312E0" w:rsidRDefault="006F771A">
      <w:pPr>
        <w:pStyle w:val="Normaltindrag"/>
        <w:shd w:val="clear" w:color="000000" w:fill="auto"/>
      </w:pPr>
      <w:r w:rsidRPr="009312E0">
        <w:t>För Miljöpartiet är det viktigt att slå vakt om jämställdheten, och en viktig del av det är att eftersträva jämställda löner på arbetsmarknaden. Vi vill satsa 150 miljoner kronor på att minska löneskillnaderna mellan män och kvinnor i den statliga verksamheten.</w:t>
      </w:r>
    </w:p>
    <w:p w:rsidR="006F771A" w:rsidRPr="009312E0" w:rsidRDefault="006F771A">
      <w:pPr>
        <w:pStyle w:val="Rubrik1"/>
        <w:shd w:val="clear" w:color="000000" w:fill="auto"/>
      </w:pPr>
      <w:r w:rsidRPr="009312E0">
        <w:t>Utgiftsområde 25 Allmänna bidrag till kommunerna</w:t>
      </w:r>
    </w:p>
    <w:p w:rsidR="006F771A" w:rsidRPr="009312E0" w:rsidRDefault="006F771A">
      <w:pPr>
        <w:shd w:val="clear" w:color="000000" w:fill="auto"/>
      </w:pPr>
      <w:r w:rsidRPr="009312E0">
        <w:t>På grund av oron på finansmarknaderna och en nedrevidering av konjunktu</w:t>
      </w:r>
      <w:r w:rsidRPr="009312E0">
        <w:t>r</w:t>
      </w:r>
      <w:r w:rsidRPr="009312E0">
        <w:t>läget är framtiden osäker för kommunerna och särskilt för landstingen vars ekonomi är generellt sett mer ansträngd än kommunernas. Flertalet landsting förväntas redovisa överskott för 2011, men därefter väntas resultatet sjunka successivt för att övergå i underskott fr.o.m. 2014. År 2015 prognostiseras ett underskott på närmare 5 miljarder kronor.</w:t>
      </w:r>
    </w:p>
    <w:p w:rsidR="006F771A" w:rsidRPr="009312E0" w:rsidRDefault="006F771A">
      <w:pPr>
        <w:pStyle w:val="Normaltindrag"/>
        <w:shd w:val="clear" w:color="000000" w:fill="auto"/>
      </w:pPr>
      <w:r w:rsidRPr="009312E0">
        <w:t>Det varierar också stort inom respektive sektor, där vissa kommuner och landsting går med stora vinster medan andra måste göra neddragningar som en följd av unde</w:t>
      </w:r>
      <w:r w:rsidRPr="009312E0">
        <w:t>rskott. På längre sikt kommer troligen kostnaderna för sektorn att stiga i takt med att befolkningen åldras och kraven på välfärden växer.</w:t>
      </w:r>
    </w:p>
    <w:p w:rsidR="006F771A" w:rsidRPr="009312E0" w:rsidRDefault="006F771A">
      <w:pPr>
        <w:pStyle w:val="Normaltindrag"/>
        <w:shd w:val="clear" w:color="000000" w:fill="auto"/>
      </w:pPr>
      <w:r w:rsidRPr="009312E0">
        <w:t>Regeringens bedömning är att 22 000 personer fått lämna sina jobb i sk</w:t>
      </w:r>
      <w:r w:rsidRPr="009312E0">
        <w:t>o</w:t>
      </w:r>
      <w:r w:rsidRPr="009312E0">
        <w:t>lan, vården om omsorgen som en följd av den ekonomiska krisen. Detta trots att regeringen betalade ut 17 miljarder kronor i tillfälligt konjunkturstöd till kommuner och landsting. Problemet var att pengarna kom för sent och med för kort varsel. Kommuner och landsting behöver långsiktiga förutsättningar för sin planering och har svårt att använda denna typ av kortsiktiga stöd till anställningar, vilka kräver långsiktig finansiering.</w:t>
      </w:r>
    </w:p>
    <w:p w:rsidR="006F771A" w:rsidRPr="009312E0" w:rsidRDefault="006F771A">
      <w:pPr>
        <w:pStyle w:val="Normaltindrag"/>
        <w:shd w:val="clear" w:color="000000" w:fill="auto"/>
      </w:pPr>
      <w:r w:rsidRPr="009312E0">
        <w:t>I Miljöpartiets Sverige får varken barnen eller våra äldre komma i andra ha</w:t>
      </w:r>
      <w:r w:rsidRPr="009312E0">
        <w:t>nd. Vi vill investera i välfärden och göra Sverige till ett tryggare, varmare och medmänskligare land. En stor och viktig del av Sveriges välfärd utförs i landets kommuner och landsting. Men våra barn, ungdomar och äldre fick betala ett högt pris för finanskrisen då kommuner och landsting drabbades i form av minskad personal i barnomsorgen, skolan, vården och äldreomso</w:t>
      </w:r>
      <w:r w:rsidRPr="009312E0">
        <w:t>r</w:t>
      </w:r>
      <w:r w:rsidRPr="009312E0">
        <w:t xml:space="preserve">gen. Mindre personal i välfärden leder till att unga lämnar skolan utan den kunskap och det självförtroende som behövs för att de ska klara </w:t>
      </w:r>
      <w:r w:rsidRPr="009312E0">
        <w:t>sig i arbetsl</w:t>
      </w:r>
      <w:r w:rsidRPr="009312E0">
        <w:t>i</w:t>
      </w:r>
      <w:r w:rsidRPr="009312E0">
        <w:t xml:space="preserve">vet. Mindre personal i välfärden leder också till att äldre, handikappade och sjuka får sämre vård inom äldreomsorgen, individomsorgen och sjukvården. </w:t>
      </w:r>
    </w:p>
    <w:p w:rsidR="006F771A" w:rsidRPr="009312E0" w:rsidRDefault="006F771A">
      <w:pPr>
        <w:pStyle w:val="Normaltindrag"/>
        <w:shd w:val="clear" w:color="000000" w:fill="auto"/>
      </w:pPr>
      <w:r w:rsidRPr="009312E0">
        <w:t>Vi har högre ambitioner för kvaliteten i välfärden. Därför skjuter vi till mer än 2 miljarder kronor 2012 och 1,5 miljarder kronor årligen 2013–2014 u</w:t>
      </w:r>
      <w:r w:rsidRPr="009312E0">
        <w:t>t</w:t>
      </w:r>
      <w:r w:rsidRPr="009312E0">
        <w:t xml:space="preserve">över regeringens budget till kommuner och landsting.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2E0">
        <w:trPr>
          <w:cantSplit/>
        </w:trPr>
        <w:tc>
          <w:tcPr>
            <w:tcW w:w="3046" w:type="dxa"/>
          </w:tcPr>
          <w:p w:rsidR="006F771A" w:rsidRPr="009312E0" w:rsidRDefault="006F771A">
            <w:pPr>
              <w:pStyle w:val="UnderskriftDatum"/>
              <w:shd w:val="clear" w:color="000000" w:fill="auto"/>
              <w:spacing w:before="240"/>
            </w:pPr>
            <w:r w:rsidRPr="009312E0">
              <w:t>Stockholm den 4 oktober 2011</w:t>
            </w:r>
          </w:p>
        </w:tc>
        <w:tc>
          <w:tcPr>
            <w:tcW w:w="3047" w:type="dxa"/>
          </w:tcPr>
          <w:p w:rsidR="006F771A" w:rsidRPr="009312E0" w:rsidRDefault="006F771A">
            <w:pPr>
              <w:pStyle w:val="Underskrifter"/>
              <w:shd w:val="clear" w:color="000000" w:fill="auto"/>
              <w:spacing w:before="240"/>
            </w:pPr>
          </w:p>
        </w:tc>
      </w:tr>
      <w:tr w:rsidR="00000000" w:rsidRPr="009312E0">
        <w:trPr>
          <w:cantSplit/>
        </w:trPr>
        <w:tc>
          <w:tcPr>
            <w:tcW w:w="3046" w:type="dxa"/>
          </w:tcPr>
          <w:p w:rsidR="006F771A" w:rsidRPr="009312E0" w:rsidRDefault="006F771A">
            <w:pPr>
              <w:pStyle w:val="Underskrifter"/>
              <w:shd w:val="clear" w:color="000000" w:fill="auto"/>
            </w:pPr>
            <w:r w:rsidRPr="009312E0">
              <w:t>Per Bolund (MP)</w:t>
            </w:r>
          </w:p>
        </w:tc>
        <w:tc>
          <w:tcPr>
            <w:tcW w:w="3046" w:type="dxa"/>
          </w:tcPr>
          <w:p w:rsidR="006F771A" w:rsidRPr="009312E0" w:rsidRDefault="006F771A">
            <w:pPr>
              <w:pStyle w:val="Underskrifter"/>
              <w:shd w:val="clear" w:color="000000" w:fill="auto"/>
            </w:pPr>
          </w:p>
        </w:tc>
      </w:tr>
      <w:tr w:rsidR="00000000" w:rsidRPr="009312E0">
        <w:trPr>
          <w:cantSplit/>
        </w:trPr>
        <w:tc>
          <w:tcPr>
            <w:tcW w:w="3046" w:type="dxa"/>
          </w:tcPr>
          <w:p w:rsidR="006F771A" w:rsidRPr="009312E0" w:rsidRDefault="006F771A">
            <w:pPr>
              <w:pStyle w:val="Underskrifter"/>
              <w:shd w:val="clear" w:color="000000" w:fill="auto"/>
            </w:pPr>
            <w:r w:rsidRPr="009312E0">
              <w:t>Jonas Eriksson (MP)</w:t>
            </w:r>
          </w:p>
        </w:tc>
        <w:tc>
          <w:tcPr>
            <w:tcW w:w="3046" w:type="dxa"/>
          </w:tcPr>
          <w:p w:rsidR="006F771A" w:rsidRPr="009312E0" w:rsidRDefault="006F771A">
            <w:pPr>
              <w:pStyle w:val="Underskrifter"/>
              <w:shd w:val="clear" w:color="000000" w:fill="auto"/>
            </w:pPr>
            <w:r w:rsidRPr="009312E0">
              <w:t>Helena Leander (MP)</w:t>
            </w:r>
          </w:p>
        </w:tc>
      </w:tr>
    </w:tbl>
    <w:p w:rsidR="006F771A" w:rsidRPr="009312E0" w:rsidRDefault="006F771A">
      <w:pPr>
        <w:pStyle w:val="Normaltindrag"/>
        <w:shd w:val="clear" w:color="000000" w:fill="auto"/>
      </w:pPr>
    </w:p>
    <w:sectPr w:rsidR="006F771A" w:rsidRPr="009312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71A" w:rsidRPr="009312E0" w:rsidRDefault="006F771A">
      <w:r w:rsidRPr="009312E0">
        <w:separator/>
      </w:r>
    </w:p>
  </w:endnote>
  <w:endnote w:type="continuationSeparator" w:id="0">
    <w:p w:rsidR="006F771A" w:rsidRPr="009312E0" w:rsidRDefault="006F771A">
      <w:r w:rsidRPr="009312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9312E0">
    <w:pPr>
      <w:pStyle w:val="Sidfot"/>
    </w:pPr>
    <w:r w:rsidRPr="009312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853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1A" w:rsidRDefault="006F77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71A" w:rsidRDefault="006F77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9312E0">
    <w:pPr>
      <w:pStyle w:val="Sidfot"/>
    </w:pPr>
    <w:r w:rsidRPr="009312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530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1A" w:rsidRDefault="006F77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71A" w:rsidRDefault="006F77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9312E0">
    <w:pPr>
      <w:pStyle w:val="Sidfot"/>
    </w:pPr>
    <w:r w:rsidRPr="009312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905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1A" w:rsidRDefault="006F77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71A" w:rsidRDefault="006F77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71A" w:rsidRPr="009312E0" w:rsidRDefault="006F771A">
      <w:r w:rsidRPr="009312E0">
        <w:separator/>
      </w:r>
    </w:p>
  </w:footnote>
  <w:footnote w:type="continuationSeparator" w:id="0">
    <w:p w:rsidR="006F771A" w:rsidRPr="009312E0" w:rsidRDefault="006F771A">
      <w:r w:rsidRPr="009312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9312E0">
    <w:pPr>
      <w:pStyle w:val="Sidhuvud"/>
    </w:pPr>
    <w:r w:rsidRPr="009312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726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1A" w:rsidRDefault="006F77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71A" w:rsidRDefault="006F77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9312E0">
    <w:pPr>
      <w:pStyle w:val="Sidhuvud"/>
    </w:pPr>
    <w:r w:rsidRPr="009312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906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1A" w:rsidRDefault="006F77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71A" w:rsidRDefault="006F77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A" w:rsidRPr="009312E0" w:rsidRDefault="006F771A">
    <w:pPr>
      <w:pStyle w:val="FSHNormal"/>
      <w:tabs>
        <w:tab w:val="right" w:pos="5840"/>
      </w:tabs>
    </w:pPr>
    <w:r w:rsidRPr="009312E0">
      <w:br/>
    </w:r>
    <w:r w:rsidRPr="009312E0">
      <w:fldChar w:fldCharType="begin" w:fldLock="1"/>
    </w:r>
    <w:r w:rsidRPr="009312E0">
      <w:instrText xml:space="preserve"> DOCPROPERTY</w:instrText>
    </w:r>
    <w:r w:rsidRPr="009312E0">
      <w:rPr>
        <w:sz w:val="18"/>
      </w:rPr>
      <w:instrText xml:space="preserve"> "YearUser" *\charformat </w:instrText>
    </w:r>
    <w:r w:rsidRPr="009312E0">
      <w:fldChar w:fldCharType="separate"/>
    </w:r>
    <w:r w:rsidRPr="009312E0">
      <w:t>2011/12</w:t>
    </w:r>
    <w:r w:rsidRPr="009312E0">
      <w:fldChar w:fldCharType="end"/>
    </w:r>
    <w:r w:rsidRPr="009312E0">
      <w:t xml:space="preserve"> </w:t>
    </w:r>
    <w:r w:rsidRPr="009312E0">
      <w:tab/>
      <w:t xml:space="preserve">mnr: </w:t>
    </w:r>
    <w:r w:rsidRPr="009312E0">
      <w:fldChar w:fldCharType="begin" w:fldLock="1"/>
    </w:r>
    <w:r w:rsidRPr="009312E0">
      <w:instrText xml:space="preserve"> DOCPROPERTY</w:instrText>
    </w:r>
    <w:r w:rsidRPr="009312E0">
      <w:rPr>
        <w:sz w:val="18"/>
      </w:rPr>
      <w:instrText xml:space="preserve"> "Motionsnummer" *\charformat </w:instrText>
    </w:r>
    <w:r w:rsidRPr="009312E0">
      <w:fldChar w:fldCharType="separate"/>
    </w:r>
    <w:r w:rsidRPr="009312E0">
      <w:t>Fi295</w:t>
    </w:r>
    <w:r w:rsidRPr="009312E0">
      <w:fldChar w:fldCharType="end"/>
    </w:r>
    <w:r w:rsidRPr="009312E0">
      <w:br/>
    </w:r>
    <w:r w:rsidRPr="009312E0">
      <w:fldChar w:fldCharType="begin" w:fldLock="1"/>
    </w:r>
    <w:r w:rsidRPr="009312E0">
      <w:instrText xml:space="preserve"> DOCPROPERTY</w:instrText>
    </w:r>
    <w:r w:rsidRPr="009312E0">
      <w:rPr>
        <w:sz w:val="18"/>
      </w:rPr>
      <w:instrText xml:space="preserve"> "Samling" *\charformat </w:instrText>
    </w:r>
    <w:r w:rsidRPr="009312E0">
      <w:fldChar w:fldCharType="end"/>
    </w:r>
    <w:r w:rsidRPr="009312E0">
      <w:tab/>
      <w:t xml:space="preserve">pnr: </w:t>
    </w:r>
    <w:r w:rsidRPr="009312E0">
      <w:fldChar w:fldCharType="begin" w:fldLock="1"/>
    </w:r>
    <w:r w:rsidRPr="009312E0">
      <w:instrText xml:space="preserve"> DOCPROPERTY</w:instrText>
    </w:r>
    <w:r w:rsidRPr="009312E0">
      <w:rPr>
        <w:sz w:val="18"/>
      </w:rPr>
      <w:instrText xml:space="preserve"> "Partinummer" *\charformat </w:instrText>
    </w:r>
    <w:r w:rsidRPr="009312E0">
      <w:fldChar w:fldCharType="separate"/>
    </w:r>
    <w:r w:rsidRPr="009312E0">
      <w:t>MP1021</w:t>
    </w:r>
    <w:r w:rsidRPr="009312E0">
      <w:fldChar w:fldCharType="end"/>
    </w:r>
  </w:p>
  <w:p w:rsidR="006F771A" w:rsidRPr="009312E0" w:rsidRDefault="006F771A">
    <w:pPr>
      <w:pStyle w:val="FSHRub1"/>
    </w:pPr>
    <w:r w:rsidRPr="009312E0">
      <w:t>Motion till riksdagen</w:t>
    </w:r>
    <w:r w:rsidRPr="009312E0">
      <w:br/>
    </w:r>
    <w:r w:rsidRPr="009312E0">
      <w:fldChar w:fldCharType="begin" w:fldLock="1"/>
    </w:r>
    <w:r w:rsidRPr="009312E0">
      <w:instrText xml:space="preserve"> DOCPROPERTY "YearUser" *\charformat </w:instrText>
    </w:r>
    <w:r w:rsidRPr="009312E0">
      <w:fldChar w:fldCharType="separate"/>
    </w:r>
    <w:r w:rsidRPr="009312E0">
      <w:t>2011/12</w:t>
    </w:r>
    <w:r w:rsidRPr="009312E0">
      <w:fldChar w:fldCharType="end"/>
    </w:r>
    <w:r w:rsidRPr="009312E0">
      <w:t>:</w:t>
    </w:r>
    <w:r w:rsidRPr="009312E0">
      <w:fldChar w:fldCharType="begin" w:fldLock="1"/>
    </w:r>
    <w:r w:rsidRPr="009312E0">
      <w:instrText xml:space="preserve"> DOCPROPERTY "Motionsnummer" *\charformat </w:instrText>
    </w:r>
    <w:r w:rsidRPr="009312E0">
      <w:fldChar w:fldCharType="separate"/>
    </w:r>
    <w:r w:rsidRPr="009312E0">
      <w:t>Fi295</w:t>
    </w:r>
    <w:r w:rsidRPr="009312E0">
      <w:fldChar w:fldCharType="end"/>
    </w:r>
  </w:p>
  <w:p w:rsidR="006F771A" w:rsidRPr="009312E0" w:rsidRDefault="006F771A">
    <w:pPr>
      <w:pStyle w:val="FSHNormalS5"/>
    </w:pPr>
    <w:r w:rsidRPr="009312E0">
      <w:fldChar w:fldCharType="begin" w:fldLock="1"/>
    </w:r>
    <w:r w:rsidRPr="009312E0">
      <w:instrText xml:space="preserve"> DOCPROPERTY "MotionarText" *\charformat </w:instrText>
    </w:r>
    <w:r w:rsidRPr="009312E0">
      <w:fldChar w:fldCharType="separate"/>
    </w:r>
    <w:r w:rsidRPr="009312E0">
      <w:t>av Per Bolund m.fl. (MP)</w:t>
    </w:r>
    <w:r w:rsidRPr="009312E0">
      <w:fldChar w:fldCharType="end"/>
    </w:r>
    <w:r w:rsidRPr="009312E0">
      <w:br/>
    </w:r>
    <w:r w:rsidRPr="009312E0">
      <w:fldChar w:fldCharType="begin" w:fldLock="1"/>
    </w:r>
    <w:r w:rsidRPr="009312E0">
      <w:instrText xml:space="preserve"> DOCPROPERTY "SvarFrasKort" *\charformat </w:instrText>
    </w:r>
    <w:r w:rsidRPr="009312E0">
      <w:fldChar w:fldCharType="end"/>
    </w:r>
  </w:p>
  <w:p w:rsidR="006F771A" w:rsidRPr="009312E0" w:rsidRDefault="006F771A">
    <w:pPr>
      <w:pStyle w:val="FSHTitel"/>
    </w:pPr>
    <w:r w:rsidRPr="009312E0">
      <w:fldChar w:fldCharType="begin" w:fldLock="1"/>
    </w:r>
    <w:r w:rsidRPr="009312E0">
      <w:instrText xml:space="preserve"> DOCPROPERTY</w:instrText>
    </w:r>
    <w:r w:rsidRPr="009312E0">
      <w:rPr>
        <w:sz w:val="18"/>
      </w:rPr>
      <w:instrText xml:space="preserve"> "RubrikSvar" *\charformat </w:instrText>
    </w:r>
    <w:r w:rsidRPr="009312E0">
      <w:fldChar w:fldCharType="separate"/>
    </w:r>
    <w:r w:rsidRPr="009312E0">
      <w:t>Utgiftsområdena 2 Samhällsekonomi och finansförvaltning och 25 Allmänna bidrag till kommuner</w:t>
    </w:r>
    <w:r w:rsidRPr="009312E0">
      <w:fldChar w:fldCharType="end"/>
    </w:r>
  </w:p>
  <w:p w:rsidR="006F771A" w:rsidRPr="009312E0" w:rsidRDefault="006F771A">
    <w:pPr>
      <w:pStyle w:val="Normal00"/>
    </w:pPr>
  </w:p>
  <w:p w:rsidR="006F771A" w:rsidRPr="009312E0" w:rsidRDefault="006F77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9C7E37"/>
    <w:multiLevelType w:val="hybridMultilevel"/>
    <w:tmpl w:val="028639A0"/>
    <w:lvl w:ilvl="0" w:tplc="BA084D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7823302">
    <w:abstractNumId w:val="3"/>
  </w:num>
  <w:num w:numId="2" w16cid:durableId="711927225">
    <w:abstractNumId w:val="2"/>
  </w:num>
  <w:num w:numId="3" w16cid:durableId="1986398048">
    <w:abstractNumId w:val="1"/>
  </w:num>
  <w:num w:numId="4" w16cid:durableId="536044847">
    <w:abstractNumId w:val="0"/>
  </w:num>
  <w:num w:numId="5" w16cid:durableId="2136212627">
    <w:abstractNumId w:val="7"/>
  </w:num>
  <w:num w:numId="6" w16cid:durableId="1026129069">
    <w:abstractNumId w:val="6"/>
  </w:num>
  <w:num w:numId="7" w16cid:durableId="1516338974">
    <w:abstractNumId w:val="5"/>
  </w:num>
  <w:num w:numId="8" w16cid:durableId="1918783290">
    <w:abstractNumId w:val="4"/>
  </w:num>
  <w:num w:numId="9" w16cid:durableId="732434541">
    <w:abstractNumId w:val="8"/>
  </w:num>
  <w:num w:numId="10" w16cid:durableId="1200514787">
    <w:abstractNumId w:val="9"/>
  </w:num>
  <w:num w:numId="11" w16cid:durableId="1875191356">
    <w:abstractNumId w:val="10"/>
  </w:num>
  <w:num w:numId="12" w16cid:durableId="47148722">
    <w:abstractNumId w:val="13"/>
  </w:num>
  <w:num w:numId="13" w16cid:durableId="2012560718">
    <w:abstractNumId w:val="16"/>
  </w:num>
  <w:num w:numId="14" w16cid:durableId="572082612">
    <w:abstractNumId w:val="17"/>
  </w:num>
  <w:num w:numId="15" w16cid:durableId="1099377709">
    <w:abstractNumId w:val="11"/>
  </w:num>
  <w:num w:numId="16" w16cid:durableId="1838643346">
    <w:abstractNumId w:val="19"/>
  </w:num>
  <w:num w:numId="17" w16cid:durableId="1250385051">
    <w:abstractNumId w:val="18"/>
  </w:num>
  <w:num w:numId="18" w16cid:durableId="2061591539">
    <w:abstractNumId w:val="15"/>
  </w:num>
  <w:num w:numId="19" w16cid:durableId="977799362">
    <w:abstractNumId w:val="12"/>
  </w:num>
  <w:num w:numId="20" w16cid:durableId="546183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35995721-8FCB-4CC9-A560-3D492512CF52},{AF74B504-0E88-46FE-B78D-2C5B486A3E48},{C2AC8D69-F7E8-45D0-9ACC-1FF41164E617}"/>
  </w:docVars>
  <w:rsids>
    <w:rsidRoot w:val="00E83B59"/>
    <w:rsid w:val="006F771A"/>
    <w:rsid w:val="009312E0"/>
    <w:rsid w:val="00E83B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869E22-3CD9-4F5D-A3DA-D5330F22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351960037">
      <w:bodyDiv w:val="1"/>
      <w:marLeft w:val="0"/>
      <w:marRight w:val="0"/>
      <w:marTop w:val="0"/>
      <w:marBottom w:val="0"/>
      <w:divBdr>
        <w:top w:val="none" w:sz="0" w:space="0" w:color="auto"/>
        <w:left w:val="none" w:sz="0" w:space="0" w:color="auto"/>
        <w:bottom w:val="none" w:sz="0" w:space="0" w:color="auto"/>
        <w:right w:val="none" w:sz="0" w:space="0" w:color="auto"/>
      </w:divBdr>
    </w:div>
    <w:div w:id="525094975">
      <w:bodyDiv w:val="1"/>
      <w:marLeft w:val="0"/>
      <w:marRight w:val="0"/>
      <w:marTop w:val="0"/>
      <w:marBottom w:val="0"/>
      <w:divBdr>
        <w:top w:val="none" w:sz="0" w:space="0" w:color="auto"/>
        <w:left w:val="none" w:sz="0" w:space="0" w:color="auto"/>
        <w:bottom w:val="none" w:sz="0" w:space="0" w:color="auto"/>
        <w:right w:val="none" w:sz="0" w:space="0" w:color="auto"/>
      </w:divBdr>
      <w:divsChild>
        <w:div w:id="884412745">
          <w:marLeft w:val="-15"/>
          <w:marRight w:val="-15"/>
          <w:marTop w:val="0"/>
          <w:marBottom w:val="0"/>
          <w:divBdr>
            <w:top w:val="none" w:sz="0" w:space="0" w:color="auto"/>
            <w:left w:val="single" w:sz="6" w:space="0" w:color="DADADA"/>
            <w:bottom w:val="none" w:sz="0" w:space="0" w:color="auto"/>
            <w:right w:val="single" w:sz="6" w:space="0" w:color="DADADA"/>
          </w:divBdr>
          <w:divsChild>
            <w:div w:id="208348994">
              <w:marLeft w:val="0"/>
              <w:marRight w:val="0"/>
              <w:marTop w:val="0"/>
              <w:marBottom w:val="0"/>
              <w:divBdr>
                <w:top w:val="none" w:sz="0" w:space="0" w:color="auto"/>
                <w:left w:val="single" w:sz="48" w:space="0" w:color="FFFFFF"/>
                <w:bottom w:val="none" w:sz="0" w:space="0" w:color="auto"/>
                <w:right w:val="none" w:sz="0" w:space="0" w:color="auto"/>
              </w:divBdr>
              <w:divsChild>
                <w:div w:id="277109817">
                  <w:marLeft w:val="-15"/>
                  <w:marRight w:val="-15"/>
                  <w:marTop w:val="0"/>
                  <w:marBottom w:val="0"/>
                  <w:divBdr>
                    <w:top w:val="none" w:sz="0" w:space="0" w:color="auto"/>
                    <w:left w:val="single" w:sz="6" w:space="0" w:color="F9C661"/>
                    <w:bottom w:val="none" w:sz="0" w:space="0" w:color="auto"/>
                    <w:right w:val="single" w:sz="6" w:space="0" w:color="DADADA"/>
                  </w:divBdr>
                  <w:divsChild>
                    <w:div w:id="1156142350">
                      <w:marLeft w:val="-30"/>
                      <w:marRight w:val="-45"/>
                      <w:marTop w:val="0"/>
                      <w:marBottom w:val="0"/>
                      <w:divBdr>
                        <w:top w:val="none" w:sz="0" w:space="0" w:color="auto"/>
                        <w:left w:val="none" w:sz="0" w:space="0" w:color="auto"/>
                        <w:bottom w:val="none" w:sz="0" w:space="0" w:color="auto"/>
                        <w:right w:val="none" w:sz="0" w:space="0" w:color="auto"/>
                      </w:divBdr>
                      <w:divsChild>
                        <w:div w:id="19621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647788">
      <w:bodyDiv w:val="1"/>
      <w:marLeft w:val="0"/>
      <w:marRight w:val="0"/>
      <w:marTop w:val="0"/>
      <w:marBottom w:val="0"/>
      <w:divBdr>
        <w:top w:val="none" w:sz="0" w:space="0" w:color="auto"/>
        <w:left w:val="none" w:sz="0" w:space="0" w:color="auto"/>
        <w:bottom w:val="none" w:sz="0" w:space="0" w:color="auto"/>
        <w:right w:val="none" w:sz="0" w:space="0" w:color="auto"/>
      </w:divBdr>
    </w:div>
    <w:div w:id="575676442">
      <w:bodyDiv w:val="1"/>
      <w:marLeft w:val="0"/>
      <w:marRight w:val="0"/>
      <w:marTop w:val="0"/>
      <w:marBottom w:val="0"/>
      <w:divBdr>
        <w:top w:val="none" w:sz="0" w:space="0" w:color="auto"/>
        <w:left w:val="none" w:sz="0" w:space="0" w:color="auto"/>
        <w:bottom w:val="none" w:sz="0" w:space="0" w:color="auto"/>
        <w:right w:val="none" w:sz="0" w:space="0" w:color="auto"/>
      </w:divBdr>
    </w:div>
    <w:div w:id="649139733">
      <w:bodyDiv w:val="1"/>
      <w:marLeft w:val="0"/>
      <w:marRight w:val="0"/>
      <w:marTop w:val="0"/>
      <w:marBottom w:val="0"/>
      <w:divBdr>
        <w:top w:val="none" w:sz="0" w:space="0" w:color="auto"/>
        <w:left w:val="none" w:sz="0" w:space="0" w:color="auto"/>
        <w:bottom w:val="none" w:sz="0" w:space="0" w:color="auto"/>
        <w:right w:val="none" w:sz="0" w:space="0" w:color="auto"/>
      </w:divBdr>
    </w:div>
    <w:div w:id="931594959">
      <w:bodyDiv w:val="1"/>
      <w:marLeft w:val="0"/>
      <w:marRight w:val="0"/>
      <w:marTop w:val="0"/>
      <w:marBottom w:val="0"/>
      <w:divBdr>
        <w:top w:val="none" w:sz="0" w:space="0" w:color="auto"/>
        <w:left w:val="none" w:sz="0" w:space="0" w:color="auto"/>
        <w:bottom w:val="none" w:sz="0" w:space="0" w:color="auto"/>
        <w:right w:val="none" w:sz="0" w:space="0" w:color="auto"/>
      </w:divBdr>
    </w:div>
    <w:div w:id="1040595531">
      <w:bodyDiv w:val="1"/>
      <w:marLeft w:val="0"/>
      <w:marRight w:val="0"/>
      <w:marTop w:val="0"/>
      <w:marBottom w:val="0"/>
      <w:divBdr>
        <w:top w:val="none" w:sz="0" w:space="0" w:color="auto"/>
        <w:left w:val="none" w:sz="0" w:space="0" w:color="auto"/>
        <w:bottom w:val="none" w:sz="0" w:space="0" w:color="auto"/>
        <w:right w:val="none" w:sz="0" w:space="0" w:color="auto"/>
      </w:divBdr>
    </w:div>
    <w:div w:id="1073629106">
      <w:bodyDiv w:val="1"/>
      <w:marLeft w:val="0"/>
      <w:marRight w:val="0"/>
      <w:marTop w:val="0"/>
      <w:marBottom w:val="0"/>
      <w:divBdr>
        <w:top w:val="none" w:sz="0" w:space="0" w:color="auto"/>
        <w:left w:val="none" w:sz="0" w:space="0" w:color="auto"/>
        <w:bottom w:val="none" w:sz="0" w:space="0" w:color="auto"/>
        <w:right w:val="none" w:sz="0" w:space="0" w:color="auto"/>
      </w:divBdr>
    </w:div>
    <w:div w:id="1136413565">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2064015139">
      <w:bodyDiv w:val="1"/>
      <w:marLeft w:val="0"/>
      <w:marRight w:val="0"/>
      <w:marTop w:val="0"/>
      <w:marBottom w:val="0"/>
      <w:divBdr>
        <w:top w:val="none" w:sz="0" w:space="0" w:color="auto"/>
        <w:left w:val="none" w:sz="0" w:space="0" w:color="auto"/>
        <w:bottom w:val="none" w:sz="0" w:space="0" w:color="auto"/>
        <w:right w:val="none" w:sz="0" w:space="0" w:color="auto"/>
      </w:divBdr>
    </w:div>
    <w:div w:id="2073429112">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3671</Characters>
  <Application>Microsoft Office Word</Application>
  <DocSecurity>4</DocSecurity>
  <Lines>131</Lines>
  <Paragraphs>75</Paragraphs>
  <ScaleCrop>false</ScaleCrop>
  <HeadingPairs>
    <vt:vector size="2" baseType="variant">
      <vt:variant>
        <vt:lpstr>Rubrik</vt:lpstr>
      </vt:variant>
      <vt:variant>
        <vt:i4>1</vt:i4>
      </vt:variant>
    </vt:vector>
  </HeadingPairs>
  <TitlesOfParts>
    <vt:vector size="1" baseType="lpstr">
      <vt:lpstr>MP1021</vt:lpstr>
    </vt:vector>
  </TitlesOfParts>
  <Company>Riksdagen</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MP1021</dc:title>
  <dc:subject>MP1021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2011-10-29T10:26:00Z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2 Samhällsekonomi och finansförvaltning och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 Samhällsekonomi och finansförvaltning och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(MP)\Eriksson, Jonas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Jonas Eriksson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20112012000000770080000010210075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20112012000000770080000010210075</vt:lpwstr>
  </property>
  <property fmtid="{D5CDD505-2E9C-101B-9397-08002B2CF9AE}" pid="50" name="nummer">
    <vt:lpwstr>295</vt:lpwstr>
  </property>
  <property fmtid="{D5CDD505-2E9C-101B-9397-08002B2CF9AE}" pid="51" name="utskottsbeteckning">
    <vt:lpwstr>Fi</vt:lpwstr>
  </property>
  <property fmtid="{D5CDD505-2E9C-101B-9397-08002B2CF9AE}" pid="52" name="GlobalUID">
    <vt:lpwstr>{FDE8E6C9-9654-4EE8-8315-5856A3E0F00B}</vt:lpwstr>
  </property>
  <property fmtid="{D5CDD505-2E9C-101B-9397-08002B2CF9AE}" pid="53" name="Överföringar">
    <vt:i4>0</vt:i4>
  </property>
  <property fmtid="{D5CDD505-2E9C-101B-9397-08002B2CF9AE}" pid="54" name="Checksum">
    <vt:lpwstr>*1017514110858*</vt:lpwstr>
  </property>
  <property fmtid="{D5CDD505-2E9C-101B-9397-08002B2CF9AE}" pid="55" name="skuggnummer">
    <vt:lpwstr>2926</vt:lpwstr>
  </property>
  <property fmtid="{D5CDD505-2E9C-101B-9397-08002B2CF9AE}" pid="56" name="urixVersion">
    <vt:lpwstr>4.5.0.25</vt:lpwstr>
  </property>
  <property fmtid="{D5CDD505-2E9C-101B-9397-08002B2CF9AE}" pid="57" name="urixOrigin">
    <vt:lpwstr>111212 08:51:10.055</vt:lpwstr>
  </property>
  <property fmtid="{D5CDD505-2E9C-101B-9397-08002B2CF9AE}" pid="58" name="urixGuid">
    <vt:lpwstr>{40277C60-9F68-4086-B94F-A6E258C4C173}</vt:lpwstr>
  </property>
</Properties>
</file>