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76489863B3240A99D14F092B2923F3B"/>
        </w:placeholder>
        <w:text/>
      </w:sdtPr>
      <w:sdtEndPr/>
      <w:sdtContent>
        <w:p w:rsidRPr="009B062B" w:rsidR="00AF30DD" w:rsidP="002B2EE0" w:rsidRDefault="00AF30DD" w14:paraId="24C8FF1F" w14:textId="77777777">
          <w:pPr>
            <w:pStyle w:val="Rubrik1"/>
            <w:spacing w:after="300"/>
          </w:pPr>
          <w:r w:rsidRPr="009B062B">
            <w:t>Förslag till riksdagsbeslut</w:t>
          </w:r>
        </w:p>
      </w:sdtContent>
    </w:sdt>
    <w:sdt>
      <w:sdtPr>
        <w:alias w:val="Yrkande 1"/>
        <w:tag w:val="6e86c2af-96a1-41e2-9a8b-c869d797ca60"/>
        <w:id w:val="399726535"/>
        <w:lock w:val="sdtLocked"/>
      </w:sdtPr>
      <w:sdtEndPr/>
      <w:sdtContent>
        <w:p w:rsidR="00B17EDF" w:rsidRDefault="00D012B2" w14:paraId="7CA18C62" w14:textId="77777777">
          <w:pPr>
            <w:pStyle w:val="Frslagstext"/>
            <w:numPr>
              <w:ilvl w:val="0"/>
              <w:numId w:val="0"/>
            </w:numPr>
          </w:pPr>
          <w:r>
            <w:t>Riksdagen ställer sig bakom det som anförs i motionen om inriktningen för den regionala utvecklingspolitiken och tillkännager detta för regeringen.</w:t>
          </w:r>
        </w:p>
      </w:sdtContent>
    </w:sdt>
    <w:bookmarkEnd w:displacedByCustomXml="prev" w:id="0"/>
    <w:bookmarkEnd w:displacedByCustomXml="prev" w:id="1"/>
    <w:p w:rsidRPr="00995F9E" w:rsidR="00995F9E" w:rsidP="00995F9E" w:rsidRDefault="00995F9E" w14:paraId="2A2727A3" w14:textId="3C1D9165">
      <w:pPr>
        <w:pStyle w:val="Tabellrubrik"/>
        <w:spacing w:before="300"/>
      </w:pPr>
      <w:bookmarkStart w:name="MotionsStart" w:id="2"/>
      <w:bookmarkEnd w:id="2"/>
      <w:r w:rsidRPr="00995F9E">
        <w:t>Anslagsförslag 2023 för utgiftsområde 19 Regional utveckling</w:t>
      </w:r>
    </w:p>
    <w:p w:rsidRPr="00995F9E" w:rsidR="00E57917" w:rsidP="00995F9E" w:rsidRDefault="00E57917" w14:paraId="6C429633" w14:textId="00E346FE">
      <w:pPr>
        <w:pStyle w:val="Tabellunderrubrik"/>
      </w:pPr>
      <w:r w:rsidRPr="00995F9E">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B34F94" w:rsidR="00E57917" w:rsidTr="00B34F94" w14:paraId="03758EB0"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34F94" w:rsidR="00E57917" w:rsidP="00B34F94" w:rsidRDefault="00E57917" w14:paraId="51890090" w14:textId="77777777">
            <w:pPr>
              <w:tabs>
                <w:tab w:val="clear" w:pos="284"/>
                <w:tab w:val="left" w:pos="1304"/>
              </w:tabs>
              <w:spacing w:line="240" w:lineRule="exact"/>
              <w:ind w:firstLine="0"/>
              <w:rPr>
                <w:b/>
                <w:bCs/>
                <w:sz w:val="20"/>
                <w:szCs w:val="20"/>
                <w:lang w:val="en-GB"/>
              </w:rPr>
            </w:pPr>
            <w:proofErr w:type="spellStart"/>
            <w:r w:rsidRPr="00B34F94">
              <w:rPr>
                <w:b/>
                <w:bCs/>
                <w:sz w:val="20"/>
                <w:szCs w:val="20"/>
                <w:lang w:val="en-GB"/>
              </w:rPr>
              <w:t>Ramanslag</w:t>
            </w:r>
            <w:proofErr w:type="spellEnd"/>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34F94" w:rsidR="00E57917" w:rsidP="00B34F94" w:rsidRDefault="00E57917" w14:paraId="0FE76CA8" w14:textId="77777777">
            <w:pPr>
              <w:tabs>
                <w:tab w:val="clear" w:pos="284"/>
                <w:tab w:val="left" w:pos="1304"/>
              </w:tabs>
              <w:spacing w:line="240" w:lineRule="exact"/>
              <w:ind w:firstLine="0"/>
              <w:jc w:val="right"/>
              <w:rPr>
                <w:b/>
                <w:bCs/>
                <w:sz w:val="20"/>
                <w:szCs w:val="20"/>
                <w:lang w:val="en-GB"/>
              </w:rPr>
            </w:pPr>
            <w:r w:rsidRPr="00B34F94">
              <w:rPr>
                <w:b/>
                <w:bCs/>
                <w:sz w:val="20"/>
                <w:szCs w:val="20"/>
                <w:lang w:val="en-GB"/>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34F94" w:rsidR="00E57917" w:rsidP="00B34F94" w:rsidRDefault="00E57917" w14:paraId="3C40226D" w14:textId="77777777">
            <w:pPr>
              <w:tabs>
                <w:tab w:val="clear" w:pos="284"/>
                <w:tab w:val="left" w:pos="1304"/>
              </w:tabs>
              <w:spacing w:line="240" w:lineRule="exact"/>
              <w:ind w:firstLine="0"/>
              <w:jc w:val="right"/>
              <w:rPr>
                <w:b/>
                <w:bCs/>
                <w:sz w:val="20"/>
                <w:szCs w:val="20"/>
                <w:lang w:val="en-GB"/>
              </w:rPr>
            </w:pPr>
            <w:r w:rsidRPr="00B34F94">
              <w:rPr>
                <w:b/>
                <w:bCs/>
                <w:sz w:val="20"/>
                <w:szCs w:val="20"/>
                <w:lang w:val="en-GB"/>
              </w:rPr>
              <w:t>Avvikelse från regeringen</w:t>
            </w:r>
          </w:p>
        </w:tc>
      </w:tr>
      <w:tr w:rsidRPr="00B34F94" w:rsidR="00E57917" w:rsidTr="00B34F94" w14:paraId="0830BD26" w14:textId="77777777">
        <w:tc>
          <w:tcPr>
            <w:tcW w:w="415" w:type="dxa"/>
            <w:shd w:val="clear" w:color="auto" w:fill="FFFFFF"/>
            <w:tcMar>
              <w:top w:w="68" w:type="dxa"/>
              <w:left w:w="28" w:type="dxa"/>
              <w:bottom w:w="0" w:type="dxa"/>
              <w:right w:w="28" w:type="dxa"/>
            </w:tcMar>
            <w:hideMark/>
          </w:tcPr>
          <w:p w:rsidRPr="00B34F94" w:rsidR="00E57917" w:rsidP="00B34F94" w:rsidRDefault="00E57917" w14:paraId="4FEF964E" w14:textId="77777777">
            <w:pPr>
              <w:tabs>
                <w:tab w:val="clear" w:pos="284"/>
                <w:tab w:val="left" w:pos="1304"/>
              </w:tabs>
              <w:spacing w:line="240" w:lineRule="exact"/>
              <w:ind w:firstLine="0"/>
              <w:rPr>
                <w:sz w:val="20"/>
                <w:szCs w:val="20"/>
                <w:lang w:val="en-GB"/>
              </w:rPr>
            </w:pPr>
            <w:r w:rsidRPr="00B34F94">
              <w:rPr>
                <w:sz w:val="20"/>
                <w:szCs w:val="20"/>
                <w:lang w:val="en-GB"/>
              </w:rPr>
              <w:t>1:1</w:t>
            </w:r>
          </w:p>
        </w:tc>
        <w:tc>
          <w:tcPr>
            <w:tcW w:w="4632" w:type="dxa"/>
            <w:shd w:val="clear" w:color="auto" w:fill="FFFFFF"/>
            <w:tcMar>
              <w:top w:w="68" w:type="dxa"/>
              <w:left w:w="28" w:type="dxa"/>
              <w:bottom w:w="0" w:type="dxa"/>
              <w:right w:w="28" w:type="dxa"/>
            </w:tcMar>
            <w:vAlign w:val="center"/>
            <w:hideMark/>
          </w:tcPr>
          <w:p w:rsidRPr="00B34F94" w:rsidR="00E57917" w:rsidP="00B34F94" w:rsidRDefault="00E57917" w14:paraId="35661A29" w14:textId="77777777">
            <w:pPr>
              <w:tabs>
                <w:tab w:val="clear" w:pos="284"/>
                <w:tab w:val="left" w:pos="1304"/>
              </w:tabs>
              <w:spacing w:line="240" w:lineRule="exact"/>
              <w:ind w:firstLine="0"/>
              <w:rPr>
                <w:sz w:val="20"/>
                <w:szCs w:val="20"/>
                <w:lang w:val="en-GB"/>
              </w:rPr>
            </w:pPr>
            <w:r w:rsidRPr="00B34F94">
              <w:rPr>
                <w:sz w:val="20"/>
                <w:szCs w:val="20"/>
                <w:lang w:val="en-GB"/>
              </w:rPr>
              <w:t>Regionala utvecklingsåtgärder</w:t>
            </w:r>
          </w:p>
        </w:tc>
        <w:tc>
          <w:tcPr>
            <w:tcW w:w="1729" w:type="dxa"/>
            <w:shd w:val="clear" w:color="auto" w:fill="FFFFFF"/>
            <w:tcMar>
              <w:top w:w="68" w:type="dxa"/>
              <w:left w:w="28" w:type="dxa"/>
              <w:bottom w:w="0" w:type="dxa"/>
              <w:right w:w="28" w:type="dxa"/>
            </w:tcMar>
            <w:vAlign w:val="bottom"/>
            <w:hideMark/>
          </w:tcPr>
          <w:p w:rsidRPr="00B34F94" w:rsidR="00E57917" w:rsidP="00B34F94" w:rsidRDefault="00E57917" w14:paraId="290658FC" w14:textId="77777777">
            <w:pPr>
              <w:tabs>
                <w:tab w:val="clear" w:pos="284"/>
                <w:tab w:val="left" w:pos="1304"/>
              </w:tabs>
              <w:spacing w:line="240" w:lineRule="exact"/>
              <w:ind w:firstLine="0"/>
              <w:jc w:val="right"/>
              <w:rPr>
                <w:sz w:val="20"/>
                <w:szCs w:val="20"/>
                <w:lang w:val="en-GB"/>
              </w:rPr>
            </w:pPr>
            <w:r w:rsidRPr="00B34F94">
              <w:rPr>
                <w:sz w:val="20"/>
                <w:szCs w:val="20"/>
                <w:lang w:val="en-GB"/>
              </w:rPr>
              <w:t>1 993 337</w:t>
            </w:r>
          </w:p>
        </w:tc>
        <w:tc>
          <w:tcPr>
            <w:tcW w:w="1729" w:type="dxa"/>
            <w:shd w:val="clear" w:color="auto" w:fill="FFFFFF"/>
            <w:tcMar>
              <w:top w:w="68" w:type="dxa"/>
              <w:left w:w="28" w:type="dxa"/>
              <w:bottom w:w="0" w:type="dxa"/>
              <w:right w:w="28" w:type="dxa"/>
            </w:tcMar>
            <w:vAlign w:val="bottom"/>
            <w:hideMark/>
          </w:tcPr>
          <w:p w:rsidRPr="00B34F94" w:rsidR="00E57917" w:rsidP="00B34F94" w:rsidRDefault="00E57917" w14:paraId="739076F6" w14:textId="77777777">
            <w:pPr>
              <w:tabs>
                <w:tab w:val="clear" w:pos="284"/>
                <w:tab w:val="left" w:pos="1304"/>
              </w:tabs>
              <w:spacing w:line="240" w:lineRule="exact"/>
              <w:ind w:firstLine="0"/>
              <w:jc w:val="right"/>
              <w:rPr>
                <w:sz w:val="20"/>
                <w:szCs w:val="20"/>
                <w:lang w:val="en-GB"/>
              </w:rPr>
            </w:pPr>
            <w:r w:rsidRPr="00B34F94">
              <w:rPr>
                <w:sz w:val="20"/>
                <w:szCs w:val="20"/>
                <w:lang w:val="en-GB"/>
              </w:rPr>
              <w:t>±0</w:t>
            </w:r>
          </w:p>
        </w:tc>
      </w:tr>
      <w:tr w:rsidRPr="00B34F94" w:rsidR="00E57917" w:rsidTr="00B34F94" w14:paraId="3BD85034" w14:textId="77777777">
        <w:tc>
          <w:tcPr>
            <w:tcW w:w="415" w:type="dxa"/>
            <w:shd w:val="clear" w:color="auto" w:fill="FFFFFF"/>
            <w:tcMar>
              <w:top w:w="68" w:type="dxa"/>
              <w:left w:w="28" w:type="dxa"/>
              <w:bottom w:w="0" w:type="dxa"/>
              <w:right w:w="28" w:type="dxa"/>
            </w:tcMar>
            <w:hideMark/>
          </w:tcPr>
          <w:p w:rsidRPr="00B34F94" w:rsidR="00E57917" w:rsidP="00B34F94" w:rsidRDefault="00E57917" w14:paraId="50D4FEFF" w14:textId="77777777">
            <w:pPr>
              <w:tabs>
                <w:tab w:val="clear" w:pos="284"/>
                <w:tab w:val="left" w:pos="1304"/>
              </w:tabs>
              <w:spacing w:line="240" w:lineRule="exact"/>
              <w:ind w:firstLine="0"/>
              <w:rPr>
                <w:sz w:val="20"/>
                <w:szCs w:val="20"/>
                <w:lang w:val="en-GB"/>
              </w:rPr>
            </w:pPr>
            <w:r w:rsidRPr="00B34F94">
              <w:rPr>
                <w:sz w:val="20"/>
                <w:szCs w:val="20"/>
                <w:lang w:val="en-GB"/>
              </w:rPr>
              <w:t>1:2</w:t>
            </w:r>
          </w:p>
        </w:tc>
        <w:tc>
          <w:tcPr>
            <w:tcW w:w="4632" w:type="dxa"/>
            <w:shd w:val="clear" w:color="auto" w:fill="FFFFFF"/>
            <w:tcMar>
              <w:top w:w="68" w:type="dxa"/>
              <w:left w:w="28" w:type="dxa"/>
              <w:bottom w:w="0" w:type="dxa"/>
              <w:right w:w="28" w:type="dxa"/>
            </w:tcMar>
            <w:vAlign w:val="center"/>
            <w:hideMark/>
          </w:tcPr>
          <w:p w:rsidRPr="00B34F94" w:rsidR="00E57917" w:rsidP="00B34F94" w:rsidRDefault="00E57917" w14:paraId="16474C37" w14:textId="77777777">
            <w:pPr>
              <w:tabs>
                <w:tab w:val="clear" w:pos="284"/>
                <w:tab w:val="left" w:pos="1304"/>
              </w:tabs>
              <w:spacing w:line="240" w:lineRule="exact"/>
              <w:ind w:firstLine="0"/>
              <w:rPr>
                <w:sz w:val="20"/>
                <w:szCs w:val="20"/>
                <w:lang w:val="en-GB"/>
              </w:rPr>
            </w:pPr>
            <w:r w:rsidRPr="00B34F94">
              <w:rPr>
                <w:sz w:val="20"/>
                <w:szCs w:val="20"/>
                <w:lang w:val="en-GB"/>
              </w:rPr>
              <w:t>Transportbidrag</w:t>
            </w:r>
          </w:p>
        </w:tc>
        <w:tc>
          <w:tcPr>
            <w:tcW w:w="1729" w:type="dxa"/>
            <w:shd w:val="clear" w:color="auto" w:fill="FFFFFF"/>
            <w:tcMar>
              <w:top w:w="68" w:type="dxa"/>
              <w:left w:w="28" w:type="dxa"/>
              <w:bottom w:w="0" w:type="dxa"/>
              <w:right w:w="28" w:type="dxa"/>
            </w:tcMar>
            <w:vAlign w:val="bottom"/>
            <w:hideMark/>
          </w:tcPr>
          <w:p w:rsidRPr="00B34F94" w:rsidR="00E57917" w:rsidP="00B34F94" w:rsidRDefault="00E57917" w14:paraId="484389B6" w14:textId="77777777">
            <w:pPr>
              <w:tabs>
                <w:tab w:val="clear" w:pos="284"/>
                <w:tab w:val="left" w:pos="1304"/>
              </w:tabs>
              <w:spacing w:line="240" w:lineRule="exact"/>
              <w:ind w:firstLine="0"/>
              <w:jc w:val="right"/>
              <w:rPr>
                <w:sz w:val="20"/>
                <w:szCs w:val="20"/>
                <w:lang w:val="en-GB"/>
              </w:rPr>
            </w:pPr>
            <w:r w:rsidRPr="00B34F94">
              <w:rPr>
                <w:sz w:val="20"/>
                <w:szCs w:val="20"/>
                <w:lang w:val="en-GB"/>
              </w:rPr>
              <w:t>450 864</w:t>
            </w:r>
          </w:p>
        </w:tc>
        <w:tc>
          <w:tcPr>
            <w:tcW w:w="1729" w:type="dxa"/>
            <w:shd w:val="clear" w:color="auto" w:fill="FFFFFF"/>
            <w:tcMar>
              <w:top w:w="68" w:type="dxa"/>
              <w:left w:w="28" w:type="dxa"/>
              <w:bottom w:w="0" w:type="dxa"/>
              <w:right w:w="28" w:type="dxa"/>
            </w:tcMar>
            <w:vAlign w:val="bottom"/>
            <w:hideMark/>
          </w:tcPr>
          <w:p w:rsidRPr="00B34F94" w:rsidR="00E57917" w:rsidP="00B34F94" w:rsidRDefault="00E57917" w14:paraId="6206D9A4" w14:textId="77777777">
            <w:pPr>
              <w:tabs>
                <w:tab w:val="clear" w:pos="284"/>
                <w:tab w:val="left" w:pos="1304"/>
              </w:tabs>
              <w:spacing w:line="240" w:lineRule="exact"/>
              <w:ind w:firstLine="0"/>
              <w:jc w:val="right"/>
              <w:rPr>
                <w:sz w:val="20"/>
                <w:szCs w:val="20"/>
                <w:lang w:val="en-GB"/>
              </w:rPr>
            </w:pPr>
            <w:r w:rsidRPr="00B34F94">
              <w:rPr>
                <w:sz w:val="20"/>
                <w:szCs w:val="20"/>
                <w:lang w:val="en-GB"/>
              </w:rPr>
              <w:t>±0</w:t>
            </w:r>
          </w:p>
        </w:tc>
      </w:tr>
      <w:tr w:rsidRPr="00B34F94" w:rsidR="00E57917" w:rsidTr="00B34F94" w14:paraId="5CD886BD" w14:textId="77777777">
        <w:tc>
          <w:tcPr>
            <w:tcW w:w="415" w:type="dxa"/>
            <w:shd w:val="clear" w:color="auto" w:fill="FFFFFF"/>
            <w:tcMar>
              <w:top w:w="68" w:type="dxa"/>
              <w:left w:w="28" w:type="dxa"/>
              <w:bottom w:w="0" w:type="dxa"/>
              <w:right w:w="28" w:type="dxa"/>
            </w:tcMar>
            <w:hideMark/>
          </w:tcPr>
          <w:p w:rsidRPr="00B34F94" w:rsidR="00E57917" w:rsidP="00B34F94" w:rsidRDefault="00E57917" w14:paraId="7489BCBE" w14:textId="77777777">
            <w:pPr>
              <w:tabs>
                <w:tab w:val="clear" w:pos="284"/>
                <w:tab w:val="left" w:pos="1304"/>
              </w:tabs>
              <w:spacing w:line="240" w:lineRule="exact"/>
              <w:ind w:firstLine="0"/>
              <w:rPr>
                <w:sz w:val="20"/>
                <w:szCs w:val="20"/>
                <w:lang w:val="en-GB"/>
              </w:rPr>
            </w:pPr>
            <w:r w:rsidRPr="00B34F94">
              <w:rPr>
                <w:sz w:val="20"/>
                <w:szCs w:val="20"/>
                <w:lang w:val="en-GB"/>
              </w:rPr>
              <w:t>1:3</w:t>
            </w:r>
          </w:p>
        </w:tc>
        <w:tc>
          <w:tcPr>
            <w:tcW w:w="4632" w:type="dxa"/>
            <w:shd w:val="clear" w:color="auto" w:fill="FFFFFF"/>
            <w:tcMar>
              <w:top w:w="68" w:type="dxa"/>
              <w:left w:w="28" w:type="dxa"/>
              <w:bottom w:w="0" w:type="dxa"/>
              <w:right w:w="28" w:type="dxa"/>
            </w:tcMar>
            <w:vAlign w:val="center"/>
            <w:hideMark/>
          </w:tcPr>
          <w:p w:rsidRPr="00B34F94" w:rsidR="00E57917" w:rsidP="00B34F94" w:rsidRDefault="00E57917" w14:paraId="631ACDC4" w14:textId="51A45C40">
            <w:pPr>
              <w:tabs>
                <w:tab w:val="clear" w:pos="284"/>
                <w:tab w:val="left" w:pos="1304"/>
              </w:tabs>
              <w:spacing w:line="240" w:lineRule="exact"/>
              <w:ind w:firstLine="0"/>
              <w:rPr>
                <w:sz w:val="20"/>
                <w:szCs w:val="20"/>
              </w:rPr>
            </w:pPr>
            <w:r w:rsidRPr="00B34F94">
              <w:rPr>
                <w:sz w:val="20"/>
                <w:szCs w:val="20"/>
              </w:rPr>
              <w:t>Europeiska regionala utvecklingsfon</w:t>
            </w:r>
            <w:r w:rsidRPr="00B34F94" w:rsidR="008344BC">
              <w:rPr>
                <w:sz w:val="20"/>
                <w:szCs w:val="20"/>
              </w:rPr>
              <w:t>den perioden 2014</w:t>
            </w:r>
            <w:r w:rsidRPr="00B34F94" w:rsidR="00452993">
              <w:rPr>
                <w:sz w:val="20"/>
                <w:szCs w:val="20"/>
              </w:rPr>
              <w:t>–</w:t>
            </w:r>
            <w:r w:rsidRPr="00B34F94" w:rsidR="008344BC">
              <w:rPr>
                <w:sz w:val="20"/>
                <w:szCs w:val="20"/>
              </w:rPr>
              <w:t>2020</w:t>
            </w:r>
          </w:p>
        </w:tc>
        <w:tc>
          <w:tcPr>
            <w:tcW w:w="1729" w:type="dxa"/>
            <w:shd w:val="clear" w:color="auto" w:fill="FFFFFF"/>
            <w:tcMar>
              <w:top w:w="68" w:type="dxa"/>
              <w:left w:w="28" w:type="dxa"/>
              <w:bottom w:w="0" w:type="dxa"/>
              <w:right w:w="28" w:type="dxa"/>
            </w:tcMar>
            <w:vAlign w:val="bottom"/>
            <w:hideMark/>
          </w:tcPr>
          <w:p w:rsidRPr="00B34F94" w:rsidR="00E57917" w:rsidP="00B34F94" w:rsidRDefault="00E57917" w14:paraId="1654C514" w14:textId="77777777">
            <w:pPr>
              <w:tabs>
                <w:tab w:val="clear" w:pos="284"/>
                <w:tab w:val="left" w:pos="1304"/>
              </w:tabs>
              <w:spacing w:line="240" w:lineRule="exact"/>
              <w:ind w:firstLine="0"/>
              <w:jc w:val="right"/>
              <w:rPr>
                <w:sz w:val="20"/>
                <w:szCs w:val="20"/>
                <w:lang w:val="en-GB"/>
              </w:rPr>
            </w:pPr>
            <w:r w:rsidRPr="00B34F94">
              <w:rPr>
                <w:sz w:val="20"/>
                <w:szCs w:val="20"/>
                <w:lang w:val="en-GB"/>
              </w:rPr>
              <w:t>1 440 000</w:t>
            </w:r>
          </w:p>
        </w:tc>
        <w:tc>
          <w:tcPr>
            <w:tcW w:w="1729" w:type="dxa"/>
            <w:shd w:val="clear" w:color="auto" w:fill="FFFFFF"/>
            <w:tcMar>
              <w:top w:w="68" w:type="dxa"/>
              <w:left w:w="28" w:type="dxa"/>
              <w:bottom w:w="0" w:type="dxa"/>
              <w:right w:w="28" w:type="dxa"/>
            </w:tcMar>
            <w:vAlign w:val="bottom"/>
            <w:hideMark/>
          </w:tcPr>
          <w:p w:rsidRPr="00B34F94" w:rsidR="00E57917" w:rsidP="00B34F94" w:rsidRDefault="00E57917" w14:paraId="4D1940D2" w14:textId="77777777">
            <w:pPr>
              <w:tabs>
                <w:tab w:val="clear" w:pos="284"/>
                <w:tab w:val="left" w:pos="1304"/>
              </w:tabs>
              <w:spacing w:line="240" w:lineRule="exact"/>
              <w:ind w:firstLine="0"/>
              <w:jc w:val="right"/>
              <w:rPr>
                <w:sz w:val="20"/>
                <w:szCs w:val="20"/>
                <w:lang w:val="en-GB"/>
              </w:rPr>
            </w:pPr>
            <w:r w:rsidRPr="00B34F94">
              <w:rPr>
                <w:sz w:val="20"/>
                <w:szCs w:val="20"/>
                <w:lang w:val="en-GB"/>
              </w:rPr>
              <w:t>±0</w:t>
            </w:r>
          </w:p>
        </w:tc>
      </w:tr>
      <w:tr w:rsidRPr="00B34F94" w:rsidR="00E57917" w:rsidTr="00B34F94" w14:paraId="022829AC" w14:textId="77777777">
        <w:tc>
          <w:tcPr>
            <w:tcW w:w="415" w:type="dxa"/>
            <w:shd w:val="clear" w:color="auto" w:fill="FFFFFF"/>
            <w:tcMar>
              <w:top w:w="68" w:type="dxa"/>
              <w:left w:w="28" w:type="dxa"/>
              <w:bottom w:w="0" w:type="dxa"/>
              <w:right w:w="28" w:type="dxa"/>
            </w:tcMar>
            <w:hideMark/>
          </w:tcPr>
          <w:p w:rsidRPr="00B34F94" w:rsidR="00E57917" w:rsidP="00B34F94" w:rsidRDefault="00E57917" w14:paraId="79B5E151" w14:textId="77777777">
            <w:pPr>
              <w:tabs>
                <w:tab w:val="clear" w:pos="284"/>
                <w:tab w:val="left" w:pos="1304"/>
              </w:tabs>
              <w:spacing w:line="240" w:lineRule="exact"/>
              <w:ind w:firstLine="0"/>
              <w:rPr>
                <w:sz w:val="20"/>
                <w:szCs w:val="20"/>
                <w:lang w:val="en-GB"/>
              </w:rPr>
            </w:pPr>
            <w:r w:rsidRPr="00B34F94">
              <w:rPr>
                <w:sz w:val="20"/>
                <w:szCs w:val="20"/>
                <w:lang w:val="en-GB"/>
              </w:rPr>
              <w:t>1:4</w:t>
            </w:r>
          </w:p>
        </w:tc>
        <w:tc>
          <w:tcPr>
            <w:tcW w:w="4632" w:type="dxa"/>
            <w:shd w:val="clear" w:color="auto" w:fill="FFFFFF"/>
            <w:tcMar>
              <w:top w:w="68" w:type="dxa"/>
              <w:left w:w="28" w:type="dxa"/>
              <w:bottom w:w="0" w:type="dxa"/>
              <w:right w:w="28" w:type="dxa"/>
            </w:tcMar>
            <w:vAlign w:val="center"/>
            <w:hideMark/>
          </w:tcPr>
          <w:p w:rsidRPr="00B34F94" w:rsidR="008344BC" w:rsidP="00B34F94" w:rsidRDefault="00E57917" w14:paraId="3E15B623" w14:textId="77777777">
            <w:pPr>
              <w:tabs>
                <w:tab w:val="clear" w:pos="284"/>
                <w:tab w:val="left" w:pos="1304"/>
              </w:tabs>
              <w:spacing w:line="240" w:lineRule="exact"/>
              <w:ind w:firstLine="0"/>
              <w:rPr>
                <w:sz w:val="20"/>
                <w:szCs w:val="20"/>
              </w:rPr>
            </w:pPr>
            <w:r w:rsidRPr="00B34F94">
              <w:rPr>
                <w:sz w:val="20"/>
                <w:szCs w:val="20"/>
              </w:rPr>
              <w:t>Europeiska regionala utvecklingsfonden</w:t>
            </w:r>
          </w:p>
          <w:p w:rsidRPr="00B34F94" w:rsidR="00E57917" w:rsidP="00B34F94" w:rsidRDefault="008344BC" w14:paraId="1F7B322A" w14:textId="5E2C1610">
            <w:pPr>
              <w:tabs>
                <w:tab w:val="clear" w:pos="284"/>
                <w:tab w:val="left" w:pos="1304"/>
              </w:tabs>
              <w:spacing w:line="240" w:lineRule="exact"/>
              <w:ind w:firstLine="0"/>
              <w:rPr>
                <w:sz w:val="20"/>
                <w:szCs w:val="20"/>
              </w:rPr>
            </w:pPr>
            <w:r w:rsidRPr="00B34F94">
              <w:rPr>
                <w:sz w:val="20"/>
                <w:szCs w:val="20"/>
              </w:rPr>
              <w:t>och Fonden för en rättvis omställning</w:t>
            </w:r>
          </w:p>
          <w:p w:rsidRPr="00B34F94" w:rsidR="008344BC" w:rsidP="00B34F94" w:rsidRDefault="008344BC" w14:paraId="5191C667" w14:textId="1AC25762">
            <w:pPr>
              <w:tabs>
                <w:tab w:val="clear" w:pos="284"/>
                <w:tab w:val="left" w:pos="1304"/>
              </w:tabs>
              <w:spacing w:line="240" w:lineRule="exact"/>
              <w:ind w:firstLine="0"/>
              <w:rPr>
                <w:sz w:val="20"/>
                <w:szCs w:val="20"/>
                <w:lang w:val="en-GB"/>
              </w:rPr>
            </w:pPr>
            <w:r w:rsidRPr="00B34F94">
              <w:rPr>
                <w:sz w:val="20"/>
                <w:szCs w:val="20"/>
                <w:lang w:val="en-GB"/>
              </w:rPr>
              <w:t>perioden 2021</w:t>
            </w:r>
            <w:r w:rsidRPr="00B34F94" w:rsidR="00452993">
              <w:rPr>
                <w:sz w:val="20"/>
                <w:szCs w:val="20"/>
                <w:lang w:val="en-GB"/>
              </w:rPr>
              <w:t>–</w:t>
            </w:r>
            <w:r w:rsidRPr="00B34F94">
              <w:rPr>
                <w:sz w:val="20"/>
                <w:szCs w:val="20"/>
                <w:lang w:val="en-GB"/>
              </w:rPr>
              <w:t>2027</w:t>
            </w:r>
          </w:p>
        </w:tc>
        <w:tc>
          <w:tcPr>
            <w:tcW w:w="1729" w:type="dxa"/>
            <w:shd w:val="clear" w:color="auto" w:fill="FFFFFF"/>
            <w:tcMar>
              <w:top w:w="68" w:type="dxa"/>
              <w:left w:w="28" w:type="dxa"/>
              <w:bottom w:w="0" w:type="dxa"/>
              <w:right w:w="28" w:type="dxa"/>
            </w:tcMar>
            <w:vAlign w:val="bottom"/>
            <w:hideMark/>
          </w:tcPr>
          <w:p w:rsidRPr="00B34F94" w:rsidR="00E57917" w:rsidP="00B34F94" w:rsidRDefault="00E57917" w14:paraId="60753F7F" w14:textId="77777777">
            <w:pPr>
              <w:tabs>
                <w:tab w:val="clear" w:pos="284"/>
                <w:tab w:val="left" w:pos="1304"/>
              </w:tabs>
              <w:spacing w:line="240" w:lineRule="exact"/>
              <w:ind w:firstLine="0"/>
              <w:jc w:val="right"/>
              <w:rPr>
                <w:sz w:val="20"/>
                <w:szCs w:val="20"/>
                <w:lang w:val="en-GB"/>
              </w:rPr>
            </w:pPr>
            <w:r w:rsidRPr="00B34F94">
              <w:rPr>
                <w:sz w:val="20"/>
                <w:szCs w:val="20"/>
                <w:lang w:val="en-GB"/>
              </w:rPr>
              <w:t>650 000</w:t>
            </w:r>
          </w:p>
        </w:tc>
        <w:tc>
          <w:tcPr>
            <w:tcW w:w="1729" w:type="dxa"/>
            <w:shd w:val="clear" w:color="auto" w:fill="FFFFFF"/>
            <w:tcMar>
              <w:top w:w="68" w:type="dxa"/>
              <w:left w:w="28" w:type="dxa"/>
              <w:bottom w:w="0" w:type="dxa"/>
              <w:right w:w="28" w:type="dxa"/>
            </w:tcMar>
            <w:vAlign w:val="bottom"/>
            <w:hideMark/>
          </w:tcPr>
          <w:p w:rsidRPr="00B34F94" w:rsidR="00E57917" w:rsidP="00B34F94" w:rsidRDefault="00E57917" w14:paraId="0D11E26D" w14:textId="77777777">
            <w:pPr>
              <w:tabs>
                <w:tab w:val="clear" w:pos="284"/>
                <w:tab w:val="left" w:pos="1304"/>
              </w:tabs>
              <w:spacing w:line="240" w:lineRule="exact"/>
              <w:ind w:firstLine="0"/>
              <w:jc w:val="right"/>
              <w:rPr>
                <w:sz w:val="20"/>
                <w:szCs w:val="20"/>
                <w:lang w:val="en-GB"/>
              </w:rPr>
            </w:pPr>
            <w:r w:rsidRPr="00B34F94">
              <w:rPr>
                <w:sz w:val="20"/>
                <w:szCs w:val="20"/>
                <w:lang w:val="en-GB"/>
              </w:rPr>
              <w:t>±0</w:t>
            </w:r>
          </w:p>
        </w:tc>
      </w:tr>
      <w:tr w:rsidRPr="00B34F94" w:rsidR="00E57917" w:rsidTr="00B34F94" w14:paraId="07D216FB"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34F94" w:rsidR="00E57917" w:rsidP="00B34F94" w:rsidRDefault="00E57917" w14:paraId="59D35631" w14:textId="77777777">
            <w:pPr>
              <w:tabs>
                <w:tab w:val="clear" w:pos="284"/>
                <w:tab w:val="left" w:pos="1304"/>
              </w:tabs>
              <w:spacing w:line="240" w:lineRule="exact"/>
              <w:ind w:firstLine="0"/>
              <w:rPr>
                <w:b/>
                <w:bCs/>
                <w:sz w:val="20"/>
                <w:szCs w:val="20"/>
                <w:lang w:val="en-GB"/>
              </w:rPr>
            </w:pPr>
            <w:r w:rsidRPr="00B34F94">
              <w:rPr>
                <w:b/>
                <w:bCs/>
                <w:sz w:val="20"/>
                <w:szCs w:val="20"/>
                <w:lang w:val="en-GB"/>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34F94" w:rsidR="00E57917" w:rsidP="00B34F94" w:rsidRDefault="00E57917" w14:paraId="1B9E842D" w14:textId="77777777">
            <w:pPr>
              <w:tabs>
                <w:tab w:val="clear" w:pos="284"/>
                <w:tab w:val="left" w:pos="1304"/>
              </w:tabs>
              <w:spacing w:line="240" w:lineRule="exact"/>
              <w:ind w:firstLine="0"/>
              <w:jc w:val="right"/>
              <w:rPr>
                <w:b/>
                <w:bCs/>
                <w:sz w:val="20"/>
                <w:szCs w:val="20"/>
                <w:lang w:val="en-GB"/>
              </w:rPr>
            </w:pPr>
            <w:r w:rsidRPr="00B34F94">
              <w:rPr>
                <w:b/>
                <w:bCs/>
                <w:sz w:val="20"/>
                <w:szCs w:val="20"/>
                <w:lang w:val="en-GB"/>
              </w:rPr>
              <w:t>4 534 201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34F94" w:rsidR="00E57917" w:rsidP="00B34F94" w:rsidRDefault="00E57917" w14:paraId="2B416BD2" w14:textId="77777777">
            <w:pPr>
              <w:tabs>
                <w:tab w:val="clear" w:pos="284"/>
                <w:tab w:val="left" w:pos="1304"/>
              </w:tabs>
              <w:spacing w:line="240" w:lineRule="exact"/>
              <w:ind w:firstLine="0"/>
              <w:jc w:val="right"/>
              <w:rPr>
                <w:b/>
                <w:bCs/>
                <w:sz w:val="20"/>
                <w:szCs w:val="20"/>
                <w:lang w:val="en-GB"/>
              </w:rPr>
            </w:pPr>
            <w:r w:rsidRPr="00B34F94">
              <w:rPr>
                <w:b/>
                <w:bCs/>
                <w:sz w:val="20"/>
                <w:szCs w:val="20"/>
                <w:lang w:val="en-GB"/>
              </w:rPr>
              <w:t>±0</w:t>
            </w:r>
          </w:p>
        </w:tc>
      </w:tr>
    </w:tbl>
    <w:p w:rsidRPr="00B34F94" w:rsidR="00E57917" w:rsidP="00B34F94" w:rsidRDefault="00E57917" w14:paraId="038E63F1" w14:textId="4AE98030">
      <w:pPr>
        <w:pStyle w:val="Rubrik2"/>
      </w:pPr>
      <w:r w:rsidRPr="00B34F94">
        <w:t>Politikens inriktning</w:t>
      </w:r>
    </w:p>
    <w:p w:rsidR="00B244D3" w:rsidP="00B34F94" w:rsidRDefault="00B244D3" w14:paraId="1ACACFBE" w14:textId="080356FE">
      <w:pPr>
        <w:pStyle w:val="Normalutanindragellerluft"/>
      </w:pPr>
      <w:r>
        <w:t xml:space="preserve">Hela Sverige ska leva och växa. Den utvecklingskraft som finns runt om i vårt land ska stärkas och tas till vara. Klyftorna mellan människor, och mellan stad och land, ska minska. För att möta vår tids samhällsutmaningar behöver varje landsända få möjlighet att utvecklas utifrån </w:t>
      </w:r>
      <w:r w:rsidR="009F5C2B">
        <w:t>dess</w:t>
      </w:r>
      <w:r>
        <w:t xml:space="preserve"> unika förutsättningar. För att Sverige ska kunna leda den gröna </w:t>
      </w:r>
      <w:r w:rsidRPr="00B34F94">
        <w:rPr>
          <w:spacing w:val="-2"/>
        </w:rPr>
        <w:t>industriella revolutionen och skapa tusentals nya jobb behöver den regionala utvecklings</w:t>
      </w:r>
      <w:r w:rsidRPr="00B34F94" w:rsidR="00B34F94">
        <w:rPr>
          <w:spacing w:val="-2"/>
        </w:rPr>
        <w:softHyphen/>
      </w:r>
      <w:r w:rsidRPr="00B34F94">
        <w:rPr>
          <w:spacing w:val="-2"/>
        </w:rPr>
        <w:t>politiken</w:t>
      </w:r>
      <w:r>
        <w:t xml:space="preserve"> gå i samklang med många andra politikområden. Inte minst är en fungerande </w:t>
      </w:r>
      <w:r w:rsidRPr="00B34F94">
        <w:rPr>
          <w:spacing w:val="-1"/>
        </w:rPr>
        <w:t>arbetskrafts- och kompetensförsörjning en annan viktig del i en kraftfull regional tillväxt</w:t>
      </w:r>
      <w:r w:rsidRPr="00B34F94" w:rsidR="00B34F94">
        <w:rPr>
          <w:spacing w:val="-1"/>
        </w:rPr>
        <w:softHyphen/>
      </w:r>
      <w:r w:rsidRPr="00B34F94">
        <w:rPr>
          <w:spacing w:val="-1"/>
        </w:rPr>
        <w:t>politik.</w:t>
      </w:r>
    </w:p>
    <w:p w:rsidR="00B244D3" w:rsidP="00B34F94" w:rsidRDefault="00B244D3" w14:paraId="4E66EF3D" w14:textId="032CF192">
      <w:r>
        <w:lastRenderedPageBreak/>
        <w:t xml:space="preserve">Regionalfondsprogrammen är viktiga för stora delar av Sverige. De program som den socialdemokratiska regeringen har sjösatt fram till 2027 bör fullföljas. Likaledes är det viktigt att Fonden för en rättvis omställning fortsätter </w:t>
      </w:r>
      <w:r w:rsidR="00D012B2">
        <w:t xml:space="preserve">att </w:t>
      </w:r>
      <w:r>
        <w:t>användas för att under</w:t>
      </w:r>
      <w:r w:rsidR="00B34F94">
        <w:softHyphen/>
      </w:r>
      <w:r>
        <w:t xml:space="preserve">stödja den gröna industriella revolutionen i de särskilt utpekade regionerna. </w:t>
      </w:r>
    </w:p>
    <w:p w:rsidRPr="00422B9E" w:rsidR="00422B9E" w:rsidP="00B34F94" w:rsidRDefault="00B244D3" w14:paraId="48D85361" w14:textId="430ACB18">
      <w:r>
        <w:t xml:space="preserve">Service – både offentlig och kommersiell – ska vara tillgänglig i hela landet. Det stöd till dagligvarubutiker som regeringen Löfven införde bromsade lanthandelsdöden. Driftstödet ska bevaras. Man ska ha ett rimligt avstånd till att kunna köpa mat eller </w:t>
      </w:r>
      <w:r w:rsidRPr="00B34F94">
        <w:rPr>
          <w:spacing w:val="-1"/>
        </w:rPr>
        <w:t xml:space="preserve">hämta ut apoteksvaror oavsett om man bor i glesbygd, </w:t>
      </w:r>
      <w:r w:rsidRPr="00B34F94" w:rsidR="00D012B2">
        <w:rPr>
          <w:spacing w:val="-1"/>
        </w:rPr>
        <w:t xml:space="preserve">på </w:t>
      </w:r>
      <w:r w:rsidRPr="00B34F94">
        <w:rPr>
          <w:spacing w:val="-1"/>
        </w:rPr>
        <w:t>landsbygd</w:t>
      </w:r>
      <w:r w:rsidRPr="00B34F94" w:rsidR="00D012B2">
        <w:rPr>
          <w:spacing w:val="-1"/>
        </w:rPr>
        <w:t>en</w:t>
      </w:r>
      <w:r w:rsidRPr="00B34F94">
        <w:rPr>
          <w:spacing w:val="-1"/>
        </w:rPr>
        <w:t xml:space="preserve"> eller i </w:t>
      </w:r>
      <w:r w:rsidRPr="00B34F94" w:rsidR="00D012B2">
        <w:rPr>
          <w:spacing w:val="-1"/>
        </w:rPr>
        <w:t xml:space="preserve">en </w:t>
      </w:r>
      <w:r w:rsidRPr="00B34F94">
        <w:rPr>
          <w:spacing w:val="-1"/>
        </w:rPr>
        <w:t>storstad.</w:t>
      </w:r>
      <w:r>
        <w:t xml:space="preserve"> Även fordonsbesiktningen behöver tillgängliggöras i större delar av landet. </w:t>
      </w:r>
    </w:p>
    <w:sdt>
      <w:sdtPr>
        <w:alias w:val="CC_Underskrifter"/>
        <w:tag w:val="CC_Underskrifter"/>
        <w:id w:val="583496634"/>
        <w:lock w:val="sdtContentLocked"/>
        <w:placeholder>
          <w:docPart w:val="BF420864DC24480299B3BCF677830A88"/>
        </w:placeholder>
      </w:sdtPr>
      <w:sdtEndPr/>
      <w:sdtContent>
        <w:p w:rsidR="00B71B07" w:rsidP="000638A6" w:rsidRDefault="00B71B07" w14:paraId="1BEFB9C5" w14:textId="77777777"/>
        <w:p w:rsidRPr="008E0FE2" w:rsidR="004801AC" w:rsidP="000638A6" w:rsidRDefault="003F36BC" w14:paraId="10768C13" w14:textId="377CC784"/>
      </w:sdtContent>
    </w:sdt>
    <w:tbl>
      <w:tblPr>
        <w:tblW w:w="5000" w:type="pct"/>
        <w:tblLook w:val="04A0" w:firstRow="1" w:lastRow="0" w:firstColumn="1" w:lastColumn="0" w:noHBand="0" w:noVBand="1"/>
        <w:tblCaption w:val="underskrifter"/>
      </w:tblPr>
      <w:tblGrid>
        <w:gridCol w:w="4252"/>
        <w:gridCol w:w="4252"/>
      </w:tblGrid>
      <w:tr w:rsidR="00B17EDF" w14:paraId="0C400689" w14:textId="77777777">
        <w:trPr>
          <w:cantSplit/>
        </w:trPr>
        <w:tc>
          <w:tcPr>
            <w:tcW w:w="50" w:type="pct"/>
            <w:vAlign w:val="bottom"/>
          </w:tcPr>
          <w:p w:rsidR="00B17EDF" w:rsidRDefault="00D012B2" w14:paraId="5ECA5FF4" w14:textId="77777777">
            <w:pPr>
              <w:pStyle w:val="Underskrifter"/>
            </w:pPr>
            <w:r>
              <w:t>Fredrik Olovsson (S)</w:t>
            </w:r>
          </w:p>
        </w:tc>
        <w:tc>
          <w:tcPr>
            <w:tcW w:w="50" w:type="pct"/>
            <w:vAlign w:val="bottom"/>
          </w:tcPr>
          <w:p w:rsidR="00B17EDF" w:rsidRDefault="00D012B2" w14:paraId="14D00AEE" w14:textId="77777777">
            <w:pPr>
              <w:pStyle w:val="Underskrifter"/>
            </w:pPr>
            <w:r>
              <w:t>Monica Haider (S)</w:t>
            </w:r>
          </w:p>
        </w:tc>
      </w:tr>
      <w:tr w:rsidR="00B17EDF" w14:paraId="686C4D21" w14:textId="77777777">
        <w:trPr>
          <w:cantSplit/>
        </w:trPr>
        <w:tc>
          <w:tcPr>
            <w:tcW w:w="50" w:type="pct"/>
            <w:vAlign w:val="bottom"/>
          </w:tcPr>
          <w:p w:rsidR="00B17EDF" w:rsidRDefault="00D012B2" w14:paraId="0F47607B" w14:textId="77777777">
            <w:pPr>
              <w:pStyle w:val="Underskrifter"/>
            </w:pPr>
            <w:r>
              <w:t>Mattias Jonsson (S)</w:t>
            </w:r>
          </w:p>
        </w:tc>
        <w:tc>
          <w:tcPr>
            <w:tcW w:w="50" w:type="pct"/>
            <w:vAlign w:val="bottom"/>
          </w:tcPr>
          <w:p w:rsidR="00B17EDF" w:rsidRDefault="00D012B2" w14:paraId="404D16B1" w14:textId="77777777">
            <w:pPr>
              <w:pStyle w:val="Underskrifter"/>
            </w:pPr>
            <w:r>
              <w:t>Marianne Fundahn (S)</w:t>
            </w:r>
          </w:p>
        </w:tc>
      </w:tr>
      <w:tr w:rsidR="00B17EDF" w14:paraId="64D81446" w14:textId="77777777">
        <w:trPr>
          <w:cantSplit/>
        </w:trPr>
        <w:tc>
          <w:tcPr>
            <w:tcW w:w="50" w:type="pct"/>
            <w:vAlign w:val="bottom"/>
          </w:tcPr>
          <w:p w:rsidR="00B17EDF" w:rsidRDefault="00D012B2" w14:paraId="1DD7DA1C" w14:textId="77777777">
            <w:pPr>
              <w:pStyle w:val="Underskrifter"/>
            </w:pPr>
            <w:r>
              <w:t>Isak From (S)</w:t>
            </w:r>
          </w:p>
        </w:tc>
        <w:tc>
          <w:tcPr>
            <w:tcW w:w="50" w:type="pct"/>
            <w:vAlign w:val="bottom"/>
          </w:tcPr>
          <w:p w:rsidR="00B17EDF" w:rsidRDefault="00D012B2" w14:paraId="7CD725F5" w14:textId="77777777">
            <w:pPr>
              <w:pStyle w:val="Underskrifter"/>
            </w:pPr>
            <w:r>
              <w:t>Aida Birinxhiku (S)</w:t>
            </w:r>
          </w:p>
        </w:tc>
      </w:tr>
      <w:tr w:rsidRPr="009B16A2" w:rsidR="00B17EDF" w14:paraId="0C9F1872" w14:textId="77777777">
        <w:trPr>
          <w:gridAfter w:val="1"/>
          <w:wAfter w:w="4252" w:type="dxa"/>
          <w:cantSplit/>
        </w:trPr>
        <w:tc>
          <w:tcPr>
            <w:tcW w:w="50" w:type="pct"/>
            <w:vAlign w:val="bottom"/>
          </w:tcPr>
          <w:p w:rsidRPr="00452993" w:rsidR="00B17EDF" w:rsidRDefault="00D012B2" w14:paraId="508EAD67" w14:textId="77777777">
            <w:pPr>
              <w:pStyle w:val="Underskrifter"/>
              <w:rPr>
                <w:lang w:val="en-GB"/>
              </w:rPr>
            </w:pPr>
            <w:r w:rsidRPr="00452993">
              <w:rPr>
                <w:lang w:val="en-GB"/>
              </w:rPr>
              <w:t>Daniel Vencu Velasquez Castro (S)</w:t>
            </w:r>
          </w:p>
        </w:tc>
      </w:tr>
    </w:tbl>
    <w:p w:rsidRPr="00452993" w:rsidR="00725C06" w:rsidRDefault="00725C06" w14:paraId="34CBCE6A" w14:textId="77777777">
      <w:pPr>
        <w:rPr>
          <w:lang w:val="en-GB"/>
        </w:rPr>
      </w:pPr>
    </w:p>
    <w:sectPr w:rsidRPr="00452993" w:rsidR="00725C0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5C2A9" w14:textId="77777777" w:rsidR="0030357E" w:rsidRDefault="0030357E" w:rsidP="000C1CAD">
      <w:pPr>
        <w:spacing w:line="240" w:lineRule="auto"/>
      </w:pPr>
      <w:r>
        <w:separator/>
      </w:r>
    </w:p>
  </w:endnote>
  <w:endnote w:type="continuationSeparator" w:id="0">
    <w:p w14:paraId="37EB042F" w14:textId="77777777" w:rsidR="0030357E" w:rsidRDefault="00303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D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9D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9910" w14:textId="4FFFAEB7" w:rsidR="00262EA3" w:rsidRPr="000638A6" w:rsidRDefault="00262EA3" w:rsidP="00063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0988" w14:textId="77777777" w:rsidR="0030357E" w:rsidRDefault="0030357E" w:rsidP="000C1CAD">
      <w:pPr>
        <w:spacing w:line="240" w:lineRule="auto"/>
      </w:pPr>
      <w:r>
        <w:separator/>
      </w:r>
    </w:p>
  </w:footnote>
  <w:footnote w:type="continuationSeparator" w:id="0">
    <w:p w14:paraId="30CF6555" w14:textId="77777777" w:rsidR="0030357E" w:rsidRDefault="003035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00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302093" wp14:editId="645E62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A99FE4" w14:textId="6E0CFC92" w:rsidR="00262EA3" w:rsidRDefault="003F36BC" w:rsidP="008103B5">
                          <w:pPr>
                            <w:jc w:val="right"/>
                          </w:pPr>
                          <w:sdt>
                            <w:sdtPr>
                              <w:alias w:val="CC_Noformat_Partikod"/>
                              <w:tag w:val="CC_Noformat_Partikod"/>
                              <w:id w:val="-53464382"/>
                              <w:text/>
                            </w:sdtPr>
                            <w:sdtEndPr/>
                            <w:sdtContent>
                              <w:r w:rsidR="00B244D3">
                                <w:t>S</w:t>
                              </w:r>
                            </w:sdtContent>
                          </w:sdt>
                          <w:sdt>
                            <w:sdtPr>
                              <w:alias w:val="CC_Noformat_Partinummer"/>
                              <w:tag w:val="CC_Noformat_Partinummer"/>
                              <w:id w:val="-1709555926"/>
                              <w:placeholder>
                                <w:docPart w:val="9D64E2C75D2F47C8A92777BE240DCD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3020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A99FE4" w14:textId="6E0CFC92" w:rsidR="00262EA3" w:rsidRDefault="003F36BC" w:rsidP="008103B5">
                    <w:pPr>
                      <w:jc w:val="right"/>
                    </w:pPr>
                    <w:sdt>
                      <w:sdtPr>
                        <w:alias w:val="CC_Noformat_Partikod"/>
                        <w:tag w:val="CC_Noformat_Partikod"/>
                        <w:id w:val="-53464382"/>
                        <w:text/>
                      </w:sdtPr>
                      <w:sdtEndPr/>
                      <w:sdtContent>
                        <w:r w:rsidR="00B244D3">
                          <w:t>S</w:t>
                        </w:r>
                      </w:sdtContent>
                    </w:sdt>
                    <w:sdt>
                      <w:sdtPr>
                        <w:alias w:val="CC_Noformat_Partinummer"/>
                        <w:tag w:val="CC_Noformat_Partinummer"/>
                        <w:id w:val="-1709555926"/>
                        <w:placeholder>
                          <w:docPart w:val="9D64E2C75D2F47C8A92777BE240DCD66"/>
                        </w:placeholder>
                        <w:showingPlcHdr/>
                        <w:text/>
                      </w:sdtPr>
                      <w:sdtEndPr/>
                      <w:sdtContent>
                        <w:r w:rsidR="00262EA3">
                          <w:t xml:space="preserve"> </w:t>
                        </w:r>
                      </w:sdtContent>
                    </w:sdt>
                  </w:p>
                </w:txbxContent>
              </v:textbox>
              <w10:wrap anchorx="page"/>
            </v:shape>
          </w:pict>
        </mc:Fallback>
      </mc:AlternateContent>
    </w:r>
  </w:p>
  <w:p w14:paraId="16792B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DF41" w14:textId="77777777" w:rsidR="00262EA3" w:rsidRDefault="00262EA3" w:rsidP="008563AC">
    <w:pPr>
      <w:jc w:val="right"/>
    </w:pPr>
  </w:p>
  <w:p w14:paraId="4FE299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3AFA" w14:textId="77777777" w:rsidR="00262EA3" w:rsidRDefault="003F36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7AD72" wp14:editId="0595B0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7C570B" w14:textId="0FF860A7" w:rsidR="00262EA3" w:rsidRDefault="003F36BC" w:rsidP="00A314CF">
    <w:pPr>
      <w:pStyle w:val="FSHNormal"/>
      <w:spacing w:before="40"/>
    </w:pPr>
    <w:sdt>
      <w:sdtPr>
        <w:alias w:val="CC_Noformat_Motionstyp"/>
        <w:tag w:val="CC_Noformat_Motionstyp"/>
        <w:id w:val="1162973129"/>
        <w:lock w:val="sdtContentLocked"/>
        <w15:appearance w15:val="hidden"/>
        <w:text/>
      </w:sdtPr>
      <w:sdtEndPr/>
      <w:sdtContent>
        <w:r w:rsidR="000638A6">
          <w:t>Kommittémotion</w:t>
        </w:r>
      </w:sdtContent>
    </w:sdt>
    <w:r w:rsidR="00821B36">
      <w:t xml:space="preserve"> </w:t>
    </w:r>
    <w:sdt>
      <w:sdtPr>
        <w:alias w:val="CC_Noformat_Partikod"/>
        <w:tag w:val="CC_Noformat_Partikod"/>
        <w:id w:val="1471015553"/>
        <w:text/>
      </w:sdtPr>
      <w:sdtEndPr/>
      <w:sdtContent>
        <w:r w:rsidR="00B244D3">
          <w:t>S</w:t>
        </w:r>
      </w:sdtContent>
    </w:sdt>
    <w:sdt>
      <w:sdtPr>
        <w:alias w:val="CC_Noformat_Partinummer"/>
        <w:tag w:val="CC_Noformat_Partinummer"/>
        <w:id w:val="-2014525982"/>
        <w:placeholder>
          <w:docPart w:val="F080B95D44374917AA7006D71695921A"/>
        </w:placeholder>
        <w:showingPlcHdr/>
        <w:text/>
      </w:sdtPr>
      <w:sdtEndPr/>
      <w:sdtContent>
        <w:r w:rsidR="00821B36">
          <w:t xml:space="preserve"> </w:t>
        </w:r>
      </w:sdtContent>
    </w:sdt>
  </w:p>
  <w:p w14:paraId="1D24331D" w14:textId="77777777" w:rsidR="00262EA3" w:rsidRPr="008227B3" w:rsidRDefault="003F36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C9AB84" w14:textId="2C91291D" w:rsidR="00262EA3" w:rsidRPr="008227B3" w:rsidRDefault="003F36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8A6">
          <w:t>2022/23</w:t>
        </w:r>
      </w:sdtContent>
    </w:sdt>
    <w:sdt>
      <w:sdtPr>
        <w:rPr>
          <w:rStyle w:val="BeteckningChar"/>
        </w:rPr>
        <w:alias w:val="CC_Noformat_Partibet"/>
        <w:tag w:val="CC_Noformat_Partibet"/>
        <w:id w:val="405810658"/>
        <w:lock w:val="sdtContentLocked"/>
        <w:placeholder>
          <w:docPart w:val="82CA20F427BE45AEAD51C8EFD8C1CBB1"/>
        </w:placeholder>
        <w:showingPlcHdr/>
        <w15:appearance w15:val="hidden"/>
        <w:text/>
      </w:sdtPr>
      <w:sdtEndPr>
        <w:rPr>
          <w:rStyle w:val="Rubrik1Char"/>
          <w:rFonts w:asciiTheme="majorHAnsi" w:hAnsiTheme="majorHAnsi"/>
          <w:sz w:val="38"/>
        </w:rPr>
      </w:sdtEndPr>
      <w:sdtContent>
        <w:r w:rsidR="000638A6">
          <w:t>:2238</w:t>
        </w:r>
      </w:sdtContent>
    </w:sdt>
  </w:p>
  <w:p w14:paraId="23C5A179" w14:textId="0F92671B" w:rsidR="00262EA3" w:rsidRDefault="003F36BC" w:rsidP="00E03A3D">
    <w:pPr>
      <w:pStyle w:val="Motionr"/>
    </w:pPr>
    <w:sdt>
      <w:sdtPr>
        <w:alias w:val="CC_Noformat_Avtext"/>
        <w:tag w:val="CC_Noformat_Avtext"/>
        <w:id w:val="-2020768203"/>
        <w:lock w:val="sdtContentLocked"/>
        <w15:appearance w15:val="hidden"/>
        <w:text/>
      </w:sdtPr>
      <w:sdtEndPr/>
      <w:sdtContent>
        <w:r w:rsidR="000638A6">
          <w:t>av Fredrik Olovsson m.fl. (S)</w:t>
        </w:r>
      </w:sdtContent>
    </w:sdt>
  </w:p>
  <w:sdt>
    <w:sdtPr>
      <w:alias w:val="CC_Noformat_Rubtext"/>
      <w:tag w:val="CC_Noformat_Rubtext"/>
      <w:id w:val="-218060500"/>
      <w:lock w:val="sdtLocked"/>
      <w:text/>
    </w:sdtPr>
    <w:sdtEndPr/>
    <w:sdtContent>
      <w:p w14:paraId="6FD07379" w14:textId="234A49CE" w:rsidR="00262EA3" w:rsidRDefault="002B2EE0" w:rsidP="00283E0F">
        <w:pPr>
          <w:pStyle w:val="FSHRub2"/>
        </w:pPr>
        <w:r>
          <w:t>Politikens inriktning inom regional utveckling</w:t>
        </w:r>
      </w:p>
    </w:sdtContent>
  </w:sdt>
  <w:sdt>
    <w:sdtPr>
      <w:alias w:val="CC_Boilerplate_3"/>
      <w:tag w:val="CC_Boilerplate_3"/>
      <w:id w:val="1606463544"/>
      <w:lock w:val="sdtContentLocked"/>
      <w15:appearance w15:val="hidden"/>
      <w:text w:multiLine="1"/>
    </w:sdtPr>
    <w:sdtEndPr/>
    <w:sdtContent>
      <w:p w14:paraId="2AEAE4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244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6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9FC"/>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235"/>
    <w:rsid w:val="00055933"/>
    <w:rsid w:val="00055B43"/>
    <w:rsid w:val="0005734F"/>
    <w:rsid w:val="000577E2"/>
    <w:rsid w:val="0006032F"/>
    <w:rsid w:val="0006039A"/>
    <w:rsid w:val="000603CF"/>
    <w:rsid w:val="0006043F"/>
    <w:rsid w:val="00061E36"/>
    <w:rsid w:val="0006339B"/>
    <w:rsid w:val="0006386B"/>
    <w:rsid w:val="000638A6"/>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641"/>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B1"/>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E0"/>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57E"/>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9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B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0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83"/>
    <w:rsid w:val="00446C4A"/>
    <w:rsid w:val="00446DBB"/>
    <w:rsid w:val="00446F11"/>
    <w:rsid w:val="00446FE9"/>
    <w:rsid w:val="0044767E"/>
    <w:rsid w:val="00450331"/>
    <w:rsid w:val="00450E13"/>
    <w:rsid w:val="00451074"/>
    <w:rsid w:val="00451CD3"/>
    <w:rsid w:val="0045225B"/>
    <w:rsid w:val="0045299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C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15B"/>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F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2"/>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B8"/>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A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4E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0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02"/>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8C"/>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C0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2B"/>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9B"/>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D8F"/>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BC"/>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A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9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6A2"/>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E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C2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2A"/>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DF"/>
    <w:rsid w:val="00B202F4"/>
    <w:rsid w:val="00B2146A"/>
    <w:rsid w:val="00B21954"/>
    <w:rsid w:val="00B21D6D"/>
    <w:rsid w:val="00B21E68"/>
    <w:rsid w:val="00B22179"/>
    <w:rsid w:val="00B226AF"/>
    <w:rsid w:val="00B22D61"/>
    <w:rsid w:val="00B23280"/>
    <w:rsid w:val="00B239BF"/>
    <w:rsid w:val="00B240F8"/>
    <w:rsid w:val="00B244D3"/>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F94"/>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07"/>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572"/>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18"/>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2B2"/>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91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AA"/>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10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D6048F"/>
  <w15:chartTrackingRefBased/>
  <w15:docId w15:val="{2FC42A5C-7AA7-43D7-80CF-8307D66F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3683">
      <w:bodyDiv w:val="1"/>
      <w:marLeft w:val="0"/>
      <w:marRight w:val="0"/>
      <w:marTop w:val="0"/>
      <w:marBottom w:val="0"/>
      <w:divBdr>
        <w:top w:val="none" w:sz="0" w:space="0" w:color="auto"/>
        <w:left w:val="none" w:sz="0" w:space="0" w:color="auto"/>
        <w:bottom w:val="none" w:sz="0" w:space="0" w:color="auto"/>
        <w:right w:val="none" w:sz="0" w:space="0" w:color="auto"/>
      </w:divBdr>
    </w:div>
    <w:div w:id="1588149258">
      <w:bodyDiv w:val="1"/>
      <w:marLeft w:val="0"/>
      <w:marRight w:val="0"/>
      <w:marTop w:val="0"/>
      <w:marBottom w:val="0"/>
      <w:divBdr>
        <w:top w:val="none" w:sz="0" w:space="0" w:color="auto"/>
        <w:left w:val="none" w:sz="0" w:space="0" w:color="auto"/>
        <w:bottom w:val="none" w:sz="0" w:space="0" w:color="auto"/>
        <w:right w:val="none" w:sz="0" w:space="0" w:color="auto"/>
      </w:divBdr>
    </w:div>
    <w:div w:id="163348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6489863B3240A99D14F092B2923F3B"/>
        <w:category>
          <w:name w:val="Allmänt"/>
          <w:gallery w:val="placeholder"/>
        </w:category>
        <w:types>
          <w:type w:val="bbPlcHdr"/>
        </w:types>
        <w:behaviors>
          <w:behavior w:val="content"/>
        </w:behaviors>
        <w:guid w:val="{9A3E0D2E-2BE2-40E7-8119-F80DB619C717}"/>
      </w:docPartPr>
      <w:docPartBody>
        <w:p w:rsidR="00D771B4" w:rsidRDefault="00E074FF">
          <w:pPr>
            <w:pStyle w:val="776489863B3240A99D14F092B2923F3B"/>
          </w:pPr>
          <w:r w:rsidRPr="005A0A93">
            <w:rPr>
              <w:rStyle w:val="Platshllartext"/>
            </w:rPr>
            <w:t>Förslag till riksdagsbeslut</w:t>
          </w:r>
        </w:p>
      </w:docPartBody>
    </w:docPart>
    <w:docPart>
      <w:docPartPr>
        <w:name w:val="BF420864DC24480299B3BCF677830A88"/>
        <w:category>
          <w:name w:val="Allmänt"/>
          <w:gallery w:val="placeholder"/>
        </w:category>
        <w:types>
          <w:type w:val="bbPlcHdr"/>
        </w:types>
        <w:behaviors>
          <w:behavior w:val="content"/>
        </w:behaviors>
        <w:guid w:val="{D699BB99-2EBF-451E-A710-A440C0944482}"/>
      </w:docPartPr>
      <w:docPartBody>
        <w:p w:rsidR="00666E28" w:rsidRDefault="00666E28"/>
      </w:docPartBody>
    </w:docPart>
    <w:docPart>
      <w:docPartPr>
        <w:name w:val="9D64E2C75D2F47C8A92777BE240DCD66"/>
        <w:category>
          <w:name w:val="Allmänt"/>
          <w:gallery w:val="placeholder"/>
        </w:category>
        <w:types>
          <w:type w:val="bbPlcHdr"/>
        </w:types>
        <w:behaviors>
          <w:behavior w:val="content"/>
        </w:behaviors>
        <w:guid w:val="{9AC8D35B-AA20-48AE-8198-962847E6DF79}"/>
      </w:docPartPr>
      <w:docPartBody>
        <w:p w:rsidR="00073E98" w:rsidRDefault="00073E98">
          <w:r>
            <w:t xml:space="preserve"> </w:t>
          </w:r>
        </w:p>
      </w:docPartBody>
    </w:docPart>
    <w:docPart>
      <w:docPartPr>
        <w:name w:val="F080B95D44374917AA7006D71695921A"/>
        <w:category>
          <w:name w:val="Allmänt"/>
          <w:gallery w:val="placeholder"/>
        </w:category>
        <w:types>
          <w:type w:val="bbPlcHdr"/>
        </w:types>
        <w:behaviors>
          <w:behavior w:val="content"/>
        </w:behaviors>
        <w:guid w:val="{C2BC8699-8B66-4000-BAF3-7CC8BB596304}"/>
      </w:docPartPr>
      <w:docPartBody>
        <w:p w:rsidR="00073E98" w:rsidRDefault="00073E98">
          <w:r>
            <w:t xml:space="preserve"> </w:t>
          </w:r>
        </w:p>
      </w:docPartBody>
    </w:docPart>
    <w:docPart>
      <w:docPartPr>
        <w:name w:val="82CA20F427BE45AEAD51C8EFD8C1CBB1"/>
        <w:category>
          <w:name w:val="Allmänt"/>
          <w:gallery w:val="placeholder"/>
        </w:category>
        <w:types>
          <w:type w:val="bbPlcHdr"/>
        </w:types>
        <w:behaviors>
          <w:behavior w:val="content"/>
        </w:behaviors>
        <w:guid w:val="{092E9659-CE9B-42DC-82E7-7C4004D3EEC5}"/>
      </w:docPartPr>
      <w:docPartBody>
        <w:p w:rsidR="00073E98" w:rsidRDefault="00073E98">
          <w:r>
            <w:t>:2238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FF"/>
    <w:rsid w:val="00071787"/>
    <w:rsid w:val="00073E98"/>
    <w:rsid w:val="0019215D"/>
    <w:rsid w:val="002E06DE"/>
    <w:rsid w:val="0047573A"/>
    <w:rsid w:val="00485B52"/>
    <w:rsid w:val="00666E28"/>
    <w:rsid w:val="008843B9"/>
    <w:rsid w:val="008B1B7A"/>
    <w:rsid w:val="00A9117A"/>
    <w:rsid w:val="00C325F7"/>
    <w:rsid w:val="00D771B4"/>
    <w:rsid w:val="00E074FF"/>
    <w:rsid w:val="00FD6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3E98"/>
    <w:rPr>
      <w:color w:val="F4B083" w:themeColor="accent2" w:themeTint="99"/>
    </w:rPr>
  </w:style>
  <w:style w:type="paragraph" w:customStyle="1" w:styleId="776489863B3240A99D14F092B2923F3B">
    <w:name w:val="776489863B3240A99D14F092B2923F3B"/>
  </w:style>
  <w:style w:type="paragraph" w:customStyle="1" w:styleId="F25C6BB9D83E4E20832BEDF2BCCECD69">
    <w:name w:val="F25C6BB9D83E4E20832BEDF2BCCEC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1691D-E9FD-44AE-AD79-572562FF5289}"/>
</file>

<file path=customXml/itemProps2.xml><?xml version="1.0" encoding="utf-8"?>
<ds:datastoreItem xmlns:ds="http://schemas.openxmlformats.org/officeDocument/2006/customXml" ds:itemID="{A92D5735-60C2-43B3-B6DD-1CFADE8F8AE0}"/>
</file>

<file path=customXml/itemProps3.xml><?xml version="1.0" encoding="utf-8"?>
<ds:datastoreItem xmlns:ds="http://schemas.openxmlformats.org/officeDocument/2006/customXml" ds:itemID="{B3176D14-27F1-4AED-93E8-3D36B9FD34B1}"/>
</file>

<file path=docProps/app.xml><?xml version="1.0" encoding="utf-8"?>
<Properties xmlns="http://schemas.openxmlformats.org/officeDocument/2006/extended-properties" xmlns:vt="http://schemas.openxmlformats.org/officeDocument/2006/docPropsVTypes">
  <Template>Normal</Template>
  <TotalTime>58</TotalTime>
  <Pages>2</Pages>
  <Words>307</Words>
  <Characters>1852</Characters>
  <Application>Microsoft Office Word</Application>
  <DocSecurity>0</DocSecurity>
  <Lines>61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Politikens inriktning inom Regional utveckling</vt:lpstr>
      <vt:lpstr>
      </vt:lpstr>
    </vt:vector>
  </TitlesOfParts>
  <Company>Sveriges riksdag</Company>
  <LinksUpToDate>false</LinksUpToDate>
  <CharactersWithSpaces>2115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