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B1908648E2344908E8B3FB551A91430"/>
        </w:placeholder>
        <w:text/>
      </w:sdtPr>
      <w:sdtEndPr/>
      <w:sdtContent>
        <w:p w:rsidRPr="009B062B" w:rsidR="00AF30DD" w:rsidP="00DA28CE" w:rsidRDefault="00AF30DD" w14:paraId="744BFD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fbb8c7-52db-47f2-b854-e9559301d3f3"/>
        <w:id w:val="836497699"/>
        <w:lock w:val="sdtLocked"/>
      </w:sdtPr>
      <w:sdtEndPr/>
      <w:sdtContent>
        <w:p w:rsidR="00245E83" w:rsidRDefault="00926645" w14:paraId="744BFD61" w14:textId="4109624E">
          <w:pPr>
            <w:pStyle w:val="Frslagstext"/>
            <w:numPr>
              <w:ilvl w:val="0"/>
              <w:numId w:val="0"/>
            </w:numPr>
          </w:pPr>
          <w:r>
            <w:t>Riksdagen anvisar anslagen för 2018 inom utgiftsområde 22 Kommunikationer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745BCBE1C34243A2F664313672E0BF"/>
        </w:placeholder>
        <w:text/>
      </w:sdtPr>
      <w:sdtEndPr/>
      <w:sdtContent>
        <w:p w:rsidRPr="00926408" w:rsidR="006D79C9" w:rsidP="00333E95" w:rsidRDefault="006D79C9" w14:paraId="744BFD62" w14:textId="77777777">
          <w:pPr>
            <w:pStyle w:val="Rubrik1"/>
          </w:pPr>
          <w:r>
            <w:t>Motivering</w:t>
          </w:r>
        </w:p>
      </w:sdtContent>
    </w:sdt>
    <w:p w:rsidRPr="00926408" w:rsidR="00832527" w:rsidP="00832527" w:rsidRDefault="00832527" w14:paraId="744BFD63" w14:textId="5239B860">
      <w:pPr>
        <w:pStyle w:val="Normalutanindragellerluft"/>
      </w:pPr>
      <w:r w:rsidRPr="00926408">
        <w:t>En välfungerande transportinfrastruktur är en förutsättning för att det ska gå att bo, leva och arbeta i hela landet. Att näringslivets godstransporter fungerar är likaledes viktigt för att möjliggöra företagsamhet och arbete i hela landet. Teknikutveckling, effektivi</w:t>
      </w:r>
      <w:r w:rsidR="00C1342E">
        <w:softHyphen/>
      </w:r>
      <w:r w:rsidRPr="00926408">
        <w:t>sering, digitalisering, regelförenklingar och en omställning till biobaserade drivmedel gör att fortsatt goda kommunikationer i hela landet kan ske utan att miljö- och klimat</w:t>
      </w:r>
      <w:r w:rsidR="00C1342E">
        <w:softHyphen/>
      </w:r>
      <w:r w:rsidRPr="00926408">
        <w:t>påverkan ökar. Centerpartiet driver på för att Sverige ska nå målet om en fossil</w:t>
      </w:r>
      <w:r w:rsidR="00C1342E">
        <w:softHyphen/>
      </w:r>
      <w:r w:rsidRPr="00926408">
        <w:t>oberoende fordonsflotta. I det arbetet har de statliga infrastrukturinvesteringarna en viktig roll att spela.</w:t>
      </w:r>
    </w:p>
    <w:p w:rsidR="00C1342E" w:rsidP="00C1342E" w:rsidRDefault="00832527" w14:paraId="3A16015A" w14:textId="61A3D0F8">
      <w:r w:rsidRPr="00C1342E">
        <w:t>Centerpartiet prioriterar att öka underhållet av järnvägen, ökade och tidigarelagda investeringar i transportinfrastruktur med hjälp av alternativa finansieringslösningar oc</w:t>
      </w:r>
      <w:r w:rsidR="00C1342E">
        <w:t>h ytterligare investeringar i it</w:t>
      </w:r>
      <w:r w:rsidRPr="00C1342E">
        <w:t>- och bredbandsutbyggnad. Eftersom Centerpartiet värnar hela landets utveckling är det också av största vikt att de resurser som satsas på infra</w:t>
      </w:r>
      <w:r w:rsidR="00C1342E">
        <w:softHyphen/>
      </w:r>
      <w:r w:rsidRPr="00C1342E">
        <w:t>struktur fördelas över hela landet.</w:t>
      </w:r>
    </w:p>
    <w:p w:rsidR="00C1342E" w:rsidRDefault="00C1342E" w14:paraId="77464BB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C1342E" w:rsidR="00832527" w:rsidP="00C1342E" w:rsidRDefault="00832527" w14:paraId="744BFD67" w14:textId="77777777">
      <w:pPr>
        <w:pStyle w:val="Rubrik2"/>
      </w:pPr>
      <w:r w:rsidRPr="00C1342E">
        <w:t>Förslag till anslagsfördelning</w:t>
      </w:r>
    </w:p>
    <w:p w:rsidR="00C1342E" w:rsidP="00C1342E" w:rsidRDefault="00C1342E" w14:paraId="603223C7" w14:textId="5ABB5013">
      <w:pPr>
        <w:pStyle w:val="Tabellrubrik"/>
        <w:spacing w:line="240" w:lineRule="exact"/>
      </w:pPr>
      <w:r>
        <w:t>Tabell 1</w:t>
      </w:r>
      <w:r w:rsidRPr="00C1342E" w:rsidR="00832527">
        <w:t xml:space="preserve"> Centerpartiets förslag till anslag för 2019 för utgiftsområde 22 uttryckt som differe</w:t>
      </w:r>
      <w:r>
        <w:t>ns gentemot regeringens förslag</w:t>
      </w:r>
    </w:p>
    <w:p w:rsidRPr="00C1342E" w:rsidR="00832527" w:rsidP="00C1342E" w:rsidRDefault="00C1342E" w14:paraId="744BFD68" w14:textId="325FB972">
      <w:pPr>
        <w:pStyle w:val="Tabellunderrubrik"/>
      </w:pPr>
      <w:r w:rsidRPr="00C1342E">
        <w:t>Tusental</w:t>
      </w:r>
      <w:r w:rsidRPr="00C1342E" w:rsidR="00832527">
        <w:t xml:space="preserve"> kronor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300"/>
        <w:gridCol w:w="2147"/>
      </w:tblGrid>
      <w:tr w:rsidRPr="00C1342E" w:rsidR="00C1342E" w:rsidTr="00C1342E" w14:paraId="744BFD6D" w14:textId="77777777">
        <w:trPr>
          <w:trHeight w:val="450"/>
        </w:trPr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1342E" w:rsidR="008B64AD" w:rsidP="00C1342E" w:rsidRDefault="008B64AD" w14:paraId="744BFD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1342E" w:rsidR="008B64AD" w:rsidP="00C1342E" w:rsidRDefault="008B64AD" w14:paraId="744BFD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C1342E" w:rsidR="008B64AD" w:rsidP="00C1342E" w:rsidRDefault="008B64AD" w14:paraId="744BFD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21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C1342E" w:rsidR="008B64AD" w:rsidP="00C1342E" w:rsidRDefault="008B64AD" w14:paraId="744BFD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C1342E" w:rsidR="008B64AD" w:rsidTr="00C1342E" w14:paraId="744BFD72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C1342E" w:rsidR="008B64AD" w:rsidP="00C1342E" w:rsidRDefault="008B64AD" w14:paraId="744BFD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 av statens transportinfrastruktur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26 014 423</w:t>
            </w:r>
          </w:p>
        </w:tc>
        <w:tc>
          <w:tcPr>
            <w:tcW w:w="2147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77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Vidmakthållande av statens transportinfrastruktur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23 571 698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7C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Trafikverket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1 401 577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81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sjöräddning och fritidsbåtsändamål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188 308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86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viss kanal- och slussinfrastruktur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62 284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8B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avseende icke statliga flygplatser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168 313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90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Trafikavtal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960 000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95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 internationell verksamhet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28 757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9A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väg- och transportforskningsinstitut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54 181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9F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C1342E" w:rsidR="008B64AD" w:rsidP="00C1342E" w:rsidRDefault="008B64AD" w14:paraId="744BFD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stöd till Transeuropeiska nätverk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150 000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A4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Trängselskatt i Stockholm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1 752 609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A9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Transportstyrelsen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2 193 567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AE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Trafikanalys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68 987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B3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Trängselskatt i Göteborg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836 656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B8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Sjöfartsstöd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1 563 000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BD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Post- och telestyrelsen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50 122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C2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C1342E" w:rsidR="008B64AD" w:rsidP="00C1342E" w:rsidRDefault="008B64AD" w14:paraId="744BFD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särskilda tjänster för personer med funktionsnedsättning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140 278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C7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Grundläggande betaltjänster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33 037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CC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Informationsteknik och telekommunikation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72 844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D1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C1342E" w:rsidR="008B64AD" w:rsidP="00C1342E" w:rsidRDefault="008B64AD" w14:paraId="744BFD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Driftsäker och tillgänglig elektronisk kommunikation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146 014</w:t>
            </w:r>
          </w:p>
        </w:tc>
        <w:tc>
          <w:tcPr>
            <w:tcW w:w="2147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D6" w14:textId="77777777">
        <w:trPr>
          <w:trHeight w:val="300"/>
        </w:trPr>
        <w:tc>
          <w:tcPr>
            <w:tcW w:w="96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C1342E" w:rsidR="008B64AD" w:rsidP="00C1342E" w:rsidRDefault="008B64AD" w14:paraId="744BFD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59 456 655</w:t>
            </w:r>
          </w:p>
        </w:tc>
        <w:tc>
          <w:tcPr>
            <w:tcW w:w="2147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</w:tbl>
    <w:p w:rsidRPr="00926408" w:rsidR="00832527" w:rsidP="00832527" w:rsidRDefault="00832527" w14:paraId="744BFDD7" w14:textId="77777777">
      <w:pPr>
        <w:ind w:firstLine="0"/>
      </w:pPr>
    </w:p>
    <w:p w:rsidR="00C1342E" w:rsidP="00C1342E" w:rsidRDefault="003246AE" w14:paraId="2D38F66B" w14:textId="4A1F700C">
      <w:pPr>
        <w:pStyle w:val="Tabellrubrik"/>
        <w:spacing w:line="240" w:lineRule="exact"/>
      </w:pPr>
      <w:r>
        <w:t>Tabell 2</w:t>
      </w:r>
      <w:r w:rsidRPr="00C1342E" w:rsidR="00832527">
        <w:t xml:space="preserve"> Centerpartiets förslag till anslag för 2019 till 2021 för utgiftsområde 22 uttryckt som differe</w:t>
      </w:r>
      <w:r w:rsidR="00C1342E">
        <w:t>ns gentemot regeringens förslag</w:t>
      </w:r>
    </w:p>
    <w:p w:rsidRPr="00C1342E" w:rsidR="00832527" w:rsidP="00C1342E" w:rsidRDefault="00C1342E" w14:paraId="744BFDD8" w14:textId="5F172F35">
      <w:pPr>
        <w:pStyle w:val="Tabellunderrubrik"/>
      </w:pPr>
      <w:r w:rsidRPr="00C1342E">
        <w:t>M</w:t>
      </w:r>
      <w:r w:rsidRPr="00C1342E" w:rsidR="00832527">
        <w:t>iljoner kronor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179"/>
        <w:gridCol w:w="1134"/>
        <w:gridCol w:w="1134"/>
      </w:tblGrid>
      <w:tr w:rsidRPr="00C1342E" w:rsidR="00C1342E" w:rsidTr="00C1342E" w14:paraId="744BFDDE" w14:textId="77777777">
        <w:trPr>
          <w:trHeight w:val="300"/>
          <w:tblHeader/>
        </w:trPr>
        <w:tc>
          <w:tcPr>
            <w:tcW w:w="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1342E" w:rsidR="008B64AD" w:rsidP="00C1342E" w:rsidRDefault="008B64AD" w14:paraId="744BFD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1342E" w:rsidR="008B64AD" w:rsidP="00C1342E" w:rsidRDefault="008B64AD" w14:paraId="744BFD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7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C1342E" w:rsidR="008B64AD" w:rsidP="00C1342E" w:rsidRDefault="008B64AD" w14:paraId="744BFD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C1342E" w:rsidR="008B64AD" w:rsidP="00C1342E" w:rsidRDefault="008B64AD" w14:paraId="744BFD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  <w:hideMark/>
          </w:tcPr>
          <w:p w:rsidRPr="00C1342E" w:rsidR="008B64AD" w:rsidP="00C1342E" w:rsidRDefault="008B64AD" w14:paraId="744BFD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2021</w:t>
            </w:r>
          </w:p>
        </w:tc>
      </w:tr>
      <w:tr w:rsidRPr="00C1342E" w:rsidR="008B64AD" w:rsidTr="00C1342E" w14:paraId="744BFDE4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C1342E" w:rsidR="008B64AD" w:rsidP="00C1342E" w:rsidRDefault="008B64AD" w14:paraId="744BFD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Utveckling av statens transportinfrastruktur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EA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Vidmakthållande av statens transportinfrastruktur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F0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Trafikverket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F6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sjöräddning och fritidsbåtsändamål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DFC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viss kanal- och slussinfrastruktur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02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D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avseende icke statliga flygplatser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D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08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Trafikavtal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0E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 internationell verksamhet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14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väg- och transportforskningsinstitut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3D7C5D" w14:paraId="744BFE1A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C1342E" w:rsidR="008B64AD" w:rsidP="003D7C5D" w:rsidRDefault="008B64AD" w14:paraId="744BFE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stöd till Transeuropeiska nätverk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20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Trängselskatt i Stockholm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26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Transportstyrelsen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2C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Trafikanalys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32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Trängselskatt i Göteborg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38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Sjöfartsstöd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3E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Post- och telestyrelsen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3D7C5D" w14:paraId="744BFE44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C1342E" w:rsidR="008B64AD" w:rsidP="003D7C5D" w:rsidRDefault="008B64AD" w14:paraId="744BFE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särskilda tjänster för personer med funktionsnedsättning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4A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Grundläggande betaltjänster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50" w14:textId="77777777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Informationsteknik och telekommunikation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3D7C5D" w14:paraId="744BFE56" w14:textId="77777777">
        <w:trPr>
          <w:trHeight w:val="450"/>
        </w:trPr>
        <w:tc>
          <w:tcPr>
            <w:tcW w:w="960" w:type="dxa"/>
            <w:shd w:val="clear" w:color="000000" w:fill="FFFFFF"/>
            <w:noWrap/>
            <w:hideMark/>
          </w:tcPr>
          <w:p w:rsidRPr="00C1342E" w:rsidR="008B64AD" w:rsidP="003D7C5D" w:rsidRDefault="008B64AD" w14:paraId="744BFE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240" w:type="dxa"/>
            <w:shd w:val="clear" w:color="000000" w:fill="FFFFFF"/>
            <w:vAlign w:val="bottom"/>
            <w:hideMark/>
          </w:tcPr>
          <w:p w:rsidRPr="00C1342E" w:rsidR="008B64AD" w:rsidP="00C1342E" w:rsidRDefault="008B64AD" w14:paraId="744BFE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Driftsäker och tillgänglig elektronisk kommunikation</w:t>
            </w:r>
          </w:p>
        </w:tc>
        <w:tc>
          <w:tcPr>
            <w:tcW w:w="1179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C1342E" w:rsidR="008B64AD" w:rsidTr="00C1342E" w14:paraId="744BFE5C" w14:textId="77777777">
        <w:trPr>
          <w:trHeight w:val="300"/>
        </w:trPr>
        <w:tc>
          <w:tcPr>
            <w:tcW w:w="960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C1342E" w:rsidR="008B64AD" w:rsidP="00C1342E" w:rsidRDefault="008B64AD" w14:paraId="744BFE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179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C1342E" w:rsidR="008B64AD" w:rsidP="00C1342E" w:rsidRDefault="008B64AD" w14:paraId="744BFE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C134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0</w:t>
            </w:r>
          </w:p>
        </w:tc>
      </w:tr>
    </w:tbl>
    <w:p w:rsidRPr="003246AE" w:rsidR="00832527" w:rsidP="003246AE" w:rsidRDefault="00832527" w14:paraId="744BFE5E" w14:textId="77777777">
      <w:pPr>
        <w:pStyle w:val="Rubrik2"/>
      </w:pPr>
      <w:r w:rsidRPr="003246AE">
        <w:t>Centerpartiets överväganden</w:t>
      </w:r>
    </w:p>
    <w:p w:rsidRPr="003246AE" w:rsidR="00832527" w:rsidP="003246AE" w:rsidRDefault="00832527" w14:paraId="744BFE5F" w14:textId="77777777">
      <w:pPr>
        <w:pStyle w:val="Normalutanindragellerluft"/>
      </w:pPr>
      <w:bookmarkStart w:name="_GoBack" w:id="1"/>
      <w:bookmarkEnd w:id="1"/>
      <w:r w:rsidRPr="003246AE">
        <w:lastRenderedPageBreak/>
        <w:t>Centerpartiet har i budgetmotionen för 2019 inga skarpa anslagspåverkande förslag under detta utgiftsområde för nästkommande år. I motionen beskrivs dock ett antal inriktningar för den långsiktiga politik som Centerpartiet ämnar verka för.</w:t>
      </w:r>
    </w:p>
    <w:sdt>
      <w:sdtPr>
        <w:alias w:val="CC_Underskrifter"/>
        <w:tag w:val="CC_Underskrifter"/>
        <w:id w:val="583496634"/>
        <w:lock w:val="sdtContentLocked"/>
        <w:placeholder>
          <w:docPart w:val="1BB3142164914AC2A5C1974DAA8ADB1C"/>
        </w:placeholder>
      </w:sdtPr>
      <w:sdtEndPr/>
      <w:sdtContent>
        <w:p w:rsidR="00926408" w:rsidP="00926408" w:rsidRDefault="00926408" w14:paraId="744BFE60" w14:textId="77777777"/>
        <w:p w:rsidRPr="008E0FE2" w:rsidR="004801AC" w:rsidP="00926408" w:rsidRDefault="003246AE" w14:paraId="744BFE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Bäckström (C)</w:t>
            </w:r>
          </w:p>
        </w:tc>
      </w:tr>
    </w:tbl>
    <w:p w:rsidR="008F027A" w:rsidRDefault="008F027A" w14:paraId="744BFE68" w14:textId="77777777"/>
    <w:sectPr w:rsidR="008F02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FE6A" w14:textId="77777777" w:rsidR="00832527" w:rsidRDefault="00832527" w:rsidP="000C1CAD">
      <w:pPr>
        <w:spacing w:line="240" w:lineRule="auto"/>
      </w:pPr>
      <w:r>
        <w:separator/>
      </w:r>
    </w:p>
  </w:endnote>
  <w:endnote w:type="continuationSeparator" w:id="0">
    <w:p w14:paraId="744BFE6B" w14:textId="77777777" w:rsidR="00832527" w:rsidRDefault="00832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FE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BFE71" w14:textId="2A36909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46A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BFE68" w14:textId="77777777" w:rsidR="00832527" w:rsidRDefault="00832527" w:rsidP="000C1CAD">
      <w:pPr>
        <w:spacing w:line="240" w:lineRule="auto"/>
      </w:pPr>
      <w:r>
        <w:separator/>
      </w:r>
    </w:p>
  </w:footnote>
  <w:footnote w:type="continuationSeparator" w:id="0">
    <w:p w14:paraId="744BFE69" w14:textId="77777777" w:rsidR="00832527" w:rsidRDefault="00832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44BFE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4BFE7B" wp14:anchorId="744BFE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46AE" w14:paraId="744BFE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4F06195FCF4C0E9E218C63F7EF1F2F"/>
                              </w:placeholder>
                              <w:text/>
                            </w:sdtPr>
                            <w:sdtEndPr/>
                            <w:sdtContent>
                              <w:r w:rsidR="0083252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AE4CBEFFF14DC79D15D1989FF6FBD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4BFE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46AE" w14:paraId="744BFE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4F06195FCF4C0E9E218C63F7EF1F2F"/>
                        </w:placeholder>
                        <w:text/>
                      </w:sdtPr>
                      <w:sdtEndPr/>
                      <w:sdtContent>
                        <w:r w:rsidR="0083252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AE4CBEFFF14DC79D15D1989FF6FBD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4BFE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44BFE6E" w14:textId="77777777">
    <w:pPr>
      <w:jc w:val="right"/>
    </w:pPr>
  </w:p>
  <w:p w:rsidR="00262EA3" w:rsidP="00776B74" w:rsidRDefault="00262EA3" w14:paraId="744BFE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246AE" w14:paraId="744BFE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4BFE7D" wp14:anchorId="744BFE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46AE" w14:paraId="744BFE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252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246AE" w14:paraId="744BFE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46AE" w14:paraId="744BFE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:2627</w:t>
        </w:r>
      </w:sdtContent>
    </w:sdt>
  </w:p>
  <w:p w:rsidR="00262EA3" w:rsidP="00E03A3D" w:rsidRDefault="003246AE" w14:paraId="744BFE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872A0BB133B4006938CA67D0736A4F7"/>
        </w:placeholder>
        <w15:appearance w15:val="hidden"/>
        <w:text/>
      </w:sdtPr>
      <w:sdtEndPr/>
      <w:sdtContent>
        <w:r>
          <w:t>av Anders Åkesson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6645" w14:paraId="744BFE77" w14:textId="0E216D52">
        <w:pPr>
          <w:pStyle w:val="FSHRub2"/>
        </w:pPr>
        <w:r>
          <w:t>Utgiftsområde 22 Kommunikationer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4BFE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325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5E8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6AE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C5D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527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4AD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27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408"/>
    <w:rsid w:val="00926645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713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26F6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6B19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2E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715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4BFD5F"/>
  <w15:chartTrackingRefBased/>
  <w15:docId w15:val="{A0700334-7504-4024-BEB6-7F825D53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1908648E2344908E8B3FB551A91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174B9-F347-4C0A-A6AD-83D2E13FC1AD}"/>
      </w:docPartPr>
      <w:docPartBody>
        <w:p w:rsidR="001F4CB4" w:rsidRDefault="003B51E0">
          <w:pPr>
            <w:pStyle w:val="DB1908648E2344908E8B3FB551A914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745BCBE1C34243A2F664313672E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AD27E-8DC0-4B06-8299-C0C0C78DFE80}"/>
      </w:docPartPr>
      <w:docPartBody>
        <w:p w:rsidR="001F4CB4" w:rsidRDefault="003B51E0">
          <w:pPr>
            <w:pStyle w:val="69745BCBE1C34243A2F664313672E0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4F06195FCF4C0E9E218C63F7EF1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B36EF-E767-4F08-85A8-E2EBE8428FAB}"/>
      </w:docPartPr>
      <w:docPartBody>
        <w:p w:rsidR="001F4CB4" w:rsidRDefault="003B51E0">
          <w:pPr>
            <w:pStyle w:val="184F06195FCF4C0E9E218C63F7EF1F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AE4CBEFFF14DC79D15D1989FF6F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73D79-6983-4D6A-8CC4-0AC1A43700F7}"/>
      </w:docPartPr>
      <w:docPartBody>
        <w:p w:rsidR="001F4CB4" w:rsidRDefault="003B51E0">
          <w:pPr>
            <w:pStyle w:val="0EAE4CBEFFF14DC79D15D1989FF6FBD0"/>
          </w:pPr>
          <w:r>
            <w:t xml:space="preserve"> </w:t>
          </w:r>
        </w:p>
      </w:docPartBody>
    </w:docPart>
    <w:docPart>
      <w:docPartPr>
        <w:name w:val="E872A0BB133B4006938CA67D0736A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B8431-E401-46F0-91AF-A58A01748280}"/>
      </w:docPartPr>
      <w:docPartBody>
        <w:p w:rsidR="001F4CB4" w:rsidRDefault="003B51E0" w:rsidP="003B51E0">
          <w:pPr>
            <w:pStyle w:val="E872A0BB133B4006938CA67D0736A4F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BB3142164914AC2A5C1974DAA8AD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08BE6-8472-4DC7-8F7F-CA90077EA8F9}"/>
      </w:docPartPr>
      <w:docPartBody>
        <w:p w:rsidR="00C26BEF" w:rsidRDefault="00C26B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0"/>
    <w:rsid w:val="001F4CB4"/>
    <w:rsid w:val="003B51E0"/>
    <w:rsid w:val="00C2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B51E0"/>
    <w:rPr>
      <w:color w:val="F4B083" w:themeColor="accent2" w:themeTint="99"/>
    </w:rPr>
  </w:style>
  <w:style w:type="paragraph" w:customStyle="1" w:styleId="DB1908648E2344908E8B3FB551A91430">
    <w:name w:val="DB1908648E2344908E8B3FB551A91430"/>
  </w:style>
  <w:style w:type="paragraph" w:customStyle="1" w:styleId="A4A992B665D949ADB2299F36C5FCB86B">
    <w:name w:val="A4A992B665D949ADB2299F36C5FCB8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52E517A14D47838E9712E796EF2AEE">
    <w:name w:val="E552E517A14D47838E9712E796EF2AEE"/>
  </w:style>
  <w:style w:type="paragraph" w:customStyle="1" w:styleId="69745BCBE1C34243A2F664313672E0BF">
    <w:name w:val="69745BCBE1C34243A2F664313672E0BF"/>
  </w:style>
  <w:style w:type="paragraph" w:customStyle="1" w:styleId="333CBD4C0AC94329B415550ABC346A7A">
    <w:name w:val="333CBD4C0AC94329B415550ABC346A7A"/>
  </w:style>
  <w:style w:type="paragraph" w:customStyle="1" w:styleId="6195EF6947484F6AA6850681BD6ADD69">
    <w:name w:val="6195EF6947484F6AA6850681BD6ADD69"/>
  </w:style>
  <w:style w:type="paragraph" w:customStyle="1" w:styleId="184F06195FCF4C0E9E218C63F7EF1F2F">
    <w:name w:val="184F06195FCF4C0E9E218C63F7EF1F2F"/>
  </w:style>
  <w:style w:type="paragraph" w:customStyle="1" w:styleId="0EAE4CBEFFF14DC79D15D1989FF6FBD0">
    <w:name w:val="0EAE4CBEFFF14DC79D15D1989FF6FBD0"/>
  </w:style>
  <w:style w:type="paragraph" w:customStyle="1" w:styleId="E872A0BB133B4006938CA67D0736A4F7">
    <w:name w:val="E872A0BB133B4006938CA67D0736A4F7"/>
    <w:rsid w:val="003B5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9B1CB-C147-4029-A319-3210C90E6C4A}"/>
</file>

<file path=customXml/itemProps2.xml><?xml version="1.0" encoding="utf-8"?>
<ds:datastoreItem xmlns:ds="http://schemas.openxmlformats.org/officeDocument/2006/customXml" ds:itemID="{17CFBD90-E744-4132-B767-A393638BAFBF}"/>
</file>

<file path=customXml/itemProps3.xml><?xml version="1.0" encoding="utf-8"?>
<ds:datastoreItem xmlns:ds="http://schemas.openxmlformats.org/officeDocument/2006/customXml" ds:itemID="{C4F5398A-8F33-4414-87D6-F060D192A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3428</Characters>
  <Application>Microsoft Office Word</Application>
  <DocSecurity>0</DocSecurity>
  <Lines>263</Lines>
  <Paragraphs>151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Utgiftsområde 22  Kommunikationer</vt:lpstr>
      <vt:lpstr>
      </vt:lpstr>
    </vt:vector>
  </TitlesOfParts>
  <Company>Sveriges riksdag</Company>
  <LinksUpToDate>false</LinksUpToDate>
  <CharactersWithSpaces>3791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