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80877A5AB494537B009BBCA69EA9DCD"/>
        </w:placeholder>
        <w:text/>
      </w:sdtPr>
      <w:sdtEndPr/>
      <w:sdtContent>
        <w:p w:rsidRPr="009B062B" w:rsidR="00AF30DD" w:rsidP="00DA28CE" w:rsidRDefault="00AF30DD" w14:paraId="53991F5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64be147-4227-470d-b4c8-798018cf5dab"/>
        <w:id w:val="203218048"/>
        <w:lock w:val="sdtLocked"/>
      </w:sdtPr>
      <w:sdtEndPr/>
      <w:sdtContent>
        <w:p w:rsidR="00133A29" w:rsidRDefault="005761FC" w14:paraId="53991F55" w14:textId="4B2AC8F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systemet med personalliggare i syfte att det ska gälla företag där byggverksamhet utgör den huvudsakliga verksamheten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3312F346D0E430CA14E7C082157EC51"/>
        </w:placeholder>
        <w:text/>
      </w:sdtPr>
      <w:sdtEndPr/>
      <w:sdtContent>
        <w:p w:rsidRPr="009B062B" w:rsidR="006D79C9" w:rsidP="00333E95" w:rsidRDefault="006D79C9" w14:paraId="53991F56" w14:textId="77777777">
          <w:pPr>
            <w:pStyle w:val="Rubrik1"/>
          </w:pPr>
          <w:r>
            <w:t>Motivering</w:t>
          </w:r>
        </w:p>
      </w:sdtContent>
    </w:sdt>
    <w:p w:rsidR="00AE0DB3" w:rsidP="00630A62" w:rsidRDefault="00AE0DB3" w14:paraId="53991F57" w14:textId="546F5D9C">
      <w:pPr>
        <w:pStyle w:val="Normalutanindragellerluft"/>
      </w:pPr>
      <w:r>
        <w:t xml:space="preserve">Idag omfattas byggbranschen av lagen om personalliggare. Gott så, eftersom delar av byggbranschen har problem med oseriösa företagare som anställer svart arbetskraft. Systemet infördes för att stävja svartarbete i olika branscher och därmed skapa rättvisa förutsättningar på marknaden. </w:t>
      </w:r>
      <w:r w:rsidR="004B08CE">
        <w:t xml:space="preserve">År </w:t>
      </w:r>
      <w:r>
        <w:t xml:space="preserve">2016 skärptes lagstiftningen så </w:t>
      </w:r>
      <w:r w:rsidR="004B08CE">
        <w:t xml:space="preserve">att </w:t>
      </w:r>
      <w:r>
        <w:t>den kom att omfatta både ägare till företag vars verksamhet omfattas av personalliggare</w:t>
      </w:r>
      <w:r w:rsidR="004B08CE">
        <w:t xml:space="preserve"> och ägares familje</w:t>
      </w:r>
      <w:r w:rsidR="00630A62">
        <w:softHyphen/>
      </w:r>
      <w:r w:rsidR="004B08CE">
        <w:t>medlemmar</w:t>
      </w:r>
      <w:r>
        <w:t>. Lagstiftningens utformning har visat sig få konsekvenser som är svår</w:t>
      </w:r>
      <w:r w:rsidR="00630A62">
        <w:softHyphen/>
      </w:r>
      <w:r>
        <w:t xml:space="preserve">hanterliga och direkt oönskade. Inte minst gällande lantbruksföretag. </w:t>
      </w:r>
    </w:p>
    <w:p w:rsidR="00AE0DB3" w:rsidP="00630A62" w:rsidRDefault="00AE0DB3" w14:paraId="53991F59" w14:textId="358C7EE9">
      <w:r>
        <w:t>Bestämmelsen om personalliggare gäller även när det blir aktuellt med byggverk</w:t>
      </w:r>
      <w:r w:rsidR="00630A62">
        <w:softHyphen/>
      </w:r>
      <w:r>
        <w:t>samhet på lantbruk. Vid större investeringar kan det handla om en totalentreprenad, då är byggföretaget byggherre och därmed ansvarig för personalliggare. Dock är verksam</w:t>
      </w:r>
      <w:r w:rsidR="00630A62">
        <w:softHyphen/>
      </w:r>
      <w:r>
        <w:t>heten på ett lantbruk i sig både omfattande och av varierad art, så behov av byggnads</w:t>
      </w:r>
      <w:r w:rsidR="00630A62">
        <w:softHyphen/>
      </w:r>
      <w:r>
        <w:t>arbete finns löpande under året. Exempelvis reparation och underhåll av byggnader, nybyggnad eller reparation av skogsbilvägar och diken, grävning i samband med nedläggning av fiberkabel, snöröjning av arbetsplatser, markarbeten för anläggning av ridvägar och paddockar m.m. Dessa uppräknade verksamheter räknas in i ”byggverk</w:t>
      </w:r>
      <w:r w:rsidR="00630A62">
        <w:softHyphen/>
      </w:r>
      <w:r>
        <w:t xml:space="preserve">samhet” och omfattas av personalliggarsystemet.   </w:t>
      </w:r>
    </w:p>
    <w:p w:rsidR="00AE0DB3" w:rsidP="00630A62" w:rsidRDefault="00AE0DB3" w14:paraId="53991F5B" w14:textId="4F6719D7">
      <w:r>
        <w:t>Ovanstående innebär att om en lantbruksfastighet har dylika arbeten planerade under ett år, som kommer att överstiga fyra prisbasbelopp (f n 180</w:t>
      </w:r>
      <w:r w:rsidR="004B08CE">
        <w:t> </w:t>
      </w:r>
      <w:r>
        <w:t xml:space="preserve">000), måste fastigheten </w:t>
      </w:r>
      <w:proofErr w:type="gramStart"/>
      <w:r>
        <w:t>registrera</w:t>
      </w:r>
      <w:r w:rsidR="004B08CE">
        <w:t>s</w:t>
      </w:r>
      <w:r>
        <w:t xml:space="preserve">  som</w:t>
      </w:r>
      <w:proofErr w:type="gramEnd"/>
      <w:r>
        <w:t xml:space="preserve"> byggarbetsplats. Om detta gäller en regelrätt lantbruksfastighet, har i ett slag de anställda på lantbruket övergått till att bli anställda på en byggarbetsplats. </w:t>
      </w:r>
      <w:r>
        <w:lastRenderedPageBreak/>
        <w:t>Åtminstone den stund de byter från högaffel till hammare, och då måste de skriva in sig i personalliggaren. Likaså gäller detta lantbrukarna själva och deras familjer, dvs</w:t>
      </w:r>
      <w:r w:rsidR="00630A62">
        <w:t>.</w:t>
      </w:r>
      <w:r>
        <w:t xml:space="preserve"> ägarna.</w:t>
      </w:r>
    </w:p>
    <w:p w:rsidR="00AE0DB3" w:rsidP="00630A62" w:rsidRDefault="00AE0DB3" w14:paraId="53991F5D" w14:textId="415723B9">
      <w:r>
        <w:t>Jag menar att detta är en orimlig konsekvens av systemet med personalliggare som knappast gagnar syftet med bestämmelsen, dvs</w:t>
      </w:r>
      <w:r w:rsidR="00630A62">
        <w:t>.</w:t>
      </w:r>
      <w:r>
        <w:t xml:space="preserve"> minskad andel svartarbete och bättre konkurrensneutralitet. Det torde bli ytterligare ett exempel på krångliga regler som drabbar en redan ansträngd näring. </w:t>
      </w:r>
    </w:p>
    <w:p w:rsidRPr="00422B9E" w:rsidR="00422B9E" w:rsidP="00630A62" w:rsidRDefault="00AE0DB3" w14:paraId="53991F5F" w14:textId="0EDB4B16">
      <w:r>
        <w:t xml:space="preserve">Jag menar att systemet med personalliggare ska omfatta företag vars huvudsakliga näringsverksamhet består av de områden som ingår i lagen om personalliggare. Företag där exempelvis byggverksamhet inte är den egentliga verksamheten utan snarare en ”bieffekt” av den egentliga verksamheten bör undantas kravet på personalliggare, särskilt i fall när arbeten utförs av företagaren själv, dennes familj eller av dess anställda personal.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DC61797D2C4EB98BB754F02FFA6C2E"/>
        </w:placeholder>
      </w:sdtPr>
      <w:sdtEndPr>
        <w:rPr>
          <w:i w:val="0"/>
          <w:noProof w:val="0"/>
        </w:rPr>
      </w:sdtEndPr>
      <w:sdtContent>
        <w:p w:rsidR="001A7E27" w:rsidP="001A7E27" w:rsidRDefault="001A7E27" w14:paraId="53991F61" w14:textId="77777777"/>
        <w:p w:rsidRPr="008E0FE2" w:rsidR="004801AC" w:rsidP="001A7E27" w:rsidRDefault="00630A62" w14:paraId="53991F6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Helena Vilhelmsson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07990" w:rsidRDefault="00407990" w14:paraId="53991F66" w14:textId="77777777">
      <w:bookmarkStart w:name="_GoBack" w:id="1"/>
      <w:bookmarkEnd w:id="1"/>
    </w:p>
    <w:sectPr w:rsidR="0040799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91F68" w14:textId="77777777" w:rsidR="00AE0DB3" w:rsidRDefault="00AE0DB3" w:rsidP="000C1CAD">
      <w:pPr>
        <w:spacing w:line="240" w:lineRule="auto"/>
      </w:pPr>
      <w:r>
        <w:separator/>
      </w:r>
    </w:p>
  </w:endnote>
  <w:endnote w:type="continuationSeparator" w:id="0">
    <w:p w14:paraId="53991F69" w14:textId="77777777" w:rsidR="00AE0DB3" w:rsidRDefault="00AE0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1F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1F6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A7E2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91F77" w14:textId="77777777" w:rsidR="00262EA3" w:rsidRPr="001A7E27" w:rsidRDefault="00262EA3" w:rsidP="001A7E2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91F66" w14:textId="77777777" w:rsidR="00AE0DB3" w:rsidRDefault="00AE0DB3" w:rsidP="000C1CAD">
      <w:pPr>
        <w:spacing w:line="240" w:lineRule="auto"/>
      </w:pPr>
      <w:r>
        <w:separator/>
      </w:r>
    </w:p>
  </w:footnote>
  <w:footnote w:type="continuationSeparator" w:id="0">
    <w:p w14:paraId="53991F67" w14:textId="77777777" w:rsidR="00AE0DB3" w:rsidRDefault="00AE0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991F6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991F79" wp14:anchorId="53991F7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30A62" w14:paraId="53991F7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111EA8310C431DB48D02F791F1B860"/>
                              </w:placeholder>
                              <w:text/>
                            </w:sdtPr>
                            <w:sdtEndPr/>
                            <w:sdtContent>
                              <w:r w:rsidR="00AE0DB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0971E3EF78640898BEAF61246CD0C5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991F7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30A62" w14:paraId="53991F7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111EA8310C431DB48D02F791F1B860"/>
                        </w:placeholder>
                        <w:text/>
                      </w:sdtPr>
                      <w:sdtEndPr/>
                      <w:sdtContent>
                        <w:r w:rsidR="00AE0DB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0971E3EF78640898BEAF61246CD0C5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991F6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991F6C" w14:textId="77777777">
    <w:pPr>
      <w:jc w:val="right"/>
    </w:pPr>
  </w:p>
  <w:p w:rsidR="00262EA3" w:rsidP="00776B74" w:rsidRDefault="00262EA3" w14:paraId="53991F6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30A62" w14:paraId="53991F7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991F7B" wp14:anchorId="53991F7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30A62" w14:paraId="53991F7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0DB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30A62" w14:paraId="53991F7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30A62" w14:paraId="53991F7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:185</w:t>
        </w:r>
      </w:sdtContent>
    </w:sdt>
  </w:p>
  <w:p w:rsidR="00262EA3" w:rsidP="00E03A3D" w:rsidRDefault="00630A62" w14:paraId="53991F7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Helena Vilhelmsson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E0DB3" w14:paraId="53991F75" w14:textId="77777777">
        <w:pPr>
          <w:pStyle w:val="FSHRub2"/>
        </w:pPr>
        <w:r>
          <w:t>Översyn av lagen om personalliggare gällande byggverksamhet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991F7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E0DB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A29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E27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15AD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990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8CE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1FC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A62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C84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8B7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DB3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F1F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991F53"/>
  <w15:chartTrackingRefBased/>
  <w15:docId w15:val="{508A8F4A-EF73-45B3-8955-84A4A8A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0877A5AB494537B009BBCA69EA9D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D1C04-7AE2-424C-9DDA-E22FE23D69A3}"/>
      </w:docPartPr>
      <w:docPartBody>
        <w:p w:rsidR="00657D86" w:rsidRDefault="00657D86">
          <w:pPr>
            <w:pStyle w:val="380877A5AB494537B009BBCA69EA9D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3312F346D0E430CA14E7C082157E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256F7C-C08C-43D6-817F-87E2292F1D56}"/>
      </w:docPartPr>
      <w:docPartBody>
        <w:p w:rsidR="00657D86" w:rsidRDefault="00657D86">
          <w:pPr>
            <w:pStyle w:val="D3312F346D0E430CA14E7C082157EC5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111EA8310C431DB48D02F791F1B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734C5-66AD-4044-876F-E236C61E6C85}"/>
      </w:docPartPr>
      <w:docPartBody>
        <w:p w:rsidR="00657D86" w:rsidRDefault="00657D86">
          <w:pPr>
            <w:pStyle w:val="A9111EA8310C431DB48D02F791F1B8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971E3EF78640898BEAF61246CD0C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9F33C-D2D9-4E1C-ACDA-6E8A9B3EBBF8}"/>
      </w:docPartPr>
      <w:docPartBody>
        <w:p w:rsidR="00657D86" w:rsidRDefault="00657D86">
          <w:pPr>
            <w:pStyle w:val="C0971E3EF78640898BEAF61246CD0C5A"/>
          </w:pPr>
          <w:r>
            <w:t xml:space="preserve"> </w:t>
          </w:r>
        </w:p>
      </w:docPartBody>
    </w:docPart>
    <w:docPart>
      <w:docPartPr>
        <w:name w:val="62DC61797D2C4EB98BB754F02FFA6C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2D0E09-1D59-464E-BD1A-EE1363721B01}"/>
      </w:docPartPr>
      <w:docPartBody>
        <w:p w:rsidR="00017965" w:rsidRDefault="000179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86"/>
    <w:rsid w:val="00017965"/>
    <w:rsid w:val="0065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0877A5AB494537B009BBCA69EA9DCD">
    <w:name w:val="380877A5AB494537B009BBCA69EA9DCD"/>
  </w:style>
  <w:style w:type="paragraph" w:customStyle="1" w:styleId="47ECA703C8604AF8AB71A020846ECEED">
    <w:name w:val="47ECA703C8604AF8AB71A020846ECE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C5746A7AD854D2B9B28A6364132FB18">
    <w:name w:val="0C5746A7AD854D2B9B28A6364132FB18"/>
  </w:style>
  <w:style w:type="paragraph" w:customStyle="1" w:styleId="D3312F346D0E430CA14E7C082157EC51">
    <w:name w:val="D3312F346D0E430CA14E7C082157EC51"/>
  </w:style>
  <w:style w:type="paragraph" w:customStyle="1" w:styleId="7E1C5C5CB9714378A95CF3E0651A587A">
    <w:name w:val="7E1C5C5CB9714378A95CF3E0651A587A"/>
  </w:style>
  <w:style w:type="paragraph" w:customStyle="1" w:styleId="567008921B9148C1BCD11BB2F8C96CCC">
    <w:name w:val="567008921B9148C1BCD11BB2F8C96CCC"/>
  </w:style>
  <w:style w:type="paragraph" w:customStyle="1" w:styleId="A9111EA8310C431DB48D02F791F1B860">
    <w:name w:val="A9111EA8310C431DB48D02F791F1B860"/>
  </w:style>
  <w:style w:type="paragraph" w:customStyle="1" w:styleId="C0971E3EF78640898BEAF61246CD0C5A">
    <w:name w:val="C0971E3EF78640898BEAF61246CD0C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5AD698-CFCE-4544-A8AF-D49C925DA003}"/>
</file>

<file path=customXml/itemProps2.xml><?xml version="1.0" encoding="utf-8"?>
<ds:datastoreItem xmlns:ds="http://schemas.openxmlformats.org/officeDocument/2006/customXml" ds:itemID="{DDC9F27E-8669-449D-B740-F6F2131632F4}"/>
</file>

<file path=customXml/itemProps3.xml><?xml version="1.0" encoding="utf-8"?>
<ds:datastoreItem xmlns:ds="http://schemas.openxmlformats.org/officeDocument/2006/customXml" ds:itemID="{C44866D9-9CF9-4A55-9CD5-08A670F033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394</Words>
  <Characters>2453</Characters>
  <Application>Microsoft Office Word</Application>
  <DocSecurity>0</DocSecurity>
  <Lines>49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Översyn av lagen om personalliggare gällande byggverksamhet</vt:lpstr>
      <vt:lpstr>
      </vt:lpstr>
    </vt:vector>
  </TitlesOfParts>
  <Company>Sveriges riksdag</Company>
  <LinksUpToDate>false</LinksUpToDate>
  <CharactersWithSpaces>2837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