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B72C70" w:rsidTr="00DF706C">
        <w:tc>
          <w:tcPr>
            <w:tcW w:w="2268" w:type="dxa"/>
          </w:tcPr>
          <w:p w:rsidR="00B72C70" w:rsidRDefault="00B72C70" w:rsidP="00DF706C">
            <w:pPr>
              <w:framePr w:w="4400" w:h="1644" w:wrap="notBeside" w:vAnchor="page" w:hAnchor="page" w:x="6573" w:y="721"/>
              <w:rPr>
                <w:rFonts w:ascii="TradeGothic" w:hAnsi="TradeGothic"/>
                <w:i/>
                <w:sz w:val="18"/>
              </w:rPr>
            </w:pPr>
          </w:p>
        </w:tc>
        <w:tc>
          <w:tcPr>
            <w:tcW w:w="2347" w:type="dxa"/>
            <w:gridSpan w:val="2"/>
          </w:tcPr>
          <w:p w:rsidR="00B72C70" w:rsidRDefault="00B72C70" w:rsidP="00DF706C">
            <w:pPr>
              <w:framePr w:w="4400" w:h="1644" w:wrap="notBeside" w:vAnchor="page" w:hAnchor="page" w:x="6573" w:y="721"/>
              <w:rPr>
                <w:rFonts w:ascii="TradeGothic" w:hAnsi="TradeGothic"/>
                <w:i/>
                <w:sz w:val="18"/>
              </w:rPr>
            </w:pPr>
          </w:p>
        </w:tc>
      </w:tr>
      <w:tr w:rsidR="00B72C70" w:rsidTr="00DF706C">
        <w:tc>
          <w:tcPr>
            <w:tcW w:w="2268" w:type="dxa"/>
          </w:tcPr>
          <w:p w:rsidR="00B72C70" w:rsidRDefault="00B72C70" w:rsidP="00DF706C">
            <w:pPr>
              <w:framePr w:w="4400" w:h="1644" w:wrap="notBeside" w:vAnchor="page" w:hAnchor="page" w:x="6573" w:y="721"/>
              <w:rPr>
                <w:rFonts w:ascii="TradeGothic" w:hAnsi="TradeGothic"/>
                <w:b/>
              </w:rPr>
            </w:pPr>
            <w:r>
              <w:rPr>
                <w:rFonts w:ascii="TradeGothic" w:hAnsi="TradeGothic"/>
                <w:b/>
                <w:sz w:val="22"/>
              </w:rPr>
              <w:t xml:space="preserve">Kommenterad dagordning </w:t>
            </w:r>
          </w:p>
        </w:tc>
        <w:tc>
          <w:tcPr>
            <w:tcW w:w="2347" w:type="dxa"/>
            <w:gridSpan w:val="2"/>
          </w:tcPr>
          <w:p w:rsidR="00B72C70" w:rsidRDefault="00B72C70" w:rsidP="00DF706C">
            <w:pPr>
              <w:framePr w:w="4400" w:h="1644" w:wrap="notBeside" w:vAnchor="page" w:hAnchor="page" w:x="6573" w:y="721"/>
              <w:rPr>
                <w:rFonts w:ascii="TradeGothic" w:hAnsi="TradeGothic"/>
                <w:b/>
              </w:rPr>
            </w:pPr>
          </w:p>
        </w:tc>
      </w:tr>
      <w:tr w:rsidR="00B72C70" w:rsidTr="00DF706C">
        <w:tc>
          <w:tcPr>
            <w:tcW w:w="3402" w:type="dxa"/>
            <w:gridSpan w:val="2"/>
          </w:tcPr>
          <w:p w:rsidR="00B72C70" w:rsidRDefault="00B72C70" w:rsidP="00DF706C">
            <w:pPr>
              <w:framePr w:w="4400" w:h="1644" w:wrap="notBeside" w:vAnchor="page" w:hAnchor="page" w:x="6573" w:y="721"/>
            </w:pPr>
          </w:p>
          <w:p w:rsidR="00B72C70" w:rsidRDefault="00B72C70" w:rsidP="00DF706C">
            <w:pPr>
              <w:framePr w:w="4400" w:h="1644" w:wrap="notBeside" w:vAnchor="page" w:hAnchor="page" w:x="6573" w:y="721"/>
            </w:pPr>
          </w:p>
        </w:tc>
        <w:tc>
          <w:tcPr>
            <w:tcW w:w="1213" w:type="dxa"/>
          </w:tcPr>
          <w:p w:rsidR="00B72C70" w:rsidRDefault="00B72C70" w:rsidP="00DF706C">
            <w:pPr>
              <w:framePr w:w="4400" w:h="1644" w:wrap="notBeside" w:vAnchor="page" w:hAnchor="page" w:x="6573" w:y="721"/>
            </w:pPr>
          </w:p>
        </w:tc>
      </w:tr>
      <w:tr w:rsidR="00B72C70" w:rsidTr="00DF706C">
        <w:tc>
          <w:tcPr>
            <w:tcW w:w="2268" w:type="dxa"/>
          </w:tcPr>
          <w:p w:rsidR="00B72C70" w:rsidRDefault="00B72C70" w:rsidP="00DF706C">
            <w:pPr>
              <w:framePr w:w="4400" w:h="1644" w:wrap="notBeside" w:vAnchor="page" w:hAnchor="page" w:x="6573" w:y="721"/>
            </w:pPr>
          </w:p>
        </w:tc>
        <w:tc>
          <w:tcPr>
            <w:tcW w:w="2347" w:type="dxa"/>
            <w:gridSpan w:val="2"/>
          </w:tcPr>
          <w:p w:rsidR="00B72C70" w:rsidRDefault="00B72C70" w:rsidP="00DF706C">
            <w:pPr>
              <w:framePr w:w="4400" w:h="1644" w:wrap="notBeside" w:vAnchor="page" w:hAnchor="page" w:x="6573" w:y="721"/>
            </w:pPr>
          </w:p>
        </w:tc>
      </w:tr>
      <w:tr w:rsidR="00B72C70" w:rsidTr="00DF706C">
        <w:tc>
          <w:tcPr>
            <w:tcW w:w="2268" w:type="dxa"/>
          </w:tcPr>
          <w:p w:rsidR="00B72C70" w:rsidRDefault="00B72C70" w:rsidP="00DF706C">
            <w:pPr>
              <w:framePr w:w="4400" w:h="1644" w:wrap="notBeside" w:vAnchor="page" w:hAnchor="page" w:x="6573" w:y="721"/>
            </w:pPr>
          </w:p>
        </w:tc>
        <w:tc>
          <w:tcPr>
            <w:tcW w:w="2347" w:type="dxa"/>
            <w:gridSpan w:val="2"/>
          </w:tcPr>
          <w:p w:rsidR="00B72C70" w:rsidRDefault="00B72C70" w:rsidP="00DF706C">
            <w:pPr>
              <w:framePr w:w="4400" w:h="1644" w:wrap="notBeside" w:vAnchor="page" w:hAnchor="page" w:x="6573" w:y="721"/>
            </w:pPr>
          </w:p>
        </w:tc>
      </w:tr>
    </w:tbl>
    <w:p w:rsidR="00B72C70" w:rsidRPr="00F14D93" w:rsidRDefault="00B72C70" w:rsidP="005F24BF">
      <w:pPr>
        <w:rPr>
          <w:vanish/>
        </w:rPr>
      </w:pPr>
    </w:p>
    <w:tbl>
      <w:tblPr>
        <w:tblW w:w="0" w:type="auto"/>
        <w:tblLayout w:type="fixed"/>
        <w:tblLook w:val="0000"/>
      </w:tblPr>
      <w:tblGrid>
        <w:gridCol w:w="4911"/>
      </w:tblGrid>
      <w:tr w:rsidR="00B72C70" w:rsidTr="00DF706C">
        <w:trPr>
          <w:trHeight w:val="284"/>
        </w:trPr>
        <w:tc>
          <w:tcPr>
            <w:tcW w:w="4911" w:type="dxa"/>
          </w:tcPr>
          <w:p w:rsidR="00B72C70" w:rsidRDefault="00B72C70" w:rsidP="00DF706C">
            <w:pPr>
              <w:pStyle w:val="Avsndare"/>
              <w:framePr w:h="2483" w:wrap="notBeside" w:x="1504"/>
              <w:rPr>
                <w:b/>
                <w:i w:val="0"/>
                <w:sz w:val="22"/>
              </w:rPr>
            </w:pPr>
            <w:r>
              <w:rPr>
                <w:b/>
                <w:i w:val="0"/>
                <w:sz w:val="22"/>
              </w:rPr>
              <w:t>Landsbygdsdepartementet</w:t>
            </w:r>
          </w:p>
        </w:tc>
      </w:tr>
      <w:tr w:rsidR="00B72C70" w:rsidTr="00DF706C">
        <w:trPr>
          <w:trHeight w:val="284"/>
        </w:trPr>
        <w:tc>
          <w:tcPr>
            <w:tcW w:w="4911" w:type="dxa"/>
          </w:tcPr>
          <w:p w:rsidR="00B72C70" w:rsidRDefault="00B72C70" w:rsidP="00DF706C">
            <w:pPr>
              <w:pStyle w:val="Avsndare"/>
              <w:framePr w:h="2483" w:wrap="notBeside" w:x="1504"/>
              <w:rPr>
                <w:bCs/>
                <w:iCs/>
              </w:rPr>
            </w:pPr>
          </w:p>
        </w:tc>
      </w:tr>
      <w:tr w:rsidR="00B72C70" w:rsidTr="00DF706C">
        <w:trPr>
          <w:trHeight w:val="284"/>
        </w:trPr>
        <w:tc>
          <w:tcPr>
            <w:tcW w:w="4911" w:type="dxa"/>
          </w:tcPr>
          <w:p w:rsidR="00B72C70" w:rsidRDefault="00B72C70" w:rsidP="00DF706C">
            <w:pPr>
              <w:pStyle w:val="Avsndare"/>
              <w:framePr w:h="2483" w:wrap="notBeside" w:x="1504"/>
              <w:rPr>
                <w:bCs/>
                <w:iCs/>
              </w:rPr>
            </w:pPr>
          </w:p>
        </w:tc>
      </w:tr>
    </w:tbl>
    <w:p w:rsidR="00B72C70" w:rsidRPr="00191F50" w:rsidRDefault="00B72C70" w:rsidP="005F24BF">
      <w:pPr>
        <w:framePr w:w="4400" w:h="2523" w:wrap="notBeside" w:vAnchor="page" w:hAnchor="page" w:x="6453" w:y="2445"/>
        <w:ind w:left="142"/>
      </w:pPr>
      <w:r>
        <w:t>2012-06-11</w:t>
      </w:r>
    </w:p>
    <w:p w:rsidR="00B72C70" w:rsidRDefault="00B72C70" w:rsidP="005F24BF">
      <w:pPr>
        <w:pStyle w:val="RKrubrik"/>
        <w:pBdr>
          <w:bottom w:val="single" w:sz="4" w:space="1" w:color="000000"/>
        </w:pBdr>
        <w:spacing w:before="0" w:after="0"/>
      </w:pPr>
      <w:r>
        <w:t>Kommenterad dagordning inför Jordbruks- och fiskerådet den 18 juni 2012</w:t>
      </w:r>
    </w:p>
    <w:p w:rsidR="00B72C70" w:rsidRPr="00AA333D" w:rsidRDefault="00B72C70" w:rsidP="00F61C57">
      <w:pPr>
        <w:pStyle w:val="RKrubrik"/>
      </w:pPr>
      <w:r>
        <w:t xml:space="preserve">1. </w:t>
      </w:r>
      <w:r w:rsidRPr="00AA333D">
        <w:t>Godkännande av dagordningen</w:t>
      </w:r>
    </w:p>
    <w:p w:rsidR="00B72C70" w:rsidRPr="00AA333D" w:rsidRDefault="00B72C70" w:rsidP="005A1D9D">
      <w:pPr>
        <w:outlineLvl w:val="0"/>
      </w:pPr>
    </w:p>
    <w:p w:rsidR="00B72C70" w:rsidRPr="00AA333D" w:rsidRDefault="00B72C70" w:rsidP="005A1D9D">
      <w:pPr>
        <w:jc w:val="both"/>
        <w:outlineLvl w:val="0"/>
        <w:rPr>
          <w:b/>
          <w:bCs/>
          <w:u w:val="single"/>
        </w:rPr>
      </w:pPr>
      <w:r w:rsidRPr="00AA333D">
        <w:rPr>
          <w:b/>
          <w:bCs/>
          <w:u w:val="single"/>
        </w:rPr>
        <w:t>Lagstiftningsöverläggningar</w:t>
      </w:r>
    </w:p>
    <w:p w:rsidR="00B72C70" w:rsidRPr="00AA333D" w:rsidRDefault="00B72C70" w:rsidP="005A1D9D">
      <w:pPr>
        <w:rPr>
          <w:b/>
          <w:i/>
        </w:rPr>
      </w:pPr>
      <w:r w:rsidRPr="00AA333D">
        <w:rPr>
          <w:b/>
          <w:bCs/>
          <w:i/>
          <w:lang w:eastAsia="sl-SI"/>
        </w:rPr>
        <w:t>(Offentlig överläggning i enlighet med artikel 16.8 i fördraget om Europeiska unionen)</w:t>
      </w:r>
    </w:p>
    <w:p w:rsidR="00B72C70" w:rsidRPr="00AA333D" w:rsidRDefault="00B72C70" w:rsidP="00F61C57">
      <w:pPr>
        <w:pStyle w:val="RKrubrik"/>
      </w:pPr>
      <w:r>
        <w:t xml:space="preserve">2. </w:t>
      </w:r>
      <w:r w:rsidRPr="00AA333D">
        <w:t>(ev.) Godkännande av A-punktslistan</w:t>
      </w:r>
    </w:p>
    <w:p w:rsidR="00B72C70" w:rsidRPr="00AA333D" w:rsidRDefault="00B72C70" w:rsidP="00F61C57">
      <w:pPr>
        <w:pStyle w:val="RKrubrik"/>
      </w:pPr>
      <w:r w:rsidRPr="00AA333D">
        <w:t>JORDBRUK</w:t>
      </w:r>
    </w:p>
    <w:p w:rsidR="00B72C70" w:rsidRPr="00BF46EA" w:rsidRDefault="00B72C70" w:rsidP="00F61C57">
      <w:pPr>
        <w:pStyle w:val="RKrubrik"/>
        <w:rPr>
          <w:u w:val="single"/>
        </w:rPr>
      </w:pPr>
      <w:r w:rsidRPr="00BF46EA">
        <w:rPr>
          <w:u w:val="single"/>
        </w:rPr>
        <w:t>SJK-punkter</w:t>
      </w:r>
    </w:p>
    <w:p w:rsidR="00B72C70" w:rsidRPr="00AA333D" w:rsidRDefault="00B72C70" w:rsidP="00F61C57">
      <w:pPr>
        <w:pStyle w:val="RKrubrik"/>
        <w:rPr>
          <w:szCs w:val="24"/>
        </w:rPr>
      </w:pPr>
      <w:r>
        <w:rPr>
          <w:szCs w:val="24"/>
        </w:rPr>
        <w:t>3.</w:t>
      </w:r>
      <w:r w:rsidRPr="00AA333D">
        <w:rPr>
          <w:szCs w:val="24"/>
        </w:rPr>
        <w:t>Reformen av den gemensamma jordbrukspolitiken – Ordförandeskapets lägesrapport</w:t>
      </w:r>
    </w:p>
    <w:p w:rsidR="00B72C70" w:rsidRPr="00FF495B" w:rsidRDefault="00B72C70" w:rsidP="00FF495B">
      <w:pPr>
        <w:pStyle w:val="RKnormal"/>
        <w:rPr>
          <w:b/>
          <w:i/>
        </w:rPr>
      </w:pPr>
      <w:r>
        <w:rPr>
          <w:b/>
          <w:i/>
        </w:rPr>
        <w:t xml:space="preserve">- </w:t>
      </w:r>
      <w:r w:rsidRPr="00FF495B">
        <w:rPr>
          <w:b/>
          <w:i/>
        </w:rPr>
        <w:t>Förslag till Europaparlamentets och rådets förordning om regler för direktstöd för jordbrukare inom de stödordningar som ingår i den gemensamma jordbrukspolitiken (förordningen om direktstöd)</w:t>
      </w:r>
    </w:p>
    <w:p w:rsidR="00B72C70" w:rsidRDefault="00B72C70" w:rsidP="00BF46EA">
      <w:pPr>
        <w:pStyle w:val="RKnormal"/>
      </w:pPr>
      <w:r w:rsidRPr="00AA333D">
        <w:t>15396/3/11 REV 3 AGRI 679 AGRIFIN 87 CODEC 1656</w:t>
      </w:r>
    </w:p>
    <w:p w:rsidR="00B72C70" w:rsidRPr="00AA333D" w:rsidRDefault="00B72C70" w:rsidP="00BF46EA">
      <w:pPr>
        <w:pStyle w:val="RKnormal"/>
      </w:pPr>
    </w:p>
    <w:p w:rsidR="00B72C70" w:rsidRPr="00FF495B" w:rsidRDefault="00B72C70" w:rsidP="00FF495B">
      <w:pPr>
        <w:pStyle w:val="RKnormal"/>
        <w:rPr>
          <w:b/>
          <w:i/>
        </w:rPr>
      </w:pPr>
      <w:r w:rsidRPr="00FF495B">
        <w:rPr>
          <w:b/>
          <w:i/>
        </w:rPr>
        <w:t xml:space="preserve"> Förslag till Europaparlamentets och rådets förordning om upprättande av en samlad marknadsordning för jordbruksprodukter (förordningen om en samlad marknadsordning)</w:t>
      </w:r>
    </w:p>
    <w:p w:rsidR="00B72C70" w:rsidRDefault="00B72C70" w:rsidP="00BF46EA">
      <w:pPr>
        <w:pStyle w:val="RKnormal"/>
      </w:pPr>
      <w:r w:rsidRPr="00AA333D">
        <w:t>15397/2/11 REV 2 AGRI 680 AGRIFIN 88 AGRIORG 178 CODEC 1657</w:t>
      </w:r>
    </w:p>
    <w:p w:rsidR="00B72C70" w:rsidRPr="00AA333D" w:rsidRDefault="00B72C70" w:rsidP="00BF46EA">
      <w:pPr>
        <w:pStyle w:val="RKnormal"/>
      </w:pPr>
    </w:p>
    <w:p w:rsidR="00B72C70" w:rsidRPr="00FF495B" w:rsidRDefault="00B72C70" w:rsidP="00FF495B">
      <w:pPr>
        <w:pStyle w:val="RKnormal"/>
        <w:rPr>
          <w:b/>
          <w:i/>
        </w:rPr>
      </w:pPr>
      <w:r>
        <w:rPr>
          <w:b/>
          <w:i/>
        </w:rPr>
        <w:t xml:space="preserve">- </w:t>
      </w:r>
      <w:r w:rsidRPr="00FF495B">
        <w:rPr>
          <w:b/>
          <w:i/>
        </w:rPr>
        <w:t>Förslag till Europaparlamentets och rådets förordning om stöd till landsbygdsutveckling från Europeiska jordbruksfonden för landsbygdsutveckling (EJFLU) (förordningen om landsbygdsutveckling)</w:t>
      </w:r>
    </w:p>
    <w:p w:rsidR="00B72C70" w:rsidRDefault="00B72C70" w:rsidP="00FF495B">
      <w:pPr>
        <w:pStyle w:val="RKnormal"/>
        <w:rPr>
          <w:b/>
          <w:i/>
        </w:rPr>
      </w:pPr>
      <w:r w:rsidRPr="00AA333D">
        <w:t>15425/1/11 REV 1 AGRISTR 57 CODEC 1665</w:t>
      </w:r>
      <w:r w:rsidRPr="00FF495B">
        <w:rPr>
          <w:b/>
          <w:i/>
        </w:rPr>
        <w:t xml:space="preserve">) </w:t>
      </w:r>
    </w:p>
    <w:p w:rsidR="00B72C70" w:rsidRDefault="00B72C70" w:rsidP="00FF495B">
      <w:pPr>
        <w:pStyle w:val="RKnormal"/>
        <w:rPr>
          <w:b/>
          <w:i/>
        </w:rPr>
      </w:pPr>
    </w:p>
    <w:p w:rsidR="00B72C70" w:rsidRPr="00FF495B" w:rsidRDefault="00B72C70" w:rsidP="00FF495B">
      <w:pPr>
        <w:pStyle w:val="RKnormal"/>
      </w:pPr>
      <w:r>
        <w:rPr>
          <w:b/>
          <w:i/>
        </w:rPr>
        <w:t xml:space="preserve">- </w:t>
      </w:r>
      <w:r w:rsidRPr="00FF495B">
        <w:rPr>
          <w:b/>
          <w:i/>
        </w:rPr>
        <w:t>Förslag till Europaparlamentets och rådets förordning om finansiering, förvaltning och övervakning av den gemensamma jordbrukspolitiken (den horisontella förordningen)</w:t>
      </w:r>
    </w:p>
    <w:p w:rsidR="00B72C70" w:rsidRDefault="00B72C70" w:rsidP="00FF495B">
      <w:pPr>
        <w:pStyle w:val="RKnormal"/>
        <w:rPr>
          <w:b/>
          <w:i/>
        </w:rPr>
      </w:pPr>
      <w:r w:rsidRPr="00AA333D">
        <w:t>15426/1/11 REV 1 AGRI 684 AGRISTR 58 AGRIORG 181 AGRIFIN 92 CODEC 1666</w:t>
      </w:r>
      <w:r w:rsidRPr="00FF495B">
        <w:rPr>
          <w:b/>
          <w:i/>
        </w:rPr>
        <w:t>)</w:t>
      </w:r>
    </w:p>
    <w:p w:rsidR="00B72C70" w:rsidRDefault="00B72C70" w:rsidP="00FF495B">
      <w:pPr>
        <w:pStyle w:val="RKnormal"/>
        <w:rPr>
          <w:b/>
          <w:i/>
        </w:rPr>
      </w:pPr>
    </w:p>
    <w:p w:rsidR="00B72C70" w:rsidRPr="00FF495B" w:rsidRDefault="00B72C70" w:rsidP="00FF495B">
      <w:pPr>
        <w:pStyle w:val="RKnormal"/>
      </w:pPr>
      <w:r>
        <w:rPr>
          <w:b/>
          <w:i/>
        </w:rPr>
        <w:t xml:space="preserve">- </w:t>
      </w:r>
      <w:r w:rsidRPr="00FF495B">
        <w:rPr>
          <w:b/>
          <w:i/>
        </w:rPr>
        <w:t>Förslag till rådets förordning om fastställande av vissa stöd och bidrag inom ramen för den samlade marknadsordningen för jordbruksprodukter</w:t>
      </w:r>
    </w:p>
    <w:p w:rsidR="00B72C70" w:rsidRDefault="00B72C70" w:rsidP="00BF46EA">
      <w:pPr>
        <w:pStyle w:val="RKnormal"/>
      </w:pPr>
      <w:r w:rsidRPr="00AA333D">
        <w:t xml:space="preserve">15400/11 AGRI 683 AGRIORG 180 </w:t>
      </w:r>
    </w:p>
    <w:p w:rsidR="00B72C70" w:rsidRPr="00AA333D" w:rsidRDefault="00B72C70" w:rsidP="00BF46EA">
      <w:pPr>
        <w:pStyle w:val="RKnormal"/>
      </w:pPr>
    </w:p>
    <w:p w:rsidR="00B72C70" w:rsidRPr="00FF495B" w:rsidRDefault="00B72C70" w:rsidP="00FF495B">
      <w:pPr>
        <w:pStyle w:val="RKnormal"/>
        <w:rPr>
          <w:b/>
          <w:i/>
        </w:rPr>
      </w:pPr>
      <w:r>
        <w:rPr>
          <w:b/>
          <w:i/>
        </w:rPr>
        <w:t xml:space="preserve">- </w:t>
      </w:r>
      <w:r w:rsidRPr="00FF495B">
        <w:rPr>
          <w:b/>
          <w:i/>
        </w:rPr>
        <w:t>Förslag till Europaparlamentets och rådets förordning om ändring av rådets förordning (EG) nr 73/2009 vad gäller tillämpningen av direktstöd till jordbrukare avseende år 2013</w:t>
      </w:r>
    </w:p>
    <w:p w:rsidR="00B72C70" w:rsidRDefault="00B72C70" w:rsidP="00BF46EA">
      <w:pPr>
        <w:pStyle w:val="RKnormal"/>
      </w:pPr>
      <w:r w:rsidRPr="00AA333D">
        <w:t>15398/11 AGRI 681 AGRIFIN 89 CODEC 1658</w:t>
      </w:r>
    </w:p>
    <w:p w:rsidR="00B72C70" w:rsidRPr="00AA333D" w:rsidRDefault="00B72C70" w:rsidP="00BF46EA">
      <w:pPr>
        <w:pStyle w:val="RKnormal"/>
      </w:pPr>
    </w:p>
    <w:p w:rsidR="00B72C70" w:rsidRPr="00FF495B" w:rsidRDefault="00B72C70" w:rsidP="00FF495B">
      <w:pPr>
        <w:pStyle w:val="RKnormal"/>
        <w:rPr>
          <w:b/>
          <w:i/>
        </w:rPr>
      </w:pPr>
      <w:r>
        <w:rPr>
          <w:b/>
          <w:i/>
        </w:rPr>
        <w:t>-</w:t>
      </w:r>
      <w:r w:rsidRPr="00FF495B">
        <w:rPr>
          <w:b/>
          <w:i/>
        </w:rPr>
        <w:t xml:space="preserve"> Förslag till Europaparlamentets och rådets förordning om ändring av förordning (EG) </w:t>
      </w:r>
      <w:r w:rsidRPr="00FF495B">
        <w:rPr>
          <w:b/>
          <w:i/>
        </w:rPr>
        <w:br/>
        <w:t>nr 1234/2007 om upprättande av en gemensam organisation av jordbruksmarknaderna och om särskilda bestämmelser för vissa jordbruksprodukter (förordningen om en samlad marknadsordning) vad gäller ordningen för systemet för enhetlig gårdsersättning för vinodlare</w:t>
      </w:r>
    </w:p>
    <w:p w:rsidR="00B72C70" w:rsidRDefault="00B72C70" w:rsidP="00BF46EA">
      <w:pPr>
        <w:pStyle w:val="RKnormal"/>
      </w:pPr>
      <w:r w:rsidRPr="00AA333D">
        <w:t>15399/11 AGRI 682 AGRIORG 179 AGRIFIN 90 CODEC 1659</w:t>
      </w:r>
    </w:p>
    <w:p w:rsidR="00B72C70" w:rsidRPr="00AA333D" w:rsidRDefault="00B72C70" w:rsidP="00BF46EA">
      <w:pPr>
        <w:pStyle w:val="RKnormal"/>
      </w:pPr>
    </w:p>
    <w:p w:rsidR="00B72C70" w:rsidRPr="00BF46EA" w:rsidRDefault="00B72C70" w:rsidP="00BF46EA">
      <w:pPr>
        <w:pStyle w:val="RKnormal"/>
        <w:numPr>
          <w:ilvl w:val="0"/>
          <w:numId w:val="12"/>
        </w:numPr>
        <w:rPr>
          <w:i/>
          <w:szCs w:val="24"/>
        </w:rPr>
      </w:pPr>
      <w:r w:rsidRPr="004B4FCF">
        <w:rPr>
          <w:i/>
          <w:szCs w:val="24"/>
        </w:rPr>
        <w:t>Föredragning av ordförandeskapet</w:t>
      </w:r>
    </w:p>
    <w:p w:rsidR="00B72C70" w:rsidRPr="00AA333D" w:rsidRDefault="00B72C70" w:rsidP="00BF46EA">
      <w:pPr>
        <w:pStyle w:val="RKnormal"/>
        <w:rPr>
          <w:bCs/>
          <w:szCs w:val="24"/>
        </w:rPr>
      </w:pPr>
      <w:r w:rsidRPr="00AA333D">
        <w:rPr>
          <w:bCs/>
          <w:szCs w:val="24"/>
        </w:rPr>
        <w:t>8949/12 AGRI 244 AGRIORG 90 AGRIFIN 72 AGRISTR 50</w:t>
      </w:r>
    </w:p>
    <w:p w:rsidR="00B72C70" w:rsidRPr="00470CA6" w:rsidRDefault="00B72C70" w:rsidP="00470CA6">
      <w:pPr>
        <w:pStyle w:val="RKnormal"/>
        <w:rPr>
          <w:bCs/>
          <w:szCs w:val="24"/>
        </w:rPr>
      </w:pPr>
      <w:r w:rsidRPr="00AA333D">
        <w:rPr>
          <w:bCs/>
          <w:szCs w:val="24"/>
        </w:rPr>
        <w:t>CODEC 1036</w:t>
      </w:r>
    </w:p>
    <w:p w:rsidR="00B72C70" w:rsidRDefault="00B72C70" w:rsidP="00470CA6">
      <w:pPr>
        <w:pStyle w:val="RKnormal"/>
        <w:rPr>
          <w:szCs w:val="24"/>
        </w:rPr>
      </w:pPr>
    </w:p>
    <w:p w:rsidR="00B72C70" w:rsidRDefault="00B72C70" w:rsidP="00470CA6">
      <w:pPr>
        <w:pStyle w:val="RKnormal"/>
        <w:rPr>
          <w:i/>
          <w:szCs w:val="24"/>
        </w:rPr>
      </w:pPr>
      <w:r>
        <w:rPr>
          <w:i/>
          <w:szCs w:val="24"/>
        </w:rPr>
        <w:t>Rättslig grund</w:t>
      </w:r>
    </w:p>
    <w:p w:rsidR="00B72C70" w:rsidRDefault="00B72C70" w:rsidP="00470CA6">
      <w:pPr>
        <w:pStyle w:val="RKnormal"/>
        <w:rPr>
          <w:szCs w:val="24"/>
        </w:rPr>
      </w:pPr>
      <w:r>
        <w:rPr>
          <w:szCs w:val="24"/>
        </w:rPr>
        <w:softHyphen/>
        <w:t>-</w:t>
      </w:r>
    </w:p>
    <w:p w:rsidR="00B72C70" w:rsidRDefault="00B72C70" w:rsidP="00470CA6">
      <w:pPr>
        <w:pStyle w:val="RKnormal"/>
        <w:rPr>
          <w:szCs w:val="24"/>
        </w:rPr>
      </w:pPr>
    </w:p>
    <w:p w:rsidR="00B72C70" w:rsidRDefault="00B72C70" w:rsidP="00470CA6">
      <w:pPr>
        <w:pStyle w:val="RKnormal"/>
        <w:rPr>
          <w:i/>
          <w:szCs w:val="24"/>
        </w:rPr>
      </w:pPr>
      <w:r>
        <w:rPr>
          <w:i/>
          <w:szCs w:val="24"/>
        </w:rPr>
        <w:t>Bakgrund</w:t>
      </w:r>
    </w:p>
    <w:p w:rsidR="00B72C70" w:rsidRDefault="00B72C70" w:rsidP="00470CA6">
      <w:pPr>
        <w:pStyle w:val="RKnormal"/>
      </w:pPr>
      <w:r>
        <w:t>Det danska ordförandeskapet kommer att föredra ministerrådet lägesrapporten. Rapporten behandlar rådsförhandlingarna om GJP-reformens alla lagstiftnings</w:t>
      </w:r>
      <w:r>
        <w:softHyphen/>
        <w:t>förslag. Den 11 juni kommer rapporten att presenteras på Särskilda jordbrukskommitténs (SJK:s) möte. Det är ordförandeskapet som ansvarar för innehållet i rapporten, och den förväntas enbart noteras av rådet.</w:t>
      </w:r>
    </w:p>
    <w:p w:rsidR="00B72C70" w:rsidRDefault="00B72C70" w:rsidP="00470CA6">
      <w:pPr>
        <w:pStyle w:val="RKnormal"/>
      </w:pPr>
    </w:p>
    <w:p w:rsidR="00B72C70" w:rsidRDefault="00B72C70" w:rsidP="00470CA6">
      <w:pPr>
        <w:pStyle w:val="RKnormal"/>
        <w:rPr>
          <w:i/>
          <w:iCs/>
        </w:rPr>
      </w:pPr>
      <w:r>
        <w:rPr>
          <w:i/>
          <w:iCs/>
        </w:rPr>
        <w:t>Förslag till svensk ståndpunkt</w:t>
      </w:r>
    </w:p>
    <w:p w:rsidR="00B72C70" w:rsidRDefault="00B72C70" w:rsidP="00470CA6">
      <w:pPr>
        <w:pStyle w:val="RKnormal"/>
        <w:rPr>
          <w:szCs w:val="24"/>
        </w:rPr>
      </w:pPr>
      <w:r>
        <w:rPr>
          <w:szCs w:val="24"/>
        </w:rPr>
        <w:t xml:space="preserve">I stort återspeglar framstegsrapporten diskussionerna i rådet om GJP-reformen. De svenska ståndpunkterna när det gäller reformen av GJP har framförts löpande under reformarbetets gång, och finns i huvudsak återspeglade i rapporten. </w:t>
      </w:r>
    </w:p>
    <w:p w:rsidR="00B72C70" w:rsidRDefault="00B72C70" w:rsidP="00470CA6">
      <w:pPr>
        <w:pStyle w:val="RKnormal"/>
        <w:rPr>
          <w:szCs w:val="24"/>
        </w:rPr>
      </w:pPr>
    </w:p>
    <w:p w:rsidR="00B72C70" w:rsidRDefault="00B72C70" w:rsidP="00470CA6">
      <w:pPr>
        <w:pStyle w:val="RKnormal"/>
        <w:rPr>
          <w:i/>
          <w:iCs/>
        </w:rPr>
      </w:pPr>
      <w:r>
        <w:rPr>
          <w:i/>
          <w:iCs/>
        </w:rPr>
        <w:t>EU-nämnden och MJU</w:t>
      </w:r>
    </w:p>
    <w:p w:rsidR="00B72C70" w:rsidRPr="00205AF1" w:rsidRDefault="00B72C70" w:rsidP="00470CA6">
      <w:pPr>
        <w:pStyle w:val="RKnormal"/>
        <w:rPr>
          <w:szCs w:val="24"/>
        </w:rPr>
      </w:pPr>
      <w:r>
        <w:rPr>
          <w:szCs w:val="24"/>
        </w:rPr>
        <w:t xml:space="preserve">Information i MJU och samråd med EU-nämnden om GJP-reformen har skett löpande under våren. </w:t>
      </w:r>
    </w:p>
    <w:p w:rsidR="00B72C70" w:rsidRDefault="00B72C70" w:rsidP="00BF46EA">
      <w:pPr>
        <w:pStyle w:val="RKnormal"/>
        <w:rPr>
          <w:szCs w:val="24"/>
        </w:rPr>
      </w:pPr>
    </w:p>
    <w:p w:rsidR="00B72C70" w:rsidRPr="00AA333D" w:rsidRDefault="00B72C70" w:rsidP="00F61C57">
      <w:pPr>
        <w:pStyle w:val="RKrubrik"/>
      </w:pPr>
      <w:r w:rsidRPr="00AA333D">
        <w:t>4</w:t>
      </w:r>
      <w:r>
        <w:t xml:space="preserve">. </w:t>
      </w:r>
      <w:r w:rsidRPr="00AA333D">
        <w:t xml:space="preserve">Reformen av den gemensamma jordbrukspolitiken </w:t>
      </w:r>
      <w:r w:rsidRPr="004B4FCF">
        <w:t>– Landsbygdsutveckling</w:t>
      </w:r>
    </w:p>
    <w:p w:rsidR="00B72C70" w:rsidRPr="00FF495B" w:rsidRDefault="00B72C70" w:rsidP="00BF46EA">
      <w:pPr>
        <w:pStyle w:val="RKnormal"/>
        <w:rPr>
          <w:i/>
        </w:rPr>
      </w:pPr>
      <w:r w:rsidRPr="00FF495B">
        <w:rPr>
          <w:i/>
        </w:rPr>
        <w:t>Förslag till Europaparlamentets och rådets förordning om stöd till landsbygdsutveckling från Europeiska jordbruksfonden för landsbygdsutveckling (EJFLU)</w:t>
      </w:r>
    </w:p>
    <w:p w:rsidR="00B72C70" w:rsidRPr="00AA333D" w:rsidRDefault="00B72C70" w:rsidP="00BF46EA">
      <w:pPr>
        <w:pStyle w:val="RKnormal"/>
        <w:rPr>
          <w:szCs w:val="24"/>
        </w:rPr>
      </w:pPr>
      <w:r w:rsidRPr="00AA333D">
        <w:rPr>
          <w:bCs/>
          <w:szCs w:val="24"/>
        </w:rPr>
        <w:t xml:space="preserve">10687/12 </w:t>
      </w:r>
      <w:r w:rsidRPr="00AA333D">
        <w:rPr>
          <w:szCs w:val="24"/>
        </w:rPr>
        <w:t>AGRI 363 AGRISTR 73 CODEC 1515</w:t>
      </w:r>
    </w:p>
    <w:p w:rsidR="00B72C70" w:rsidRDefault="00B72C70" w:rsidP="00BF46EA">
      <w:pPr>
        <w:pStyle w:val="RKnormal"/>
        <w:numPr>
          <w:ilvl w:val="0"/>
          <w:numId w:val="11"/>
        </w:numPr>
        <w:rPr>
          <w:i/>
          <w:szCs w:val="24"/>
        </w:rPr>
      </w:pPr>
      <w:r w:rsidRPr="004B4FCF">
        <w:rPr>
          <w:i/>
          <w:szCs w:val="24"/>
        </w:rPr>
        <w:t>Riktlinjedebatt</w:t>
      </w:r>
    </w:p>
    <w:p w:rsidR="00B72C70" w:rsidRDefault="00B72C70" w:rsidP="006C40BC">
      <w:pPr>
        <w:pStyle w:val="RKnormal"/>
        <w:rPr>
          <w:i/>
          <w:szCs w:val="24"/>
        </w:rPr>
      </w:pPr>
    </w:p>
    <w:p w:rsidR="00B72C70" w:rsidRDefault="00B72C70" w:rsidP="006C40BC">
      <w:pPr>
        <w:pStyle w:val="RKnormal"/>
        <w:rPr>
          <w:i/>
          <w:iCs/>
        </w:rPr>
      </w:pPr>
      <w:r>
        <w:rPr>
          <w:i/>
          <w:iCs/>
        </w:rPr>
        <w:t>Rättslig grund</w:t>
      </w:r>
    </w:p>
    <w:p w:rsidR="00B72C70" w:rsidRPr="005D128C" w:rsidRDefault="00B72C70" w:rsidP="006C40BC">
      <w:pPr>
        <w:pStyle w:val="RKnormal"/>
        <w:rPr>
          <w:iCs/>
        </w:rPr>
      </w:pPr>
      <w:r>
        <w:rPr>
          <w:iCs/>
        </w:rPr>
        <w:t>Artiklarna 43.2</w:t>
      </w:r>
      <w:r w:rsidRPr="000D338F">
        <w:rPr>
          <w:iCs/>
        </w:rPr>
        <w:t xml:space="preserve"> i fördraget om Europeiska unionens funktionssätt, EUF-fördraget</w:t>
      </w:r>
      <w:r>
        <w:rPr>
          <w:iCs/>
        </w:rPr>
        <w:t>. Beslut fattas enligt det ordinarie beslutsförfarandet. Rådet fattar beslut med kvalificerad majoritet.</w:t>
      </w:r>
    </w:p>
    <w:p w:rsidR="00B72C70" w:rsidRDefault="00B72C70" w:rsidP="006C40BC">
      <w:pPr>
        <w:pStyle w:val="RKnormal"/>
        <w:rPr>
          <w:i/>
          <w:iCs/>
        </w:rPr>
      </w:pPr>
    </w:p>
    <w:p w:rsidR="00B72C70" w:rsidRDefault="00B72C70" w:rsidP="006C40BC">
      <w:pPr>
        <w:pStyle w:val="RKnormal"/>
        <w:rPr>
          <w:i/>
          <w:iCs/>
        </w:rPr>
      </w:pPr>
      <w:r>
        <w:rPr>
          <w:i/>
          <w:iCs/>
        </w:rPr>
        <w:t>Bakgrund</w:t>
      </w:r>
    </w:p>
    <w:p w:rsidR="00B72C70" w:rsidRDefault="00B72C70" w:rsidP="006C40BC">
      <w:r w:rsidRPr="00FD64DE">
        <w:t>Kommissionen presenterade den 12 oktober 2011 lagförslag för den framtida inriktningen av den gemensamma jordbrukspolitiken (GJP). Kommissionen föreslår att GJP även fortsättningsvis ska bestå av en stark gemensam politik som är uppbyggd kring två pelare. Pelare I (direkt- och marknadsstöd) ska få ett större miljöfokus och fördelas mer rättvist mellan medlemsstaterna. Pelare II (miljö- och landsbygdsstöd) ska fokusera på konkurrenskraft, innovation, miljö och klimat. Övergripande målsättningar för GJP är tryggad livsmedelsförsörjning inom EU och globalt, hållbart nyttjande av naturresurser samt dessutom bibehållandet av levande landsbygder, där jordbruket utgör kärn</w:t>
      </w:r>
      <w:r>
        <w:softHyphen/>
      </w:r>
      <w:r w:rsidRPr="00FD64DE">
        <w:t>verksam</w:t>
      </w:r>
      <w:r>
        <w:softHyphen/>
      </w:r>
      <w:r w:rsidRPr="00FD64DE">
        <w:t>heten som skapar lokal sysselsättning.</w:t>
      </w:r>
    </w:p>
    <w:p w:rsidR="00B72C70" w:rsidRDefault="00B72C70" w:rsidP="006C40BC">
      <w:pPr>
        <w:pStyle w:val="RKnormal"/>
      </w:pPr>
    </w:p>
    <w:p w:rsidR="00B72C70" w:rsidRDefault="00B72C70" w:rsidP="006C40BC">
      <w:pPr>
        <w:pStyle w:val="RKnormal"/>
      </w:pPr>
      <w:r w:rsidRPr="00E74024">
        <w:t xml:space="preserve">Vid rådsmötet den 14-15 maj 2012 </w:t>
      </w:r>
      <w:r>
        <w:t xml:space="preserve">diskuterades miljöanpassningen av den gemensamma jordbrukspolitiken som enligt kommissionens förslag uppnås genom en så kallad förgröning av direktstöden, stärkta tvärvillkor och krav på att minst 25 procent av de nationella kuverten för pelare II avsätts till miljöersättningar, ersättning för ekologisk produktion samt stöd till områden med naturliga begränsningar. </w:t>
      </w:r>
    </w:p>
    <w:p w:rsidR="00B72C70" w:rsidRDefault="00B72C70" w:rsidP="006C40BC">
      <w:pPr>
        <w:pStyle w:val="RKnormal"/>
      </w:pPr>
    </w:p>
    <w:p w:rsidR="00B72C70" w:rsidRDefault="00B72C70" w:rsidP="006C40BC">
      <w:r>
        <w:t>Vid mötet den 18 juni är ordförandeskapets avsikt att presentera och diskutera utestående frågor i förslaget till landsbygds</w:t>
      </w:r>
      <w:r>
        <w:softHyphen/>
        <w:t>utvecklings</w:t>
      </w:r>
      <w:r>
        <w:softHyphen/>
        <w:t>förordning.</w:t>
      </w:r>
    </w:p>
    <w:p w:rsidR="00B72C70" w:rsidRDefault="00B72C70" w:rsidP="006C40BC">
      <w:pPr>
        <w:pStyle w:val="RKnormal"/>
      </w:pPr>
    </w:p>
    <w:p w:rsidR="00B72C70" w:rsidRDefault="00B72C70" w:rsidP="006C40BC">
      <w:pPr>
        <w:pStyle w:val="RKnormal"/>
        <w:rPr>
          <w:i/>
          <w:iCs/>
        </w:rPr>
      </w:pPr>
      <w:r>
        <w:rPr>
          <w:i/>
          <w:iCs/>
        </w:rPr>
        <w:t>Förslag till svensk ståndpunkt</w:t>
      </w:r>
    </w:p>
    <w:p w:rsidR="00B72C70" w:rsidRDefault="00B72C70" w:rsidP="006C40BC">
      <w:pPr>
        <w:pStyle w:val="RKnormal"/>
        <w:rPr>
          <w:i/>
          <w:iCs/>
        </w:rPr>
      </w:pPr>
      <w:r>
        <w:t>Det danska ordförandeskapet har i förhållande till kommissionens ursprungsförslag framförallt drivit frågan om förenklingar och har presenterat ett antal reviderade förslag till utformning av åtgärder och programadministration. Sverige har ställt sig positivt till ordförande</w:t>
      </w:r>
      <w:r>
        <w:softHyphen/>
        <w:t>skapets ambition och bedömer att förslagen i många fall går i linje med svenska önskemål. Exempelvis har Sverige fått gehör för kortare miljöåtaganden och ett tydligare fokus på djurvälfärden.</w:t>
      </w:r>
    </w:p>
    <w:p w:rsidR="00B72C70" w:rsidRDefault="00B72C70" w:rsidP="006C40BC">
      <w:pPr>
        <w:pStyle w:val="RKnormal"/>
        <w:rPr>
          <w:i/>
          <w:iCs/>
        </w:rPr>
      </w:pPr>
    </w:p>
    <w:p w:rsidR="00B72C70" w:rsidRDefault="00B72C70" w:rsidP="006C40BC">
      <w:pPr>
        <w:pStyle w:val="RKnormal"/>
        <w:rPr>
          <w:i/>
          <w:iCs/>
        </w:rPr>
      </w:pPr>
      <w:r>
        <w:rPr>
          <w:i/>
          <w:iCs/>
        </w:rPr>
        <w:t>EU-nämnden och MJU</w:t>
      </w:r>
    </w:p>
    <w:p w:rsidR="00B72C70" w:rsidRDefault="00B72C70" w:rsidP="006C40BC">
      <w:pPr>
        <w:pStyle w:val="RKnormal"/>
      </w:pPr>
      <w:r w:rsidRPr="00EC3603">
        <w:t xml:space="preserve">Förslagen till reform av landsbygdsutvecklingsförordningen var senast föremål för information i MJU och samråd med EU-nämnden inför Jordbruks- och fiskerådet den </w:t>
      </w:r>
      <w:r>
        <w:t>14 december 2011.</w:t>
      </w:r>
    </w:p>
    <w:p w:rsidR="00B72C70" w:rsidRDefault="00B72C70" w:rsidP="006C40BC">
      <w:pPr>
        <w:pStyle w:val="RKnormal"/>
      </w:pPr>
    </w:p>
    <w:p w:rsidR="00B72C70" w:rsidRPr="00BF46EA" w:rsidRDefault="00B72C70" w:rsidP="00F61C57">
      <w:pPr>
        <w:pStyle w:val="RKrubrik"/>
        <w:rPr>
          <w:bCs/>
          <w:szCs w:val="24"/>
          <w:u w:val="single"/>
        </w:rPr>
      </w:pPr>
      <w:r w:rsidRPr="00BF46EA">
        <w:rPr>
          <w:bCs/>
          <w:szCs w:val="24"/>
          <w:u w:val="single"/>
        </w:rPr>
        <w:t>Icke lagstiftande verksamhet</w:t>
      </w:r>
    </w:p>
    <w:p w:rsidR="00B72C70" w:rsidRPr="00AA333D" w:rsidRDefault="00B72C70" w:rsidP="00F61C57">
      <w:pPr>
        <w:pStyle w:val="RKrubrik"/>
      </w:pPr>
      <w:r w:rsidRPr="00AA333D">
        <w:t>5.</w:t>
      </w:r>
      <w:r w:rsidRPr="00AA333D">
        <w:tab/>
        <w:t>(ev.) Godkännande av A-punktslistan</w:t>
      </w:r>
    </w:p>
    <w:p w:rsidR="00B72C70" w:rsidRPr="00F61C57" w:rsidRDefault="00B72C70" w:rsidP="00F61C57">
      <w:pPr>
        <w:pStyle w:val="RKrubrik"/>
        <w:rPr>
          <w:szCs w:val="24"/>
          <w:u w:val="single"/>
        </w:rPr>
      </w:pPr>
      <w:r w:rsidRPr="00F61C57">
        <w:rPr>
          <w:szCs w:val="24"/>
          <w:u w:val="single"/>
        </w:rPr>
        <w:t>COREPER-PUNKTER</w:t>
      </w:r>
    </w:p>
    <w:p w:rsidR="00B72C70" w:rsidRPr="00AA333D" w:rsidRDefault="00B72C70" w:rsidP="00F61C57">
      <w:pPr>
        <w:pStyle w:val="RKrubrik"/>
        <w:rPr>
          <w:color w:val="000000"/>
          <w:szCs w:val="24"/>
        </w:rPr>
      </w:pPr>
      <w:r w:rsidRPr="00AA333D">
        <w:rPr>
          <w:color w:val="000000"/>
          <w:szCs w:val="24"/>
        </w:rPr>
        <w:t>6.</w:t>
      </w:r>
      <w:r>
        <w:rPr>
          <w:color w:val="000000"/>
          <w:szCs w:val="24"/>
        </w:rPr>
        <w:t xml:space="preserve"> </w:t>
      </w:r>
      <w:r w:rsidRPr="00AA333D">
        <w:rPr>
          <w:bCs/>
          <w:color w:val="000000"/>
          <w:szCs w:val="24"/>
        </w:rPr>
        <w:t xml:space="preserve">(ev.) </w:t>
      </w:r>
      <w:r w:rsidRPr="00AA333D">
        <w:rPr>
          <w:color w:val="000000"/>
          <w:szCs w:val="24"/>
        </w:rPr>
        <w:t>Meddelande från kommissionen till Europaparlamentet, rådet och Europeiska ekonomiska och sociala kommittén om EU:s strategi för djurskydd och djurs välbefinnande 2012–2015</w:t>
      </w:r>
    </w:p>
    <w:p w:rsidR="00B72C70" w:rsidRPr="00AA333D" w:rsidRDefault="00B72C70" w:rsidP="00F61C57">
      <w:pPr>
        <w:pStyle w:val="RKrubrik"/>
        <w:rPr>
          <w:color w:val="000000"/>
          <w:szCs w:val="24"/>
        </w:rPr>
      </w:pPr>
      <w:r>
        <w:rPr>
          <w:color w:val="000000"/>
          <w:szCs w:val="24"/>
        </w:rPr>
        <w:t xml:space="preserve">- </w:t>
      </w:r>
      <w:r w:rsidRPr="00AA333D">
        <w:rPr>
          <w:bCs/>
          <w:color w:val="000000"/>
          <w:szCs w:val="24"/>
        </w:rPr>
        <w:t xml:space="preserve">(ev.) </w:t>
      </w:r>
      <w:r w:rsidRPr="00AA333D">
        <w:rPr>
          <w:color w:val="000000"/>
          <w:szCs w:val="24"/>
        </w:rPr>
        <w:t>Rapport från kommissionen till Europaparlamentet och rådet om effekterna av rådets förordning (EG) nr 1/2005 om skydd av djur under transport</w:t>
      </w:r>
    </w:p>
    <w:p w:rsidR="00B72C70" w:rsidRPr="00F61C57" w:rsidRDefault="00B72C70" w:rsidP="00F61C57">
      <w:pPr>
        <w:pStyle w:val="RKnormal"/>
        <w:rPr>
          <w:i/>
        </w:rPr>
      </w:pPr>
      <w:r w:rsidRPr="00F61C57">
        <w:rPr>
          <w:i/>
        </w:rPr>
        <w:t>- Antagande av rådets slutsatser</w:t>
      </w:r>
    </w:p>
    <w:p w:rsidR="00B72C70" w:rsidRPr="00AA333D" w:rsidRDefault="00B72C70" w:rsidP="00F61C57">
      <w:pPr>
        <w:pStyle w:val="RKnormal"/>
      </w:pPr>
      <w:r w:rsidRPr="00AA333D">
        <w:t>10478/12 AGRILEG 75 VET 42</w:t>
      </w:r>
    </w:p>
    <w:p w:rsidR="00B72C70" w:rsidRDefault="00B72C70" w:rsidP="00F61C57">
      <w:pPr>
        <w:pStyle w:val="RKnormal"/>
      </w:pPr>
      <w:r w:rsidRPr="00AA333D">
        <w:t>+ ADD 1 + ADD 2</w:t>
      </w:r>
    </w:p>
    <w:p w:rsidR="00B72C70" w:rsidRDefault="00B72C70" w:rsidP="00F61C57">
      <w:pPr>
        <w:pStyle w:val="RKnormal"/>
      </w:pPr>
    </w:p>
    <w:p w:rsidR="00B72C70" w:rsidRDefault="00B72C70" w:rsidP="00C43D07">
      <w:pPr>
        <w:pStyle w:val="RKnormal"/>
        <w:rPr>
          <w:i/>
          <w:iCs/>
        </w:rPr>
      </w:pPr>
      <w:r>
        <w:rPr>
          <w:i/>
          <w:iCs/>
        </w:rPr>
        <w:t>Rättslig grund</w:t>
      </w:r>
    </w:p>
    <w:p w:rsidR="00B72C70" w:rsidRDefault="00B72C70" w:rsidP="00C43D07">
      <w:pPr>
        <w:pStyle w:val="RKnormal"/>
        <w:rPr>
          <w:i/>
          <w:iCs/>
        </w:rPr>
      </w:pPr>
      <w:r>
        <w:rPr>
          <w:i/>
          <w:iCs/>
        </w:rPr>
        <w:t>-</w:t>
      </w:r>
    </w:p>
    <w:p w:rsidR="00B72C70" w:rsidRDefault="00B72C70" w:rsidP="00C43D07">
      <w:pPr>
        <w:pStyle w:val="RKnormal"/>
        <w:rPr>
          <w:i/>
          <w:iCs/>
        </w:rPr>
      </w:pPr>
    </w:p>
    <w:p w:rsidR="00B72C70" w:rsidRDefault="00B72C70" w:rsidP="00C43D07">
      <w:pPr>
        <w:pStyle w:val="RKnormal"/>
        <w:rPr>
          <w:i/>
          <w:iCs/>
        </w:rPr>
      </w:pPr>
      <w:r>
        <w:rPr>
          <w:i/>
          <w:iCs/>
        </w:rPr>
        <w:t>Bakgrund</w:t>
      </w:r>
    </w:p>
    <w:p w:rsidR="00B72C70" w:rsidRDefault="00B72C70" w:rsidP="00C43D07">
      <w:pPr>
        <w:pStyle w:val="RKnormal"/>
        <w:rPr>
          <w:szCs w:val="24"/>
          <w:lang/>
        </w:rPr>
      </w:pPr>
      <w:r>
        <w:t xml:space="preserve">Kommissionen </w:t>
      </w:r>
      <w:r w:rsidRPr="00627389">
        <w:rPr>
          <w:szCs w:val="24"/>
          <w:lang/>
        </w:rPr>
        <w:t xml:space="preserve">presenterade i </w:t>
      </w:r>
      <w:r>
        <w:rPr>
          <w:szCs w:val="24"/>
          <w:lang/>
        </w:rPr>
        <w:t>november</w:t>
      </w:r>
      <w:r w:rsidRPr="00627389">
        <w:rPr>
          <w:szCs w:val="24"/>
          <w:lang/>
        </w:rPr>
        <w:t xml:space="preserve"> 201</w:t>
      </w:r>
      <w:r>
        <w:rPr>
          <w:szCs w:val="24"/>
          <w:lang/>
        </w:rPr>
        <w:t>1</w:t>
      </w:r>
      <w:r w:rsidRPr="00627389">
        <w:rPr>
          <w:szCs w:val="24"/>
          <w:lang/>
        </w:rPr>
        <w:t xml:space="preserve"> </w:t>
      </w:r>
      <w:r>
        <w:rPr>
          <w:szCs w:val="24"/>
          <w:lang/>
        </w:rPr>
        <w:t xml:space="preserve">en rapport om effekterna av djurtransportförordningen. Av rapporten framgår bland annat att förordningen har haft vissa positiva effekter på djurskyddet men att det fortfarande finns allvarliga djurskyddsproblem i samband med att djur transporteras. Det konstateras också att förordningen inte är helt förenlig med aktuella vetenskapliga rön om djurs välbefinnande under transport. Kommissionen föreslår inte några ändringar i de gällande bestämmelserna utan fokuserar istället på åtgärder för att förbättra genomförandet av förordningen.  </w:t>
      </w:r>
    </w:p>
    <w:p w:rsidR="00B72C70" w:rsidRDefault="00B72C70" w:rsidP="00C43D07">
      <w:pPr>
        <w:pStyle w:val="RKnormal"/>
        <w:rPr>
          <w:szCs w:val="24"/>
          <w:lang/>
        </w:rPr>
      </w:pPr>
    </w:p>
    <w:p w:rsidR="00B72C70" w:rsidRDefault="00B72C70" w:rsidP="00C43D07">
      <w:pPr>
        <w:pStyle w:val="RKnormal"/>
        <w:rPr>
          <w:szCs w:val="24"/>
          <w:lang/>
        </w:rPr>
      </w:pPr>
      <w:r>
        <w:rPr>
          <w:szCs w:val="24"/>
          <w:lang/>
        </w:rPr>
        <w:t xml:space="preserve">I januari 2012 antog kommissionen en EU-strategi för djurskydd och djurs välbefinnande 2012 – 2015. Enligt denna ska kommissionen överväga behovet av ett reviderat regelverk för djurskydd och olika åtgärder för att förbättra efterlevnaden av gällande regler. Kommissionen aviserar även inrättandet av ett nätverk av referenscentra för djurskydd. </w:t>
      </w:r>
    </w:p>
    <w:p w:rsidR="00B72C70" w:rsidRDefault="00B72C70" w:rsidP="00C43D07">
      <w:pPr>
        <w:pStyle w:val="RKnormal"/>
        <w:rPr>
          <w:szCs w:val="24"/>
          <w:lang/>
        </w:rPr>
      </w:pPr>
    </w:p>
    <w:p w:rsidR="00B72C70" w:rsidRDefault="00B72C70" w:rsidP="00C43D07">
      <w:pPr>
        <w:pStyle w:val="RKnormal"/>
        <w:rPr>
          <w:szCs w:val="24"/>
          <w:lang/>
        </w:rPr>
      </w:pPr>
      <w:r>
        <w:rPr>
          <w:szCs w:val="24"/>
          <w:lang/>
        </w:rPr>
        <w:t xml:space="preserve">Det danska ordförandeskapet har för avsikt att rådet ska anta gemensamma rådsslutsatser om djurskyddsstrategin och rapporten om djurtransporter. </w:t>
      </w:r>
    </w:p>
    <w:p w:rsidR="00B72C70" w:rsidRDefault="00B72C70" w:rsidP="00C43D07">
      <w:pPr>
        <w:pStyle w:val="RKnormal"/>
        <w:rPr>
          <w:szCs w:val="24"/>
          <w:lang/>
        </w:rPr>
      </w:pPr>
    </w:p>
    <w:p w:rsidR="00B72C70" w:rsidRDefault="00B72C70" w:rsidP="00C43D07">
      <w:pPr>
        <w:pStyle w:val="RKnormal"/>
        <w:rPr>
          <w:szCs w:val="24"/>
          <w:lang/>
        </w:rPr>
      </w:pPr>
      <w:r>
        <w:rPr>
          <w:szCs w:val="24"/>
          <w:lang/>
        </w:rPr>
        <w:t xml:space="preserve">Sverige har under våren arbetat hårt för att slutsatserna, särskilt vad avser transportdelarna, ska vara mer långtgående från djurskyddssynpunkt än vad som föreslagits. </w:t>
      </w:r>
    </w:p>
    <w:p w:rsidR="00B72C70" w:rsidRDefault="00B72C70" w:rsidP="00C43D07">
      <w:pPr>
        <w:pStyle w:val="RKnormal"/>
        <w:rPr>
          <w:szCs w:val="24"/>
          <w:lang/>
        </w:rPr>
      </w:pPr>
    </w:p>
    <w:p w:rsidR="00B72C70" w:rsidRPr="00AF7425" w:rsidRDefault="00B72C70" w:rsidP="00C43D07">
      <w:pPr>
        <w:pStyle w:val="RKnormal"/>
        <w:rPr>
          <w:szCs w:val="24"/>
          <w:lang/>
        </w:rPr>
      </w:pPr>
      <w:r>
        <w:rPr>
          <w:szCs w:val="24"/>
          <w:lang/>
        </w:rPr>
        <w:t>Sverige har nått framgång med flera av de svenska ståndpunkter v</w:t>
      </w:r>
      <w:r w:rsidRPr="00AF7425">
        <w:rPr>
          <w:szCs w:val="24"/>
          <w:lang/>
        </w:rPr>
        <w:t>ad gäller djurskyddsstrategin</w:t>
      </w:r>
      <w:r>
        <w:rPr>
          <w:szCs w:val="24"/>
          <w:lang/>
        </w:rPr>
        <w:t xml:space="preserve"> och s</w:t>
      </w:r>
      <w:r w:rsidRPr="00AF7425">
        <w:rPr>
          <w:szCs w:val="24"/>
          <w:lang/>
        </w:rPr>
        <w:t>lutsatser</w:t>
      </w:r>
      <w:r>
        <w:rPr>
          <w:szCs w:val="24"/>
          <w:lang/>
        </w:rPr>
        <w:t>na</w:t>
      </w:r>
      <w:r w:rsidRPr="00AF7425">
        <w:rPr>
          <w:szCs w:val="24"/>
          <w:lang/>
        </w:rPr>
        <w:t xml:space="preserve"> </w:t>
      </w:r>
      <w:r>
        <w:rPr>
          <w:szCs w:val="24"/>
          <w:lang/>
        </w:rPr>
        <w:t xml:space="preserve">innehåller flera punkter </w:t>
      </w:r>
      <w:r w:rsidRPr="00AF7425">
        <w:rPr>
          <w:szCs w:val="24"/>
          <w:lang/>
        </w:rPr>
        <w:t>som är viktiga för Sverige. Särskilt kan nämnas att medlems</w:t>
      </w:r>
      <w:r>
        <w:rPr>
          <w:szCs w:val="24"/>
          <w:lang/>
        </w:rPr>
        <w:softHyphen/>
      </w:r>
      <w:r w:rsidRPr="00AF7425">
        <w:rPr>
          <w:szCs w:val="24"/>
          <w:lang/>
        </w:rPr>
        <w:t xml:space="preserve">staterna ska kunna tillämpa längre gående </w:t>
      </w:r>
      <w:r>
        <w:rPr>
          <w:szCs w:val="24"/>
          <w:lang/>
        </w:rPr>
        <w:t>djurskydds</w:t>
      </w:r>
      <w:r w:rsidRPr="00AF7425">
        <w:rPr>
          <w:szCs w:val="24"/>
          <w:lang/>
        </w:rPr>
        <w:t>regler (om de inte står i konflikt med EU-lagstiftning eller allvarligt påverkar den inre marknaden) och att rådet stöder inrättande av ett nätverk av referenscentra för djurskydd.</w:t>
      </w:r>
    </w:p>
    <w:p w:rsidR="00B72C70" w:rsidRDefault="00B72C70" w:rsidP="00C43D07">
      <w:pPr>
        <w:pStyle w:val="RKnormal"/>
        <w:rPr>
          <w:szCs w:val="24"/>
          <w:lang/>
        </w:rPr>
      </w:pPr>
    </w:p>
    <w:p w:rsidR="00B72C70" w:rsidRDefault="00B72C70" w:rsidP="00C43D07">
      <w:pPr>
        <w:pStyle w:val="RKnormal"/>
        <w:rPr>
          <w:szCs w:val="24"/>
          <w:lang/>
        </w:rPr>
      </w:pPr>
      <w:r>
        <w:rPr>
          <w:szCs w:val="24"/>
          <w:lang/>
        </w:rPr>
        <w:t>När det gäller transportfrågan har medlemsstaterna dock stått mycket långt ifrån varandra. Några medlemsstater anser i likhet med Sverige att de nu gällande bestämmel</w:t>
      </w:r>
      <w:r>
        <w:rPr>
          <w:szCs w:val="24"/>
          <w:lang/>
        </w:rPr>
        <w:softHyphen/>
        <w:t>serna på området måste ändras så att de är förenliga med aktuella vetenskapliga rön och vill också, i likhet med Sverige, att transport</w:t>
      </w:r>
      <w:r>
        <w:rPr>
          <w:szCs w:val="24"/>
          <w:lang/>
        </w:rPr>
        <w:softHyphen/>
        <w:t xml:space="preserve">tiderna för djuren ska begränsas. Andra medlemsstater är villiga att ändra vissa bestämmelser i en mer djurskyddsvänlig riktning men är motståndare till det svenska kravet om att slaktdjur ska få transporteras max 8 timmar. Flera andra medlemsstater – i praktiken majoriteten – är dock tydligt emot att göra några som helst förändringar i de gällande bestämmelserna. Dessa ansluter sig till kommissionens ståndpunkt, vilken innebär att redan gällande bestämmelser ska genomföras bättre. </w:t>
      </w:r>
    </w:p>
    <w:p w:rsidR="00B72C70" w:rsidRDefault="00B72C70" w:rsidP="00C43D07">
      <w:pPr>
        <w:pStyle w:val="RKnormal"/>
        <w:rPr>
          <w:szCs w:val="24"/>
          <w:lang/>
        </w:rPr>
      </w:pPr>
    </w:p>
    <w:p w:rsidR="00B72C70" w:rsidRDefault="00B72C70" w:rsidP="00C43D07">
      <w:pPr>
        <w:pStyle w:val="RKnormal"/>
        <w:rPr>
          <w:szCs w:val="24"/>
          <w:lang/>
        </w:rPr>
      </w:pPr>
      <w:r>
        <w:rPr>
          <w:szCs w:val="24"/>
          <w:lang/>
        </w:rPr>
        <w:t xml:space="preserve">Europaparlamentet förväntas </w:t>
      </w:r>
      <w:r w:rsidRPr="005443F1">
        <w:rPr>
          <w:szCs w:val="24"/>
          <w:lang/>
        </w:rPr>
        <w:t>anta resolutioner om</w:t>
      </w:r>
      <w:r>
        <w:rPr>
          <w:szCs w:val="24"/>
          <w:lang/>
        </w:rPr>
        <w:t xml:space="preserve"> djurskyddsstrategin i juli 2012 och om djurtransporter i september 2012. </w:t>
      </w:r>
    </w:p>
    <w:p w:rsidR="00B72C70" w:rsidRDefault="00B72C70" w:rsidP="00C43D07">
      <w:pPr>
        <w:pStyle w:val="RKnormal"/>
        <w:rPr>
          <w:i/>
          <w:iCs/>
        </w:rPr>
      </w:pPr>
    </w:p>
    <w:p w:rsidR="00B72C70" w:rsidRDefault="00B72C70" w:rsidP="00C43D07">
      <w:pPr>
        <w:pStyle w:val="RKnormal"/>
        <w:rPr>
          <w:i/>
          <w:iCs/>
        </w:rPr>
      </w:pPr>
      <w:r>
        <w:rPr>
          <w:i/>
          <w:iCs/>
        </w:rPr>
        <w:t>Förslag till svensk ståndpunkt</w:t>
      </w:r>
    </w:p>
    <w:p w:rsidR="00B72C70" w:rsidRDefault="00B72C70" w:rsidP="00C43D07">
      <w:pPr>
        <w:pStyle w:val="RKnormal"/>
      </w:pPr>
      <w:r>
        <w:t xml:space="preserve">Regeringen anser att Sverige ska ansluta sig till rådsslutsatserna (som antas med konsensus) då de visar en viljeyttring från rådet att driva frågan vidare. </w:t>
      </w:r>
    </w:p>
    <w:p w:rsidR="00B72C70" w:rsidRDefault="00B72C70" w:rsidP="00C43D07">
      <w:pPr>
        <w:pStyle w:val="RKnormal"/>
      </w:pPr>
    </w:p>
    <w:p w:rsidR="00B72C70" w:rsidRDefault="00B72C70" w:rsidP="003C7713">
      <w:pPr>
        <w:pStyle w:val="RKnormal"/>
      </w:pPr>
      <w:r>
        <w:t xml:space="preserve">Regeringen anser samtidigt att Sverige ska avge </w:t>
      </w:r>
      <w:r w:rsidRPr="009E0061">
        <w:t>en deklaration</w:t>
      </w:r>
      <w:r>
        <w:t xml:space="preserve"> vid rådsmötet i vilken det </w:t>
      </w:r>
      <w:r w:rsidRPr="009E0061">
        <w:t>klargörs att vi är besvikna att rådet inte kunde enas om förslag som tydligt stärker skyddet för djur som transporteras.</w:t>
      </w:r>
      <w:r>
        <w:t xml:space="preserve"> Till denna deklaration har Belgien och Österrike anslutit sig.</w:t>
      </w:r>
      <w:bookmarkStart w:id="0" w:name="_GoBack"/>
      <w:bookmarkEnd w:id="0"/>
    </w:p>
    <w:p w:rsidR="00B72C70" w:rsidRDefault="00B72C70" w:rsidP="00C43D07">
      <w:pPr>
        <w:pStyle w:val="RKnormal"/>
        <w:rPr>
          <w:i/>
          <w:iCs/>
        </w:rPr>
      </w:pPr>
    </w:p>
    <w:p w:rsidR="00B72C70" w:rsidRDefault="00B72C70" w:rsidP="00C43D07">
      <w:pPr>
        <w:pStyle w:val="RKnormal"/>
        <w:rPr>
          <w:i/>
          <w:iCs/>
        </w:rPr>
      </w:pPr>
      <w:r>
        <w:rPr>
          <w:i/>
          <w:iCs/>
        </w:rPr>
        <w:t>EU-nämnden och MJU</w:t>
      </w:r>
    </w:p>
    <w:p w:rsidR="00B72C70" w:rsidRDefault="00B72C70" w:rsidP="00C43D07">
      <w:pPr>
        <w:pStyle w:val="RKnormal"/>
      </w:pPr>
      <w:r>
        <w:t>Frågan var senast föremål för samråd med EU-nämnden och information i MJU inför Jordbruks- och fiskerådet i december 2011 (djurtransport</w:t>
      </w:r>
      <w:r>
        <w:softHyphen/>
        <w:t>rapporten) och i januari 2012 (djurskyddsstrategin).</w:t>
      </w:r>
    </w:p>
    <w:p w:rsidR="00B72C70" w:rsidRPr="00AA333D" w:rsidRDefault="00B72C70" w:rsidP="00F61C57">
      <w:pPr>
        <w:pStyle w:val="RKnormal"/>
      </w:pPr>
    </w:p>
    <w:p w:rsidR="00B72C70" w:rsidRPr="00AA333D" w:rsidRDefault="00B72C70" w:rsidP="00F61C57">
      <w:pPr>
        <w:pStyle w:val="RKrubrik"/>
      </w:pPr>
      <w:r w:rsidRPr="00AA333D">
        <w:rPr>
          <w:bCs/>
        </w:rPr>
        <w:t>Övriga frågor</w:t>
      </w:r>
    </w:p>
    <w:p w:rsidR="00B72C70" w:rsidRPr="00AA333D" w:rsidRDefault="00B72C70" w:rsidP="00F61C57">
      <w:pPr>
        <w:pStyle w:val="RKrubrik"/>
        <w:rPr>
          <w:szCs w:val="24"/>
        </w:rPr>
      </w:pPr>
      <w:r w:rsidRPr="00AA333D">
        <w:rPr>
          <w:bCs/>
        </w:rPr>
        <w:t>7.</w:t>
      </w:r>
      <w:r>
        <w:rPr>
          <w:bCs/>
          <w:iCs/>
          <w:szCs w:val="24"/>
        </w:rPr>
        <w:t xml:space="preserve"> a) Uppdatering av överensstämmelse med direktiv 2008/120/EG i medlemsstaterna inför genomförandet av hållning av suggor i grupp senast den 1 januari 2013 och framtida initiativ</w:t>
      </w:r>
    </w:p>
    <w:p w:rsidR="00B72C70" w:rsidRPr="00F61C57" w:rsidRDefault="00B72C70" w:rsidP="00F61C57">
      <w:pPr>
        <w:pStyle w:val="RKnormal"/>
        <w:rPr>
          <w:i/>
        </w:rPr>
      </w:pPr>
      <w:r w:rsidRPr="00F61C57">
        <w:rPr>
          <w:i/>
        </w:rPr>
        <w:t>- Information från kommissionen</w:t>
      </w:r>
    </w:p>
    <w:p w:rsidR="00B72C70" w:rsidRDefault="00B72C70" w:rsidP="00F61C57">
      <w:pPr>
        <w:pStyle w:val="RKnormal"/>
      </w:pPr>
      <w:r w:rsidRPr="00AA333D">
        <w:t>10748/12 AGRI 366 VETER 46</w:t>
      </w:r>
    </w:p>
    <w:p w:rsidR="00B72C70" w:rsidRDefault="00B72C70" w:rsidP="00F61C57">
      <w:pPr>
        <w:pStyle w:val="RKnormal"/>
      </w:pPr>
    </w:p>
    <w:p w:rsidR="00B72C70" w:rsidRDefault="00B72C70" w:rsidP="00C43D07">
      <w:pPr>
        <w:pStyle w:val="RKnormal"/>
        <w:rPr>
          <w:i/>
          <w:iCs/>
        </w:rPr>
      </w:pPr>
      <w:r>
        <w:rPr>
          <w:i/>
          <w:iCs/>
        </w:rPr>
        <w:t>Rättslig grund</w:t>
      </w:r>
    </w:p>
    <w:p w:rsidR="00B72C70" w:rsidRPr="00A91821" w:rsidRDefault="00B72C70" w:rsidP="00C43D07">
      <w:pPr>
        <w:pStyle w:val="RKnormal"/>
        <w:rPr>
          <w:iCs/>
        </w:rPr>
      </w:pPr>
      <w:r>
        <w:rPr>
          <w:iCs/>
        </w:rPr>
        <w:t>-</w:t>
      </w:r>
    </w:p>
    <w:p w:rsidR="00B72C70" w:rsidRDefault="00B72C70" w:rsidP="00C43D07">
      <w:pPr>
        <w:pStyle w:val="RKnormal"/>
        <w:rPr>
          <w:i/>
          <w:iCs/>
        </w:rPr>
      </w:pPr>
    </w:p>
    <w:p w:rsidR="00B72C70" w:rsidRDefault="00B72C70" w:rsidP="00C43D07">
      <w:pPr>
        <w:pStyle w:val="RKnormal"/>
        <w:rPr>
          <w:i/>
          <w:iCs/>
        </w:rPr>
      </w:pPr>
      <w:r>
        <w:rPr>
          <w:i/>
          <w:iCs/>
        </w:rPr>
        <w:t>Bakgrund</w:t>
      </w:r>
    </w:p>
    <w:p w:rsidR="00B72C70" w:rsidRDefault="00B72C70" w:rsidP="00C43D07">
      <w:r>
        <w:t xml:space="preserve">Direktivet innehåller flera långtgående bestämmelser för att öka djurskyddet vid grishållning, bland annat om minsta golvyta per djur och andra krav på golvens utformning, förbud mot att hålla suggor och gyltor uppbundna och begränsningar vad det gäller olika typer av stympning. </w:t>
      </w:r>
    </w:p>
    <w:p w:rsidR="00B72C70" w:rsidRDefault="00B72C70" w:rsidP="00C43D07"/>
    <w:p w:rsidR="00B72C70" w:rsidRDefault="00B72C70" w:rsidP="00C43D07">
      <w:r>
        <w:t>Flera av bestämmelserna ingår i svensk lagstiftning sedan tidigare och efterlevandegraden hos svenska grisbönder bedöms vara hög, dvs. det kommer inte finnas något problem med olaglig grishållning i Sverige efter årsskiftet.</w:t>
      </w:r>
    </w:p>
    <w:p w:rsidR="00B72C70" w:rsidRDefault="00B72C70" w:rsidP="00C43D07">
      <w:pPr>
        <w:pStyle w:val="RKnormal"/>
        <w:rPr>
          <w:i/>
          <w:iCs/>
        </w:rPr>
      </w:pPr>
    </w:p>
    <w:p w:rsidR="00B72C70" w:rsidRDefault="00B72C70" w:rsidP="00C43D07">
      <w:pPr>
        <w:pStyle w:val="RKnormal"/>
        <w:rPr>
          <w:i/>
          <w:iCs/>
        </w:rPr>
      </w:pPr>
      <w:r>
        <w:rPr>
          <w:i/>
          <w:iCs/>
        </w:rPr>
        <w:t>Förslag till svensk ståndpunkt</w:t>
      </w:r>
    </w:p>
    <w:p w:rsidR="00B72C70" w:rsidRPr="002F0F80" w:rsidRDefault="00B72C70" w:rsidP="00C43D07">
      <w:pPr>
        <w:pStyle w:val="RKnormal"/>
      </w:pPr>
      <w:r>
        <w:t>Regeringen stödjer kommissionen i dess strävan att säkerställa att direktivet är genomfört och efterlevs i alla medlemsstater från den 1 januari 2013. Det är viktigt att alla aktörer följer regelverket, dels för att skapa goda förutsättningar för en fungerande inre marknad och dels för att inte missgynna de producenter som investerat i att leva upp till kraven. Det är prioriterat att undvika en situation liknande den som uppstod med höns i oinredda burar 1 januari 2012.</w:t>
      </w:r>
    </w:p>
    <w:p w:rsidR="00B72C70" w:rsidRDefault="00B72C70" w:rsidP="00C43D07">
      <w:pPr>
        <w:pStyle w:val="RKnormal"/>
        <w:rPr>
          <w:i/>
          <w:iCs/>
        </w:rPr>
      </w:pPr>
    </w:p>
    <w:p w:rsidR="00B72C70" w:rsidRPr="00A91821" w:rsidRDefault="00B72C70" w:rsidP="00C43D07">
      <w:pPr>
        <w:pStyle w:val="RKnormal"/>
        <w:rPr>
          <w:i/>
          <w:iCs/>
        </w:rPr>
      </w:pPr>
      <w:r>
        <w:rPr>
          <w:i/>
          <w:iCs/>
        </w:rPr>
        <w:t>EU-nämnden och MJU</w:t>
      </w:r>
    </w:p>
    <w:p w:rsidR="00B72C70" w:rsidRDefault="00B72C70" w:rsidP="00C43D07">
      <w:pPr>
        <w:pStyle w:val="RKnormal"/>
      </w:pPr>
      <w:r>
        <w:t>Frågan var senast föremål för samråd med EU-nämnden och information i MJU inför Jordbruks- och fiskerådet i april 2012.</w:t>
      </w:r>
    </w:p>
    <w:p w:rsidR="00B72C70" w:rsidRPr="00AA333D" w:rsidRDefault="00B72C70" w:rsidP="00F61C57">
      <w:pPr>
        <w:pStyle w:val="RKnormal"/>
      </w:pPr>
    </w:p>
    <w:p w:rsidR="00B72C70" w:rsidRPr="00AA333D" w:rsidRDefault="00B72C70" w:rsidP="00F61C57">
      <w:pPr>
        <w:pStyle w:val="RKrubrik"/>
        <w:rPr>
          <w:szCs w:val="24"/>
          <w:lang w:eastAsia="en-GB"/>
        </w:rPr>
      </w:pPr>
      <w:r>
        <w:rPr>
          <w:szCs w:val="24"/>
          <w:lang w:eastAsia="en-GB"/>
        </w:rPr>
        <w:t xml:space="preserve">b) </w:t>
      </w:r>
      <w:r w:rsidRPr="00AA333D">
        <w:rPr>
          <w:szCs w:val="24"/>
          <w:lang w:eastAsia="en-GB"/>
        </w:rPr>
        <w:t>EU:s riktlinjer för G20-mötet med ställföreträdande jordbruksministrar den 17–18 maj 2012, Mexico City</w:t>
      </w:r>
    </w:p>
    <w:p w:rsidR="00B72C70" w:rsidRPr="00F61C57" w:rsidRDefault="00B72C70" w:rsidP="00F61C57">
      <w:pPr>
        <w:pStyle w:val="RKnormal"/>
        <w:rPr>
          <w:i/>
          <w:lang w:eastAsia="en-GB"/>
        </w:rPr>
      </w:pPr>
      <w:r w:rsidRPr="00F61C57">
        <w:rPr>
          <w:i/>
          <w:lang w:eastAsia="en-GB"/>
        </w:rPr>
        <w:t>- Information från ordförandeskapet</w:t>
      </w:r>
    </w:p>
    <w:p w:rsidR="00B72C70" w:rsidRDefault="00B72C70" w:rsidP="00F61C57">
      <w:pPr>
        <w:pStyle w:val="RKnormal"/>
        <w:rPr>
          <w:lang w:eastAsia="en-GB"/>
        </w:rPr>
      </w:pPr>
      <w:r w:rsidRPr="00AA333D">
        <w:rPr>
          <w:lang w:eastAsia="en-GB"/>
        </w:rPr>
        <w:t>10433/45 AGRI 351 WTO 204 DEVGEN 150 ECOFIN 441</w:t>
      </w:r>
    </w:p>
    <w:p w:rsidR="00B72C70" w:rsidRDefault="00B72C70" w:rsidP="00F61C57">
      <w:pPr>
        <w:pStyle w:val="RKnormal"/>
        <w:rPr>
          <w:lang w:eastAsia="en-GB"/>
        </w:rPr>
      </w:pPr>
    </w:p>
    <w:p w:rsidR="00B72C70" w:rsidRDefault="00B72C70" w:rsidP="00C43D07">
      <w:pPr>
        <w:pStyle w:val="RKnormal"/>
        <w:rPr>
          <w:i/>
          <w:iCs/>
        </w:rPr>
      </w:pPr>
      <w:r>
        <w:rPr>
          <w:i/>
          <w:iCs/>
        </w:rPr>
        <w:t>Bakgrund</w:t>
      </w:r>
    </w:p>
    <w:p w:rsidR="00B72C70" w:rsidRDefault="00B72C70" w:rsidP="00C43D07">
      <w:pPr>
        <w:pStyle w:val="RKnormal"/>
        <w:rPr>
          <w:lang/>
        </w:rPr>
      </w:pPr>
      <w:r>
        <w:rPr>
          <w:lang/>
        </w:rPr>
        <w:t>Mexiko fokuserar under sitt G20-ordförandeskap på vikten av ökad hållbar produktivitet, särskilt för småskaliga jordbrukare, i syfte att trygga den globala livsmedelsförsörjningen. Elva internationella organisationer</w:t>
      </w:r>
      <w:r>
        <w:rPr>
          <w:rStyle w:val="FootnoteReference"/>
          <w:lang/>
        </w:rPr>
        <w:footnoteReference w:id="1"/>
      </w:r>
      <w:r>
        <w:rPr>
          <w:lang/>
        </w:rPr>
        <w:t xml:space="preserve"> har på G20:s uppdrag skrivit en rapport på området. Denna innehåller tio rekommendationer inom följande områden: </w:t>
      </w:r>
    </w:p>
    <w:p w:rsidR="00B72C70" w:rsidRDefault="00B72C70" w:rsidP="00C43D07">
      <w:pPr>
        <w:pStyle w:val="RKnormal"/>
        <w:rPr>
          <w:lang/>
        </w:rPr>
      </w:pPr>
      <w:r>
        <w:rPr>
          <w:lang/>
        </w:rPr>
        <w:t xml:space="preserve">1. Jordbruksforskning och utveckling, 2. Investering. 3. Handel och marknadsintegration 4. Jämställdhet och 5. Klimatsmart och resurseffektivt jordbruk. Målsättningen med arbetet är att identifiera en policystrategi för ovan nämnda frågor. </w:t>
      </w:r>
    </w:p>
    <w:p w:rsidR="00B72C70" w:rsidRDefault="00B72C70" w:rsidP="00C43D07">
      <w:pPr>
        <w:pStyle w:val="RKnormal"/>
        <w:rPr>
          <w:lang/>
        </w:rPr>
      </w:pPr>
    </w:p>
    <w:p w:rsidR="00B72C70" w:rsidRDefault="00B72C70" w:rsidP="003C7713">
      <w:pPr>
        <w:pStyle w:val="RKnormal"/>
        <w:rPr>
          <w:lang/>
        </w:rPr>
      </w:pPr>
      <w:r>
        <w:rPr>
          <w:lang/>
        </w:rPr>
        <w:t xml:space="preserve">G20:s vice jordbruksministrar möttes i Mexiko City den 17-18 maj. De enades om utkast till policyrekommendationer som skickas till toppmötet som hålls den 18-19 juni i Los Cabos. </w:t>
      </w:r>
    </w:p>
    <w:p w:rsidR="00B72C70" w:rsidRDefault="00B72C70" w:rsidP="00C43D07">
      <w:pPr>
        <w:pStyle w:val="RKnormal"/>
        <w:rPr>
          <w:lang/>
        </w:rPr>
      </w:pPr>
    </w:p>
    <w:p w:rsidR="00B72C70" w:rsidRDefault="00B72C70" w:rsidP="00C43D07">
      <w:pPr>
        <w:pStyle w:val="RKnormal"/>
        <w:rPr>
          <w:lang/>
        </w:rPr>
      </w:pPr>
      <w:r>
        <w:rPr>
          <w:lang/>
        </w:rPr>
        <w:t xml:space="preserve">Inför mötet antogs EU-riktlinjer. Dessa efterfrågar uppföljning av förra årets G20-arbete under franskt ordförandeskap, betonar vikten av hållbarhet och genusperspektiv i årets arbete samt manar till viss försiktighet vad gäller nya initiativ innan tidigare åtaganden slutförts. </w:t>
      </w:r>
    </w:p>
    <w:p w:rsidR="00B72C70" w:rsidRPr="007A63FD" w:rsidRDefault="00B72C70" w:rsidP="00C43D07">
      <w:pPr>
        <w:pStyle w:val="RKnormal"/>
        <w:rPr>
          <w:lang/>
        </w:rPr>
      </w:pPr>
    </w:p>
    <w:p w:rsidR="00B72C70" w:rsidRDefault="00B72C70" w:rsidP="00C43D07">
      <w:pPr>
        <w:pStyle w:val="RKnormal"/>
        <w:rPr>
          <w:i/>
          <w:iCs/>
        </w:rPr>
      </w:pPr>
      <w:r>
        <w:rPr>
          <w:i/>
          <w:iCs/>
        </w:rPr>
        <w:t>Förslag till svensk ståndpunkt</w:t>
      </w:r>
    </w:p>
    <w:p w:rsidR="00B72C70" w:rsidRDefault="00B72C70" w:rsidP="00C43D07">
      <w:pPr>
        <w:pStyle w:val="RKnormal"/>
        <w:rPr>
          <w:iCs/>
        </w:rPr>
      </w:pPr>
      <w:r>
        <w:rPr>
          <w:iCs/>
        </w:rPr>
        <w:t>Regeringen</w:t>
      </w:r>
      <w:r w:rsidRPr="00B6316B">
        <w:rPr>
          <w:iCs/>
        </w:rPr>
        <w:t xml:space="preserve"> stödjer</w:t>
      </w:r>
      <w:r>
        <w:rPr>
          <w:iCs/>
        </w:rPr>
        <w:t xml:space="preserve"> Mexikos fortsatta arbete inom ramen för G20 med fokus på livsmedelsförsörjning och vikten av ökad produktivitet.</w:t>
      </w:r>
    </w:p>
    <w:p w:rsidR="00B72C70" w:rsidRDefault="00B72C70" w:rsidP="00C43D07">
      <w:pPr>
        <w:pStyle w:val="RKnormal"/>
        <w:rPr>
          <w:iCs/>
        </w:rPr>
      </w:pPr>
    </w:p>
    <w:p w:rsidR="00B72C70" w:rsidRDefault="00B72C70" w:rsidP="00C43D07">
      <w:pPr>
        <w:pStyle w:val="RKnormal"/>
        <w:rPr>
          <w:i/>
          <w:iCs/>
        </w:rPr>
      </w:pPr>
      <w:r>
        <w:rPr>
          <w:i/>
          <w:iCs/>
        </w:rPr>
        <w:t>EU-nämnden</w:t>
      </w:r>
    </w:p>
    <w:p w:rsidR="00B72C70" w:rsidRDefault="00B72C70" w:rsidP="00C43D07">
      <w:pPr>
        <w:pStyle w:val="RKnormal"/>
      </w:pPr>
      <w:r>
        <w:t>Frågan har inte tidigare varit uppe för information i MJU eller samråd med EU-nämnden.</w:t>
      </w:r>
    </w:p>
    <w:p w:rsidR="00B72C70" w:rsidRPr="00AA333D" w:rsidRDefault="00B72C70" w:rsidP="00F61C57">
      <w:pPr>
        <w:pStyle w:val="RKrubrik"/>
        <w:rPr>
          <w:color w:val="000000"/>
        </w:rPr>
      </w:pPr>
      <w:r w:rsidRPr="00AA333D">
        <w:rPr>
          <w:szCs w:val="24"/>
          <w:lang w:eastAsia="en-GB"/>
        </w:rPr>
        <w:t>c)</w:t>
      </w:r>
      <w:r>
        <w:rPr>
          <w:szCs w:val="24"/>
          <w:lang w:eastAsia="en-GB"/>
        </w:rPr>
        <w:t xml:space="preserve"> </w:t>
      </w:r>
      <w:r w:rsidRPr="00AA333D">
        <w:rPr>
          <w:color w:val="000000"/>
        </w:rPr>
        <w:t>Antimikrobiell resistens och dess inverkan på sjukvårdssektorn och veterinärsektorn – ett</w:t>
      </w:r>
      <w:r>
        <w:rPr>
          <w:color w:val="000000"/>
        </w:rPr>
        <w:t xml:space="preserve"> </w:t>
      </w:r>
      <w:r w:rsidRPr="00AA333D">
        <w:rPr>
          <w:color w:val="000000"/>
        </w:rPr>
        <w:t>"enhälsoperspektiv"</w:t>
      </w:r>
    </w:p>
    <w:p w:rsidR="00B72C70" w:rsidRPr="00F61C57" w:rsidRDefault="00B72C70" w:rsidP="00F61C57">
      <w:pPr>
        <w:pStyle w:val="RKnormal"/>
        <w:rPr>
          <w:i/>
          <w:lang w:eastAsia="en-GB"/>
        </w:rPr>
      </w:pPr>
      <w:r>
        <w:rPr>
          <w:i/>
          <w:lang w:eastAsia="en-GB"/>
        </w:rPr>
        <w:t xml:space="preserve">- </w:t>
      </w:r>
      <w:r w:rsidRPr="00F61C57">
        <w:rPr>
          <w:i/>
          <w:lang w:eastAsia="en-GB"/>
        </w:rPr>
        <w:t>Information från ordförandeskapet</w:t>
      </w:r>
    </w:p>
    <w:p w:rsidR="00B72C70" w:rsidRDefault="00B72C70" w:rsidP="00F61C57">
      <w:pPr>
        <w:pStyle w:val="RKnormal"/>
        <w:rPr>
          <w:lang w:eastAsia="en-GB"/>
        </w:rPr>
      </w:pPr>
      <w:r w:rsidRPr="00AA333D">
        <w:rPr>
          <w:lang w:eastAsia="en-GB"/>
        </w:rPr>
        <w:t>10582/12 SAN 130 AGRI 358 VETER 43</w:t>
      </w:r>
    </w:p>
    <w:p w:rsidR="00B72C70" w:rsidRDefault="00B72C70" w:rsidP="00C43D07">
      <w:pPr>
        <w:pStyle w:val="RKnormal"/>
        <w:rPr>
          <w:lang w:eastAsia="en-GB"/>
        </w:rPr>
      </w:pPr>
    </w:p>
    <w:p w:rsidR="00B72C70" w:rsidRDefault="00B72C70" w:rsidP="00574A69">
      <w:pPr>
        <w:pStyle w:val="RKnormal"/>
        <w:rPr>
          <w:i/>
          <w:iCs/>
        </w:rPr>
      </w:pPr>
      <w:r>
        <w:rPr>
          <w:i/>
          <w:iCs/>
        </w:rPr>
        <w:t>Bakgrund</w:t>
      </w:r>
    </w:p>
    <w:p w:rsidR="00B72C70" w:rsidRDefault="00B72C70" w:rsidP="00C43D07">
      <w:pPr>
        <w:pStyle w:val="RKnormal"/>
      </w:pPr>
      <w:r>
        <w:t xml:space="preserve">Kommissionen presenterade i november 2011 en handlingsplan mot antibiotikaresistens med tolv konkreta åtgärder för de kommande fem åren. Det framhålls att ca 25000 dödsfall om året inom EU beror på antibiotikaresistenta bakterier. </w:t>
      </w:r>
    </w:p>
    <w:p w:rsidR="00B72C70" w:rsidRDefault="00B72C70" w:rsidP="00C43D07">
      <w:pPr>
        <w:pStyle w:val="RKnormal"/>
      </w:pPr>
    </w:p>
    <w:p w:rsidR="00B72C70" w:rsidRDefault="00B72C70" w:rsidP="00C43D07">
      <w:pPr>
        <w:pStyle w:val="RKnormal"/>
      </w:pPr>
      <w:r>
        <w:t>Danmark har prioriterat antibiotika</w:t>
      </w:r>
      <w:r>
        <w:softHyphen/>
        <w:t>resistensfrågan genom bl.a. en ordförandeskapskonferens samt genom att ta fram rådsslutsatser. Fokus under konferensen var övervakning av användning och resistens både på djur- och hälsosidan, rationell användning samt att minska användningen av s.k. kritiskt viktiga antibiotika. Rådsslutsatserna syftar bland annat till att framhålla ”enhälsoperspektivet”, det vill säga att det omfattar såväl humansidan som den veterinära sidan. Genom att betrakta kunskapen om infektioner och antibiotikaresistens ur ett ”enhälsoperspektiv” får vi kunskap om hur ett samhälle kan byggas där smittspridning och antibiotikaresistensutveckling motverkas. Rådsslutsatserna syftar genomgående till ett förbättrat samarbete mellan olika sektorer, tydliggöra faktorer bakom en hög antibiotikaanvändning och resistensbildning samt uppmanar medlemsstaterna och kommissionen att vidta åtgärder.</w:t>
      </w:r>
    </w:p>
    <w:p w:rsidR="00B72C70" w:rsidRDefault="00B72C70" w:rsidP="00C43D07">
      <w:pPr>
        <w:pStyle w:val="RKnormal"/>
      </w:pPr>
    </w:p>
    <w:p w:rsidR="00B72C70" w:rsidRDefault="00B72C70" w:rsidP="00C43D07">
      <w:pPr>
        <w:pStyle w:val="RKnormal"/>
      </w:pPr>
      <w:r>
        <w:t xml:space="preserve">Ordförandeskapets målsättning är att anta slutsatserna vid EPSCO-rådet den 21-22 juni. På Jordbruks- och fiskerådet är frågan uppe enbart för information. </w:t>
      </w:r>
    </w:p>
    <w:p w:rsidR="00B72C70" w:rsidRDefault="00B72C70" w:rsidP="00574A69">
      <w:pPr>
        <w:pStyle w:val="RKnormal"/>
        <w:rPr>
          <w:i/>
          <w:iCs/>
        </w:rPr>
      </w:pPr>
    </w:p>
    <w:p w:rsidR="00B72C70" w:rsidRDefault="00B72C70" w:rsidP="00574A69">
      <w:pPr>
        <w:pStyle w:val="RKnormal"/>
        <w:rPr>
          <w:i/>
          <w:iCs/>
        </w:rPr>
      </w:pPr>
      <w:r>
        <w:rPr>
          <w:i/>
          <w:iCs/>
        </w:rPr>
        <w:t>Förslag till svensk ståndpunkt</w:t>
      </w:r>
    </w:p>
    <w:p w:rsidR="00B72C70" w:rsidRDefault="00B72C70" w:rsidP="00C43D07">
      <w:pPr>
        <w:pStyle w:val="RKnormal"/>
      </w:pPr>
      <w:r>
        <w:t xml:space="preserve">Regeringen har i förhandlingarna bland annat verkat för att stödja skrivningar som beaktar ”enhälsoperspektivet”, stärka skrivningar om djurhälsa, framhålla behovet av ny antibiotika och framhålla kopplingen mellan strukturer för förskrivning och försäljning med överutnyttjande. </w:t>
      </w:r>
    </w:p>
    <w:p w:rsidR="00B72C70" w:rsidRDefault="00B72C70" w:rsidP="00F61C57">
      <w:pPr>
        <w:pStyle w:val="RKnormal"/>
        <w:rPr>
          <w:lang w:eastAsia="en-GB"/>
        </w:rPr>
      </w:pPr>
    </w:p>
    <w:p w:rsidR="00B72C70" w:rsidRDefault="00B72C70" w:rsidP="00574A69">
      <w:pPr>
        <w:pStyle w:val="RKnormal"/>
        <w:rPr>
          <w:i/>
          <w:iCs/>
        </w:rPr>
      </w:pPr>
      <w:r>
        <w:rPr>
          <w:i/>
          <w:iCs/>
        </w:rPr>
        <w:t>EU-nämnden och MJU</w:t>
      </w:r>
    </w:p>
    <w:p w:rsidR="00B72C70" w:rsidRPr="00AA333D" w:rsidRDefault="00B72C70" w:rsidP="00F61C57">
      <w:pPr>
        <w:pStyle w:val="RKnormal"/>
        <w:rPr>
          <w:lang w:eastAsia="en-GB"/>
        </w:rPr>
      </w:pPr>
      <w:r>
        <w:rPr>
          <w:lang w:eastAsia="en-GB"/>
        </w:rPr>
        <w:t>Frågan har inte varit föremål för information i MJU eller samråd med EU-nämnden tidigare. Den har däremot varit uppe för information i Socialutskottet den 31 maj 2012.</w:t>
      </w:r>
    </w:p>
    <w:p w:rsidR="00B72C70" w:rsidRPr="00AA333D" w:rsidRDefault="00B72C70" w:rsidP="00F61C57">
      <w:pPr>
        <w:pStyle w:val="RKrubrik"/>
      </w:pPr>
      <w:r>
        <w:rPr>
          <w:szCs w:val="24"/>
          <w:lang w:eastAsia="en-GB"/>
        </w:rPr>
        <w:t xml:space="preserve">d) </w:t>
      </w:r>
      <w:r w:rsidRPr="00AA333D">
        <w:t>Rapport från kommissionen till Europaparlamentet och rådet om tillämpningen av rådets förordning (EG) nr 834/2007 om ekologisk produktion och märkning av ekologiska produkter</w:t>
      </w:r>
    </w:p>
    <w:p w:rsidR="00B72C70" w:rsidRPr="00F61C57" w:rsidRDefault="00B72C70" w:rsidP="00F61C57">
      <w:pPr>
        <w:pStyle w:val="RKnormal"/>
        <w:rPr>
          <w:i/>
          <w:lang w:eastAsia="en-GB"/>
        </w:rPr>
      </w:pPr>
      <w:r w:rsidRPr="00F61C57">
        <w:rPr>
          <w:i/>
          <w:lang w:eastAsia="en-GB"/>
        </w:rPr>
        <w:t>- Föredragning av kommissionen</w:t>
      </w:r>
    </w:p>
    <w:p w:rsidR="00B72C70" w:rsidRPr="00AA333D" w:rsidRDefault="00B72C70" w:rsidP="00F61C57">
      <w:pPr>
        <w:pStyle w:val="RKnormal"/>
      </w:pPr>
      <w:r w:rsidRPr="00AA333D">
        <w:t>10575/12 AGRI 357</w:t>
      </w:r>
    </w:p>
    <w:p w:rsidR="00B72C70" w:rsidRDefault="00B72C70" w:rsidP="00C43D07">
      <w:pPr>
        <w:pStyle w:val="RKnormal"/>
        <w:rPr>
          <w:i/>
          <w:iCs/>
        </w:rPr>
      </w:pPr>
    </w:p>
    <w:p w:rsidR="00B72C70" w:rsidRDefault="00B72C70" w:rsidP="00C43D07">
      <w:pPr>
        <w:pStyle w:val="RKnormal"/>
        <w:rPr>
          <w:i/>
          <w:iCs/>
        </w:rPr>
      </w:pPr>
      <w:r>
        <w:rPr>
          <w:i/>
          <w:iCs/>
        </w:rPr>
        <w:t>Rättslig grund</w:t>
      </w:r>
    </w:p>
    <w:p w:rsidR="00B72C70" w:rsidRDefault="00B72C70" w:rsidP="00C43D07">
      <w:pPr>
        <w:pStyle w:val="RKnormal"/>
        <w:rPr>
          <w:iCs/>
        </w:rPr>
      </w:pPr>
      <w:r>
        <w:rPr>
          <w:iCs/>
        </w:rPr>
        <w:t>-</w:t>
      </w:r>
    </w:p>
    <w:p w:rsidR="00B72C70" w:rsidRDefault="00B72C70" w:rsidP="00C43D07">
      <w:pPr>
        <w:pStyle w:val="RKnormal"/>
        <w:rPr>
          <w:i/>
          <w:iCs/>
        </w:rPr>
      </w:pPr>
    </w:p>
    <w:p w:rsidR="00B72C70" w:rsidRDefault="00B72C70" w:rsidP="00C43D07">
      <w:pPr>
        <w:pStyle w:val="RKnormal"/>
        <w:rPr>
          <w:i/>
          <w:iCs/>
        </w:rPr>
      </w:pPr>
      <w:r>
        <w:rPr>
          <w:i/>
          <w:iCs/>
        </w:rPr>
        <w:t>Bakgrund</w:t>
      </w:r>
    </w:p>
    <w:p w:rsidR="00B72C70" w:rsidRPr="00375DC5" w:rsidRDefault="00B72C70" w:rsidP="00C43D07">
      <w:pPr>
        <w:pStyle w:val="RKnormal"/>
        <w:rPr>
          <w:iCs/>
        </w:rPr>
      </w:pPr>
      <w:r w:rsidRPr="00375DC5">
        <w:rPr>
          <w:iCs/>
        </w:rPr>
        <w:t xml:space="preserve">I rådets förordning (EG) nr 834/2007 anges det i artikel 41 att kommissionen senast den 31 december 2011 </w:t>
      </w:r>
      <w:r>
        <w:rPr>
          <w:iCs/>
        </w:rPr>
        <w:t xml:space="preserve">ska </w:t>
      </w:r>
      <w:r w:rsidRPr="00375DC5">
        <w:rPr>
          <w:iCs/>
        </w:rPr>
        <w:t>överlämna en rapport till rådet. Redan när förordning</w:t>
      </w:r>
      <w:r>
        <w:rPr>
          <w:iCs/>
        </w:rPr>
        <w:t xml:space="preserve">en </w:t>
      </w:r>
      <w:r w:rsidRPr="00375DC5">
        <w:rPr>
          <w:iCs/>
        </w:rPr>
        <w:t xml:space="preserve">utarbetades framhöll rådet dynamiken inom den ekologiska sektorn och efterlyste en </w:t>
      </w:r>
      <w:r>
        <w:rPr>
          <w:iCs/>
        </w:rPr>
        <w:t xml:space="preserve">framtida </w:t>
      </w:r>
      <w:r w:rsidRPr="00375DC5">
        <w:rPr>
          <w:iCs/>
        </w:rPr>
        <w:t>granskning av en rad områden där man ansåg att erfarenheterna från tillämpningen av de</w:t>
      </w:r>
      <w:r>
        <w:rPr>
          <w:iCs/>
        </w:rPr>
        <w:t xml:space="preserve"> nya reglerna borde beaktas.</w:t>
      </w:r>
    </w:p>
    <w:p w:rsidR="00B72C70" w:rsidRPr="00375DC5" w:rsidRDefault="00B72C70" w:rsidP="00C43D07">
      <w:pPr>
        <w:pStyle w:val="RKnormal"/>
        <w:rPr>
          <w:iCs/>
        </w:rPr>
      </w:pPr>
    </w:p>
    <w:p w:rsidR="00B72C70" w:rsidRDefault="00B72C70" w:rsidP="00C43D07">
      <w:pPr>
        <w:pStyle w:val="RKnormal"/>
        <w:rPr>
          <w:i/>
          <w:iCs/>
        </w:rPr>
      </w:pPr>
      <w:r>
        <w:rPr>
          <w:i/>
          <w:iCs/>
        </w:rPr>
        <w:t>Förslag till svensk ståndpunkt</w:t>
      </w:r>
    </w:p>
    <w:p w:rsidR="00B72C70" w:rsidRPr="00375DC5" w:rsidRDefault="00B72C70" w:rsidP="00C43D07">
      <w:pPr>
        <w:pStyle w:val="RKnormal"/>
        <w:rPr>
          <w:iCs/>
        </w:rPr>
      </w:pPr>
      <w:r>
        <w:rPr>
          <w:iCs/>
        </w:rPr>
        <w:t xml:space="preserve">Regeringen </w:t>
      </w:r>
      <w:r w:rsidRPr="00375DC5">
        <w:rPr>
          <w:iCs/>
        </w:rPr>
        <w:t>väl</w:t>
      </w:r>
      <w:r>
        <w:rPr>
          <w:iCs/>
        </w:rPr>
        <w:t xml:space="preserve">komnar kommissionens rapport och </w:t>
      </w:r>
      <w:r w:rsidRPr="00375DC5">
        <w:rPr>
          <w:iCs/>
        </w:rPr>
        <w:t xml:space="preserve">ser positivt på att det ekologiska regelverket ses över. </w:t>
      </w:r>
    </w:p>
    <w:p w:rsidR="00B72C70" w:rsidRDefault="00B72C70" w:rsidP="00C43D07">
      <w:pPr>
        <w:pStyle w:val="RKnormal"/>
        <w:rPr>
          <w:i/>
          <w:iCs/>
        </w:rPr>
      </w:pPr>
    </w:p>
    <w:p w:rsidR="00B72C70" w:rsidRDefault="00B72C70" w:rsidP="00C43D07">
      <w:pPr>
        <w:pStyle w:val="RKnormal"/>
        <w:rPr>
          <w:i/>
          <w:iCs/>
        </w:rPr>
      </w:pPr>
      <w:r>
        <w:rPr>
          <w:i/>
          <w:iCs/>
        </w:rPr>
        <w:t>EU-nämnden och MJU</w:t>
      </w:r>
    </w:p>
    <w:p w:rsidR="00B72C70" w:rsidRDefault="00B72C70" w:rsidP="00C43D07">
      <w:pPr>
        <w:pStyle w:val="RKnormal"/>
      </w:pPr>
      <w:r>
        <w:t>Frågan har inte tidigare varit föremål för information i MJU eller samråd med EU-nämnden.</w:t>
      </w:r>
    </w:p>
    <w:p w:rsidR="00B72C70" w:rsidRDefault="00B72C70" w:rsidP="005067C6">
      <w:pPr>
        <w:pStyle w:val="RKnormal"/>
        <w:rPr>
          <w:i/>
          <w:iCs/>
        </w:rPr>
      </w:pPr>
    </w:p>
    <w:sectPr w:rsidR="00B72C70" w:rsidSect="005F24BF">
      <w:headerReference w:type="even" r:id="rId7"/>
      <w:headerReference w:type="default" r:id="rId8"/>
      <w:headerReference w:type="first" r:id="rId9"/>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C70" w:rsidRDefault="00B72C70" w:rsidP="005F24BF">
      <w:pPr>
        <w:spacing w:line="240" w:lineRule="auto"/>
      </w:pPr>
      <w:r>
        <w:separator/>
      </w:r>
    </w:p>
  </w:endnote>
  <w:endnote w:type="continuationSeparator" w:id="0">
    <w:p w:rsidR="00B72C70" w:rsidRDefault="00B72C70" w:rsidP="005F24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OrigGarmnd BT">
    <w:altName w:val="Constant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C70" w:rsidRDefault="00B72C70" w:rsidP="005F24BF">
      <w:pPr>
        <w:spacing w:line="240" w:lineRule="auto"/>
      </w:pPr>
      <w:r>
        <w:separator/>
      </w:r>
    </w:p>
  </w:footnote>
  <w:footnote w:type="continuationSeparator" w:id="0">
    <w:p w:rsidR="00B72C70" w:rsidRDefault="00B72C70" w:rsidP="005F24BF">
      <w:pPr>
        <w:spacing w:line="240" w:lineRule="auto"/>
      </w:pPr>
      <w:r>
        <w:continuationSeparator/>
      </w:r>
    </w:p>
  </w:footnote>
  <w:footnote w:id="1">
    <w:p w:rsidR="00B72C70" w:rsidRDefault="00B72C70" w:rsidP="00C43D07">
      <w:pPr>
        <w:pStyle w:val="FootnoteText"/>
      </w:pPr>
      <w:r>
        <w:rPr>
          <w:rStyle w:val="FootnoteReference"/>
        </w:rPr>
        <w:footnoteRef/>
      </w:r>
      <w:r>
        <w:t xml:space="preserve"> Bioversity, CGIAR, FAO, IFAD, IICA, IFPRI, OECD, UNCTAD, WFP, Världsbanken och WTO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C70" w:rsidRDefault="00B72C7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B72C70" w:rsidRDefault="00B72C70">
    <w:pPr>
      <w:pStyle w:val="Header"/>
      <w:ind w:right="360"/>
    </w:pPr>
  </w:p>
  <w:p w:rsidR="00B72C70" w:rsidRDefault="00B72C70">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C70" w:rsidRDefault="00B72C7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B72C70" w:rsidRDefault="00B72C70">
    <w:pPr>
      <w:pStyle w:val="Header"/>
      <w:ind w:right="360"/>
    </w:pPr>
  </w:p>
  <w:p w:rsidR="00B72C70" w:rsidRDefault="00B72C70">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C70" w:rsidRDefault="00B72C70">
    <w:pPr>
      <w:framePr w:w="2948" w:h="1321" w:hRule="exact" w:wrap="notBeside" w:vAnchor="page" w:hAnchor="page" w:x="1362" w:y="653"/>
    </w:pPr>
    <w:r w:rsidRPr="00DE2616">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6" type="#_x0000_t75" style="width:147pt;height:66pt;visibility:visible">
          <v:imagedata r:id="rId1" o:title=""/>
        </v:shape>
      </w:pict>
    </w:r>
  </w:p>
  <w:p w:rsidR="00B72C70" w:rsidRDefault="00B72C70">
    <w:pPr>
      <w:pStyle w:val="RKrubrik"/>
      <w:keepNext w:val="0"/>
      <w:tabs>
        <w:tab w:val="clear" w:pos="1134"/>
        <w:tab w:val="clear" w:pos="2835"/>
      </w:tabs>
      <w:spacing w:before="0" w:after="0" w:line="320" w:lineRule="atLeast"/>
      <w:rPr>
        <w:bCs/>
      </w:rPr>
    </w:pPr>
  </w:p>
  <w:p w:rsidR="00B72C70" w:rsidRDefault="00B72C70">
    <w:pPr>
      <w:rPr>
        <w:rFonts w:ascii="TradeGothic" w:hAnsi="TradeGothic"/>
        <w:b/>
        <w:bCs/>
        <w:spacing w:val="12"/>
        <w:sz w:val="22"/>
      </w:rPr>
    </w:pPr>
  </w:p>
  <w:p w:rsidR="00B72C70" w:rsidRDefault="00B72C70">
    <w:pPr>
      <w:pStyle w:val="RKrubrik"/>
      <w:keepNext w:val="0"/>
      <w:tabs>
        <w:tab w:val="clear" w:pos="1134"/>
        <w:tab w:val="clear" w:pos="2835"/>
      </w:tabs>
      <w:spacing w:before="0" w:after="0" w:line="320" w:lineRule="atLeast"/>
      <w:rPr>
        <w:bCs/>
      </w:rPr>
    </w:pPr>
  </w:p>
  <w:p w:rsidR="00B72C70" w:rsidRDefault="00B72C70">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0E52"/>
    <w:multiLevelType w:val="hybridMultilevel"/>
    <w:tmpl w:val="1898CAD6"/>
    <w:lvl w:ilvl="0" w:tplc="041D000F">
      <w:start w:val="1"/>
      <w:numFmt w:val="decimal"/>
      <w:lvlText w:val="%1."/>
      <w:lvlJc w:val="left"/>
      <w:pPr>
        <w:ind w:left="720" w:hanging="360"/>
      </w:pPr>
      <w:rPr>
        <w:rFonts w:cs="Times New Roman"/>
      </w:rPr>
    </w:lvl>
    <w:lvl w:ilvl="1" w:tplc="041D0019">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05622558"/>
    <w:multiLevelType w:val="hybridMultilevel"/>
    <w:tmpl w:val="C6EE3AD4"/>
    <w:lvl w:ilvl="0" w:tplc="ED7EAD9C">
      <w:start w:val="1"/>
      <w:numFmt w:val="lowerRoman"/>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259A4B25"/>
    <w:multiLevelType w:val="hybridMultilevel"/>
    <w:tmpl w:val="F70AF30A"/>
    <w:lvl w:ilvl="0" w:tplc="83387BC6">
      <w:start w:val="3"/>
      <w:numFmt w:val="bullet"/>
      <w:lvlText w:val="-"/>
      <w:lvlJc w:val="left"/>
      <w:pPr>
        <w:ind w:left="1494" w:hanging="360"/>
      </w:pPr>
      <w:rPr>
        <w:rFonts w:ascii="Times New Roman" w:eastAsia="Times New Roman" w:hAnsi="Times New Roman" w:hint="default"/>
      </w:rPr>
    </w:lvl>
    <w:lvl w:ilvl="1" w:tplc="08090003" w:tentative="1">
      <w:start w:val="1"/>
      <w:numFmt w:val="bullet"/>
      <w:lvlText w:val="o"/>
      <w:lvlJc w:val="left"/>
      <w:pPr>
        <w:ind w:left="2214" w:hanging="360"/>
      </w:pPr>
      <w:rPr>
        <w:rFonts w:ascii="Courier New" w:hAnsi="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nsid w:val="2B760E36"/>
    <w:multiLevelType w:val="hybridMultilevel"/>
    <w:tmpl w:val="F1AE2570"/>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37A917AD"/>
    <w:multiLevelType w:val="hybridMultilevel"/>
    <w:tmpl w:val="123A96A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4837217B"/>
    <w:multiLevelType w:val="hybridMultilevel"/>
    <w:tmpl w:val="57167C1E"/>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nsid w:val="4EF54DBF"/>
    <w:multiLevelType w:val="hybridMultilevel"/>
    <w:tmpl w:val="DC343760"/>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53A22966"/>
    <w:multiLevelType w:val="hybridMultilevel"/>
    <w:tmpl w:val="D7DE1B4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5F4A7236"/>
    <w:multiLevelType w:val="hybridMultilevel"/>
    <w:tmpl w:val="5514709C"/>
    <w:lvl w:ilvl="0" w:tplc="A962C8BC">
      <w:start w:val="3"/>
      <w:numFmt w:val="bullet"/>
      <w:lvlText w:val="-"/>
      <w:lvlJc w:val="left"/>
      <w:pPr>
        <w:ind w:left="720" w:hanging="360"/>
      </w:pPr>
      <w:rPr>
        <w:rFonts w:ascii="TradeGothic" w:eastAsia="Times New Roman" w:hAnsi="TradeGothic"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F89611A"/>
    <w:multiLevelType w:val="hybridMultilevel"/>
    <w:tmpl w:val="BA9EF9F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nsid w:val="63DF1CDD"/>
    <w:multiLevelType w:val="hybridMultilevel"/>
    <w:tmpl w:val="37DA07B2"/>
    <w:lvl w:ilvl="0" w:tplc="698A37C6">
      <w:start w:val="4"/>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869612C"/>
    <w:multiLevelType w:val="hybridMultilevel"/>
    <w:tmpl w:val="C73CD75A"/>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nsid w:val="6EED53E6"/>
    <w:multiLevelType w:val="hybridMultilevel"/>
    <w:tmpl w:val="F0E89F1A"/>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3">
    <w:nsid w:val="71AB0FDE"/>
    <w:multiLevelType w:val="hybridMultilevel"/>
    <w:tmpl w:val="0B7AB7C2"/>
    <w:lvl w:ilvl="0" w:tplc="03B6C3F4">
      <w:start w:val="7"/>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27F3EC5"/>
    <w:multiLevelType w:val="hybridMultilevel"/>
    <w:tmpl w:val="3274E0D2"/>
    <w:lvl w:ilvl="0" w:tplc="041D0011">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4"/>
  </w:num>
  <w:num w:numId="2">
    <w:abstractNumId w:val="12"/>
  </w:num>
  <w:num w:numId="3">
    <w:abstractNumId w:val="14"/>
  </w:num>
  <w:num w:numId="4">
    <w:abstractNumId w:val="0"/>
  </w:num>
  <w:num w:numId="5">
    <w:abstractNumId w:val="7"/>
  </w:num>
  <w:num w:numId="6">
    <w:abstractNumId w:val="11"/>
  </w:num>
  <w:num w:numId="7">
    <w:abstractNumId w:val="6"/>
  </w:num>
  <w:num w:numId="8">
    <w:abstractNumId w:val="5"/>
  </w:num>
  <w:num w:numId="9">
    <w:abstractNumId w:val="3"/>
  </w:num>
  <w:num w:numId="10">
    <w:abstractNumId w:val="2"/>
  </w:num>
  <w:num w:numId="11">
    <w:abstractNumId w:val="10"/>
  </w:num>
  <w:num w:numId="12">
    <w:abstractNumId w:val="13"/>
  </w:num>
  <w:num w:numId="13">
    <w:abstractNumId w:val="1"/>
  </w:num>
  <w:num w:numId="14">
    <w:abstractNumId w:val="9"/>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24BF"/>
    <w:rsid w:val="00073FE8"/>
    <w:rsid w:val="000A1B50"/>
    <w:rsid w:val="000D338F"/>
    <w:rsid w:val="00103658"/>
    <w:rsid w:val="00137281"/>
    <w:rsid w:val="00150CAE"/>
    <w:rsid w:val="00156F04"/>
    <w:rsid w:val="00191F50"/>
    <w:rsid w:val="001F12B2"/>
    <w:rsid w:val="0020122D"/>
    <w:rsid w:val="00205AF1"/>
    <w:rsid w:val="00223D38"/>
    <w:rsid w:val="002303F0"/>
    <w:rsid w:val="00284F5B"/>
    <w:rsid w:val="002929A0"/>
    <w:rsid w:val="002E3F63"/>
    <w:rsid w:val="002F0F80"/>
    <w:rsid w:val="00342F96"/>
    <w:rsid w:val="00375DC5"/>
    <w:rsid w:val="003C7713"/>
    <w:rsid w:val="003D6564"/>
    <w:rsid w:val="0042056B"/>
    <w:rsid w:val="004651B6"/>
    <w:rsid w:val="00470CA6"/>
    <w:rsid w:val="004B4FCF"/>
    <w:rsid w:val="004E4898"/>
    <w:rsid w:val="005067C6"/>
    <w:rsid w:val="005443F1"/>
    <w:rsid w:val="00551E21"/>
    <w:rsid w:val="00572629"/>
    <w:rsid w:val="00574A69"/>
    <w:rsid w:val="00594ED7"/>
    <w:rsid w:val="0059635E"/>
    <w:rsid w:val="005A1D9D"/>
    <w:rsid w:val="005B4DBF"/>
    <w:rsid w:val="005D128C"/>
    <w:rsid w:val="005F24BF"/>
    <w:rsid w:val="0062189C"/>
    <w:rsid w:val="00627389"/>
    <w:rsid w:val="00683172"/>
    <w:rsid w:val="006C40BC"/>
    <w:rsid w:val="006E3A44"/>
    <w:rsid w:val="007230AB"/>
    <w:rsid w:val="0077472F"/>
    <w:rsid w:val="007A63FD"/>
    <w:rsid w:val="007B07FE"/>
    <w:rsid w:val="007C5DC0"/>
    <w:rsid w:val="007C6168"/>
    <w:rsid w:val="007E564A"/>
    <w:rsid w:val="007F63C4"/>
    <w:rsid w:val="00812CE4"/>
    <w:rsid w:val="00814556"/>
    <w:rsid w:val="00815F2E"/>
    <w:rsid w:val="00830FEC"/>
    <w:rsid w:val="00845E2D"/>
    <w:rsid w:val="00875342"/>
    <w:rsid w:val="00886F64"/>
    <w:rsid w:val="008F192C"/>
    <w:rsid w:val="009061C4"/>
    <w:rsid w:val="00962597"/>
    <w:rsid w:val="009672AF"/>
    <w:rsid w:val="009A476A"/>
    <w:rsid w:val="009E0061"/>
    <w:rsid w:val="00A63D5E"/>
    <w:rsid w:val="00A91821"/>
    <w:rsid w:val="00AA333D"/>
    <w:rsid w:val="00AB6C8A"/>
    <w:rsid w:val="00AE20D5"/>
    <w:rsid w:val="00AF7425"/>
    <w:rsid w:val="00B1277D"/>
    <w:rsid w:val="00B6316B"/>
    <w:rsid w:val="00B70F59"/>
    <w:rsid w:val="00B71024"/>
    <w:rsid w:val="00B72C70"/>
    <w:rsid w:val="00B83822"/>
    <w:rsid w:val="00BA6C4E"/>
    <w:rsid w:val="00BF46EA"/>
    <w:rsid w:val="00C01D3E"/>
    <w:rsid w:val="00C1423B"/>
    <w:rsid w:val="00C30EB4"/>
    <w:rsid w:val="00C43D07"/>
    <w:rsid w:val="00C90A70"/>
    <w:rsid w:val="00CA4A59"/>
    <w:rsid w:val="00D65619"/>
    <w:rsid w:val="00DA10CA"/>
    <w:rsid w:val="00DB4044"/>
    <w:rsid w:val="00DE2616"/>
    <w:rsid w:val="00DE5C8E"/>
    <w:rsid w:val="00DE70AA"/>
    <w:rsid w:val="00DF706C"/>
    <w:rsid w:val="00E50510"/>
    <w:rsid w:val="00E53723"/>
    <w:rsid w:val="00E57E02"/>
    <w:rsid w:val="00E6526B"/>
    <w:rsid w:val="00E732A0"/>
    <w:rsid w:val="00E74024"/>
    <w:rsid w:val="00E9799F"/>
    <w:rsid w:val="00EC3603"/>
    <w:rsid w:val="00ED42B5"/>
    <w:rsid w:val="00F14D93"/>
    <w:rsid w:val="00F170A3"/>
    <w:rsid w:val="00F30D65"/>
    <w:rsid w:val="00F33678"/>
    <w:rsid w:val="00F60465"/>
    <w:rsid w:val="00F61C57"/>
    <w:rsid w:val="00FB3364"/>
    <w:rsid w:val="00FD0182"/>
    <w:rsid w:val="00FD3D08"/>
    <w:rsid w:val="00FD64DE"/>
    <w:rsid w:val="00FD67D7"/>
    <w:rsid w:val="00FE1289"/>
    <w:rsid w:val="00FF495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4BF"/>
    <w:pPr>
      <w:overflowPunct w:val="0"/>
      <w:autoSpaceDE w:val="0"/>
      <w:autoSpaceDN w:val="0"/>
      <w:adjustRightInd w:val="0"/>
      <w:spacing w:line="320" w:lineRule="atLeast"/>
      <w:textAlignment w:val="baseline"/>
    </w:pPr>
    <w:rPr>
      <w:rFonts w:ascii="OrigGarmnd BT" w:eastAsia="Times New Roman" w:hAnsi="OrigGarmnd BT"/>
      <w:sz w:val="24"/>
      <w:szCs w:val="20"/>
      <w:lang w:eastAsia="en-US"/>
    </w:rPr>
  </w:style>
  <w:style w:type="paragraph" w:styleId="Heading1">
    <w:name w:val="heading 1"/>
    <w:basedOn w:val="Normal"/>
    <w:next w:val="Normal"/>
    <w:link w:val="Heading1Char"/>
    <w:uiPriority w:val="99"/>
    <w:qFormat/>
    <w:rsid w:val="00ED42B5"/>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5F24BF"/>
    <w:pPr>
      <w:keepNext/>
      <w:keepLines/>
      <w:spacing w:before="200"/>
      <w:outlineLvl w:val="1"/>
    </w:pPr>
    <w:rPr>
      <w:rFonts w:ascii="Cambria" w:hAnsi="Cambria"/>
      <w:b/>
      <w:bCs/>
      <w:color w:val="4F81BD"/>
      <w:sz w:val="26"/>
      <w:szCs w:val="26"/>
    </w:rPr>
  </w:style>
  <w:style w:type="paragraph" w:styleId="Heading3">
    <w:name w:val="heading 3"/>
    <w:basedOn w:val="Heading2"/>
    <w:next w:val="RKnormal"/>
    <w:link w:val="Heading3Char"/>
    <w:uiPriority w:val="99"/>
    <w:qFormat/>
    <w:rsid w:val="005F24BF"/>
    <w:pPr>
      <w:keepLines w:val="0"/>
      <w:tabs>
        <w:tab w:val="left" w:pos="1134"/>
      </w:tabs>
      <w:spacing w:before="360" w:after="120" w:line="240" w:lineRule="atLeast"/>
      <w:outlineLvl w:val="2"/>
    </w:pPr>
    <w:rPr>
      <w:rFonts w:ascii="TradeGothic" w:hAnsi="TradeGothic"/>
      <w:b w:val="0"/>
      <w:bCs w:val="0"/>
      <w:color w:val="auto"/>
      <w:kern w:val="28"/>
      <w:sz w:val="2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42B5"/>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5F24BF"/>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5F24BF"/>
    <w:rPr>
      <w:rFonts w:ascii="TradeGothic" w:hAnsi="TradeGothic" w:cs="Times New Roman"/>
      <w:kern w:val="28"/>
      <w:sz w:val="20"/>
      <w:szCs w:val="20"/>
    </w:rPr>
  </w:style>
  <w:style w:type="paragraph" w:customStyle="1" w:styleId="Avsndare">
    <w:name w:val="Avsändare"/>
    <w:basedOn w:val="Normal"/>
    <w:uiPriority w:val="99"/>
    <w:rsid w:val="005F24BF"/>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Header">
    <w:name w:val="header"/>
    <w:basedOn w:val="Normal"/>
    <w:link w:val="HeaderChar"/>
    <w:uiPriority w:val="99"/>
    <w:rsid w:val="005F24BF"/>
    <w:pPr>
      <w:tabs>
        <w:tab w:val="center" w:pos="4153"/>
        <w:tab w:val="right" w:pos="8306"/>
      </w:tabs>
    </w:pPr>
  </w:style>
  <w:style w:type="character" w:customStyle="1" w:styleId="HeaderChar">
    <w:name w:val="Header Char"/>
    <w:basedOn w:val="DefaultParagraphFont"/>
    <w:link w:val="Header"/>
    <w:uiPriority w:val="99"/>
    <w:locked/>
    <w:rsid w:val="005F24BF"/>
    <w:rPr>
      <w:rFonts w:ascii="OrigGarmnd BT" w:hAnsi="OrigGarmnd BT" w:cs="Times New Roman"/>
      <w:sz w:val="20"/>
      <w:szCs w:val="20"/>
    </w:rPr>
  </w:style>
  <w:style w:type="paragraph" w:customStyle="1" w:styleId="RKnormal">
    <w:name w:val="RKnormal"/>
    <w:basedOn w:val="Normal"/>
    <w:link w:val="RKnormalChar"/>
    <w:uiPriority w:val="99"/>
    <w:rsid w:val="005F24BF"/>
    <w:pPr>
      <w:tabs>
        <w:tab w:val="left" w:pos="2835"/>
      </w:tabs>
      <w:spacing w:line="240" w:lineRule="atLeast"/>
    </w:pPr>
    <w:rPr>
      <w:lang w:eastAsia="sv-SE"/>
    </w:rPr>
  </w:style>
  <w:style w:type="paragraph" w:customStyle="1" w:styleId="RKrubrik">
    <w:name w:val="RKrubrik"/>
    <w:basedOn w:val="RKnormal"/>
    <w:next w:val="RKnormal"/>
    <w:link w:val="RKrubrikChar"/>
    <w:uiPriority w:val="99"/>
    <w:rsid w:val="005F24BF"/>
    <w:pPr>
      <w:keepNext/>
      <w:tabs>
        <w:tab w:val="left" w:pos="1134"/>
      </w:tabs>
      <w:spacing w:before="360" w:after="120"/>
    </w:pPr>
    <w:rPr>
      <w:rFonts w:ascii="TradeGothic" w:hAnsi="TradeGothic"/>
      <w:b/>
      <w:sz w:val="20"/>
    </w:rPr>
  </w:style>
  <w:style w:type="character" w:styleId="PageNumber">
    <w:name w:val="page number"/>
    <w:basedOn w:val="DefaultParagraphFont"/>
    <w:uiPriority w:val="99"/>
    <w:rsid w:val="005F24BF"/>
    <w:rPr>
      <w:rFonts w:cs="Times New Roman"/>
    </w:rPr>
  </w:style>
  <w:style w:type="character" w:customStyle="1" w:styleId="RKnormalChar">
    <w:name w:val="RKnormal Char"/>
    <w:link w:val="RKnormal"/>
    <w:uiPriority w:val="99"/>
    <w:locked/>
    <w:rsid w:val="005F24BF"/>
    <w:rPr>
      <w:rFonts w:ascii="OrigGarmnd BT" w:hAnsi="OrigGarmnd BT"/>
      <w:sz w:val="20"/>
    </w:rPr>
  </w:style>
  <w:style w:type="character" w:customStyle="1" w:styleId="RKrubrikChar">
    <w:name w:val="RKrubrik Char"/>
    <w:link w:val="RKrubrik"/>
    <w:uiPriority w:val="99"/>
    <w:locked/>
    <w:rsid w:val="005F24BF"/>
    <w:rPr>
      <w:rFonts w:ascii="TradeGothic" w:hAnsi="TradeGothic"/>
      <w:b/>
      <w:sz w:val="20"/>
    </w:rPr>
  </w:style>
  <w:style w:type="paragraph" w:styleId="FootnoteText">
    <w:name w:val="footnote text"/>
    <w:basedOn w:val="Normal"/>
    <w:link w:val="FootnoteTextChar"/>
    <w:uiPriority w:val="99"/>
    <w:rsid w:val="005F24BF"/>
    <w:rPr>
      <w:sz w:val="20"/>
    </w:rPr>
  </w:style>
  <w:style w:type="character" w:customStyle="1" w:styleId="FootnoteTextChar">
    <w:name w:val="Footnote Text Char"/>
    <w:basedOn w:val="DefaultParagraphFont"/>
    <w:link w:val="FootnoteText"/>
    <w:uiPriority w:val="99"/>
    <w:locked/>
    <w:rsid w:val="005F24BF"/>
    <w:rPr>
      <w:rFonts w:ascii="OrigGarmnd BT" w:hAnsi="OrigGarmnd BT" w:cs="Times New Roman"/>
      <w:sz w:val="20"/>
      <w:szCs w:val="20"/>
    </w:rPr>
  </w:style>
  <w:style w:type="character" w:styleId="FootnoteReference">
    <w:name w:val="footnote reference"/>
    <w:basedOn w:val="DefaultParagraphFont"/>
    <w:uiPriority w:val="99"/>
    <w:rsid w:val="005F24BF"/>
    <w:rPr>
      <w:rFonts w:cs="Times New Roman"/>
      <w:vertAlign w:val="superscript"/>
    </w:rPr>
  </w:style>
  <w:style w:type="paragraph" w:styleId="BalloonText">
    <w:name w:val="Balloon Text"/>
    <w:basedOn w:val="Normal"/>
    <w:link w:val="BalloonTextChar"/>
    <w:uiPriority w:val="99"/>
    <w:semiHidden/>
    <w:rsid w:val="005F24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24BF"/>
    <w:rPr>
      <w:rFonts w:ascii="Tahoma" w:hAnsi="Tahoma" w:cs="Tahoma"/>
      <w:sz w:val="16"/>
      <w:szCs w:val="16"/>
    </w:rPr>
  </w:style>
  <w:style w:type="paragraph" w:customStyle="1" w:styleId="Char">
    <w:name w:val="Char"/>
    <w:basedOn w:val="Normal"/>
    <w:uiPriority w:val="99"/>
    <w:rsid w:val="00814556"/>
    <w:pPr>
      <w:overflowPunct/>
      <w:autoSpaceDE/>
      <w:autoSpaceDN/>
      <w:adjustRightInd/>
      <w:spacing w:after="160" w:line="240" w:lineRule="exact"/>
      <w:textAlignment w:val="auto"/>
    </w:pPr>
    <w:rPr>
      <w:rFonts w:ascii="Tahoma" w:hAnsi="Tahoma"/>
      <w:sz w:val="20"/>
      <w:lang w:val="en-US"/>
    </w:rPr>
  </w:style>
  <w:style w:type="character" w:customStyle="1" w:styleId="RKnormalChar2">
    <w:name w:val="RKnormal Char2"/>
    <w:uiPriority w:val="99"/>
    <w:locked/>
    <w:rsid w:val="005067C6"/>
    <w:rPr>
      <w:rFonts w:ascii="OrigGarmnd BT" w:hAnsi="OrigGarmnd BT"/>
      <w:sz w:val="24"/>
      <w:lang w:eastAsia="en-US"/>
    </w:rPr>
  </w:style>
  <w:style w:type="paragraph" w:customStyle="1" w:styleId="Char1">
    <w:name w:val="Char1"/>
    <w:basedOn w:val="Normal"/>
    <w:uiPriority w:val="99"/>
    <w:rsid w:val="00815F2E"/>
    <w:pPr>
      <w:overflowPunct/>
      <w:autoSpaceDE/>
      <w:autoSpaceDN/>
      <w:adjustRightInd/>
      <w:spacing w:after="160" w:line="240" w:lineRule="exact"/>
      <w:textAlignment w:val="auto"/>
    </w:pPr>
    <w:rPr>
      <w:rFonts w:ascii="Tahoma" w:hAnsi="Tahoma"/>
      <w:sz w:val="20"/>
      <w:lang w:val="en-US"/>
    </w:rPr>
  </w:style>
  <w:style w:type="character" w:customStyle="1" w:styleId="spelle">
    <w:name w:val="spelle"/>
    <w:basedOn w:val="DefaultParagraphFont"/>
    <w:uiPriority w:val="99"/>
    <w:rsid w:val="00C01D3E"/>
    <w:rPr>
      <w:rFonts w:cs="Times New Roman"/>
    </w:rPr>
  </w:style>
  <w:style w:type="character" w:customStyle="1" w:styleId="hps">
    <w:name w:val="hps"/>
    <w:uiPriority w:val="99"/>
    <w:rsid w:val="0059635E"/>
  </w:style>
  <w:style w:type="paragraph" w:styleId="ListParagraph">
    <w:name w:val="List Paragraph"/>
    <w:basedOn w:val="Normal"/>
    <w:uiPriority w:val="99"/>
    <w:qFormat/>
    <w:rsid w:val="00FD0182"/>
    <w:pPr>
      <w:ind w:left="720"/>
      <w:contextualSpacing/>
    </w:pPr>
  </w:style>
  <w:style w:type="paragraph" w:styleId="EndnoteText">
    <w:name w:val="endnote text"/>
    <w:basedOn w:val="Normal"/>
    <w:link w:val="EndnoteTextChar"/>
    <w:uiPriority w:val="99"/>
    <w:semiHidden/>
    <w:rsid w:val="00CA4A59"/>
    <w:pPr>
      <w:spacing w:line="240" w:lineRule="auto"/>
    </w:pPr>
    <w:rPr>
      <w:sz w:val="20"/>
    </w:rPr>
  </w:style>
  <w:style w:type="character" w:customStyle="1" w:styleId="EndnoteTextChar">
    <w:name w:val="Endnote Text Char"/>
    <w:basedOn w:val="DefaultParagraphFont"/>
    <w:link w:val="EndnoteText"/>
    <w:uiPriority w:val="99"/>
    <w:semiHidden/>
    <w:locked/>
    <w:rsid w:val="00CA4A59"/>
    <w:rPr>
      <w:rFonts w:ascii="OrigGarmnd BT" w:hAnsi="OrigGarmnd BT" w:cs="Times New Roman"/>
      <w:sz w:val="20"/>
      <w:szCs w:val="20"/>
    </w:rPr>
  </w:style>
  <w:style w:type="character" w:styleId="EndnoteReference">
    <w:name w:val="endnote reference"/>
    <w:basedOn w:val="DefaultParagraphFont"/>
    <w:uiPriority w:val="99"/>
    <w:semiHidden/>
    <w:rsid w:val="00CA4A59"/>
    <w:rPr>
      <w:rFonts w:cs="Times New Roman"/>
      <w:vertAlign w:val="superscript"/>
    </w:rPr>
  </w:style>
  <w:style w:type="character" w:styleId="CommentReference">
    <w:name w:val="annotation reference"/>
    <w:basedOn w:val="DefaultParagraphFont"/>
    <w:uiPriority w:val="99"/>
    <w:semiHidden/>
    <w:rsid w:val="00CA4A59"/>
    <w:rPr>
      <w:rFonts w:cs="Times New Roman"/>
      <w:sz w:val="16"/>
      <w:szCs w:val="16"/>
    </w:rPr>
  </w:style>
  <w:style w:type="paragraph" w:styleId="CommentText">
    <w:name w:val="annotation text"/>
    <w:basedOn w:val="Normal"/>
    <w:link w:val="CommentTextChar"/>
    <w:uiPriority w:val="99"/>
    <w:semiHidden/>
    <w:rsid w:val="00CA4A59"/>
    <w:pPr>
      <w:spacing w:line="240" w:lineRule="auto"/>
    </w:pPr>
    <w:rPr>
      <w:sz w:val="20"/>
    </w:rPr>
  </w:style>
  <w:style w:type="character" w:customStyle="1" w:styleId="CommentTextChar">
    <w:name w:val="Comment Text Char"/>
    <w:basedOn w:val="DefaultParagraphFont"/>
    <w:link w:val="CommentText"/>
    <w:uiPriority w:val="99"/>
    <w:semiHidden/>
    <w:locked/>
    <w:rsid w:val="00CA4A59"/>
    <w:rPr>
      <w:rFonts w:ascii="OrigGarmnd BT" w:hAnsi="OrigGarmnd BT" w:cs="Times New Roman"/>
      <w:sz w:val="20"/>
      <w:szCs w:val="20"/>
    </w:rPr>
  </w:style>
  <w:style w:type="paragraph" w:styleId="CommentSubject">
    <w:name w:val="annotation subject"/>
    <w:basedOn w:val="CommentText"/>
    <w:next w:val="CommentText"/>
    <w:link w:val="CommentSubjectChar"/>
    <w:uiPriority w:val="99"/>
    <w:semiHidden/>
    <w:rsid w:val="00CA4A59"/>
    <w:rPr>
      <w:b/>
      <w:bCs/>
    </w:rPr>
  </w:style>
  <w:style w:type="character" w:customStyle="1" w:styleId="CommentSubjectChar">
    <w:name w:val="Comment Subject Char"/>
    <w:basedOn w:val="CommentTextChar"/>
    <w:link w:val="CommentSubject"/>
    <w:uiPriority w:val="99"/>
    <w:semiHidden/>
    <w:locked/>
    <w:rsid w:val="00CA4A59"/>
    <w:rPr>
      <w:b/>
      <w:bCs/>
    </w:rPr>
  </w:style>
  <w:style w:type="paragraph" w:customStyle="1" w:styleId="EntRefer">
    <w:name w:val="EntRefer"/>
    <w:basedOn w:val="Normal"/>
    <w:uiPriority w:val="99"/>
    <w:rsid w:val="005A1D9D"/>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CharChar1Char">
    <w:name w:val="Char Char1 Char"/>
    <w:basedOn w:val="Normal"/>
    <w:uiPriority w:val="99"/>
    <w:rsid w:val="005A1D9D"/>
    <w:pPr>
      <w:overflowPunct/>
      <w:autoSpaceDE/>
      <w:autoSpaceDN/>
      <w:adjustRightInd/>
      <w:spacing w:after="160" w:line="240" w:lineRule="exact"/>
      <w:textAlignment w:val="auto"/>
    </w:pPr>
    <w:rPr>
      <w:rFonts w:ascii="Tahoma" w:hAnsi="Tahoma"/>
      <w:sz w:val="20"/>
      <w:lang w:val="en-US"/>
    </w:rPr>
  </w:style>
</w:styles>
</file>

<file path=word/webSettings.xml><?xml version="1.0" encoding="utf-8"?>
<w:webSettings xmlns:r="http://schemas.openxmlformats.org/officeDocument/2006/relationships" xmlns:w="http://schemas.openxmlformats.org/wordprocessingml/2006/main">
  <w:divs>
    <w:div w:id="1728142138">
      <w:marLeft w:val="0"/>
      <w:marRight w:val="0"/>
      <w:marTop w:val="0"/>
      <w:marBottom w:val="0"/>
      <w:divBdr>
        <w:top w:val="none" w:sz="0" w:space="0" w:color="auto"/>
        <w:left w:val="none" w:sz="0" w:space="0" w:color="auto"/>
        <w:bottom w:val="none" w:sz="0" w:space="0" w:color="auto"/>
        <w:right w:val="none" w:sz="0" w:space="0" w:color="auto"/>
      </w:divBdr>
    </w:div>
    <w:div w:id="1728142139">
      <w:marLeft w:val="0"/>
      <w:marRight w:val="0"/>
      <w:marTop w:val="0"/>
      <w:marBottom w:val="0"/>
      <w:divBdr>
        <w:top w:val="none" w:sz="0" w:space="0" w:color="auto"/>
        <w:left w:val="none" w:sz="0" w:space="0" w:color="auto"/>
        <w:bottom w:val="none" w:sz="0" w:space="0" w:color="auto"/>
        <w:right w:val="none" w:sz="0" w:space="0" w:color="auto"/>
      </w:divBdr>
    </w:div>
    <w:div w:id="1728142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2046</Words>
  <Characters>13060</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dc:title>
  <dc:subject/>
  <dc:creator>Johanna Jansson</dc:creator>
  <cp:keywords/>
  <dc:description/>
  <cp:lastModifiedBy>ha0808ab</cp:lastModifiedBy>
  <cp:revision>2</cp:revision>
  <cp:lastPrinted>2012-06-11T10:55:00Z</cp:lastPrinted>
  <dcterms:created xsi:type="dcterms:W3CDTF">2012-06-11T10:57:00Z</dcterms:created>
  <dcterms:modified xsi:type="dcterms:W3CDTF">2012-06-11T10:57:00Z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0x01010053E1D612BA3F4E21AA250ECD751942B3006C12ABF61EB7E3419B49272BBB4E37FE</vt:lpwstr>
  </property>
  <property fmtid="{D5CDD505-2E9C-101B-9397-08002B2CF9AE}" pid="3" name="Order">
    <vt:r8>1.95066619316335E-305</vt:r8>
  </property>
  <property fmtid="{D5CDD505-2E9C-101B-9397-08002B2CF9AE}" pid="4" name="_dlc_DocIdItemGuid">
    <vt:lpwstr>4f3a6c7b-3385-4f71-9102-0855f7e76ab6</vt:lpwstr>
  </property>
  <property fmtid="{D5CDD505-2E9C-101B-9397-08002B2CF9AE}" pid="5" name="RKOrdnaActivityCategory2">
    <vt:lpwstr>4.1. Europeiska unionen</vt:lpwstr>
  </property>
  <property fmtid="{D5CDD505-2E9C-101B-9397-08002B2CF9AE}" pid="6" name="RKOrdnaDepartement2">
    <vt:lpwstr>Landsbygdsdepartementet</vt:lpwstr>
  </property>
  <property fmtid="{D5CDD505-2E9C-101B-9397-08002B2CF9AE}" pid="7" name="RKOrdnaDiarienummer">
    <vt:lpwstr/>
  </property>
  <property fmtid="{D5CDD505-2E9C-101B-9397-08002B2CF9AE}" pid="8" name="RKOrdnaClass">
    <vt:lpwstr>3</vt:lpwstr>
  </property>
  <property fmtid="{D5CDD505-2E9C-101B-9397-08002B2CF9AE}" pid="9" name="RKOrdnaCheckInComment">
    <vt:lpwstr/>
  </property>
  <property fmtid="{D5CDD505-2E9C-101B-9397-08002B2CF9AE}" pid="10" name="QFMSP source name">
    <vt:lpwstr/>
  </property>
  <property fmtid="{D5CDD505-2E9C-101B-9397-08002B2CF9AE}" pid="11" name="Nyckelord">
    <vt:lpwstr/>
  </property>
  <property fmtid="{D5CDD505-2E9C-101B-9397-08002B2CF9AE}" pid="12" name="TaxCatchAll">
    <vt:lpwstr/>
  </property>
  <property fmtid="{D5CDD505-2E9C-101B-9397-08002B2CF9AE}" pid="13" name="Sekretess m.m.">
    <vt:lpwstr>0</vt:lpwstr>
  </property>
  <property fmtid="{D5CDD505-2E9C-101B-9397-08002B2CF9AE}" pid="14" name="Diarienummer">
    <vt:lpwstr/>
  </property>
  <property fmtid="{D5CDD505-2E9C-101B-9397-08002B2CF9AE}" pid="15" name="_dlc_DocId">
    <vt:lpwstr>J4ACQ3WQMRDN-3-22418</vt:lpwstr>
  </property>
  <property fmtid="{D5CDD505-2E9C-101B-9397-08002B2CF9AE}" pid="16" name="_dlc_DocIdUrl">
    <vt:lpwstr>http://rkdhs-l/enhet/eui/_layouts/DocIdRedir.aspx?ID=J4ACQ3WQMRDN-3-22418, J4ACQ3WQMRDN-3-22418</vt:lpwstr>
  </property>
  <property fmtid="{D5CDD505-2E9C-101B-9397-08002B2CF9AE}" pid="17" name="k46d94c0acf84ab9a79866a9d8b1905f">
    <vt:lpwstr/>
  </property>
  <property fmtid="{D5CDD505-2E9C-101B-9397-08002B2CF9AE}" pid="18" name="c9cd366cc722410295b9eacffbd73909">
    <vt:lpwstr/>
  </property>
</Properties>
</file>