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EF7" w:rsidRPr="00211EF7" w:rsidRDefault="00211EF7">
      <w:pPr>
        <w:pStyle w:val="Frslagsrubrik"/>
        <w:shd w:val="clear" w:color="000000" w:fill="auto"/>
      </w:pPr>
      <w:r w:rsidRPr="00211EF7">
        <w:t>Förslag till riksdagsbeslut</w:t>
      </w:r>
    </w:p>
    <w:p w:rsidR="00211EF7" w:rsidRPr="00211EF7" w:rsidRDefault="00211EF7">
      <w:pPr>
        <w:pStyle w:val="Hemstlatt"/>
        <w:shd w:val="clear" w:color="000000" w:fill="auto"/>
        <w:ind w:left="0"/>
      </w:pPr>
      <w:r w:rsidRPr="00211EF7">
        <w:t>Riksdagen anvisar med följande ändringar i förhålla</w:t>
      </w:r>
      <w:r w:rsidRPr="00211EF7">
        <w:t>n</w:t>
      </w:r>
      <w:r w:rsidRPr="00211EF7">
        <w:t>de till regeringens förslag anslagen under utgiftsområde 6 Försvar och sa</w:t>
      </w:r>
      <w:r w:rsidRPr="00211EF7">
        <w:t>m</w:t>
      </w:r>
      <w:r w:rsidRPr="00211EF7">
        <w:t>hällets krisberedskap enligt uppställning:</w:t>
      </w:r>
    </w:p>
    <w:tbl>
      <w:tblPr>
        <w:tblW w:w="6124" w:type="dxa"/>
        <w:tblInd w:w="55" w:type="dxa"/>
        <w:tblLayout w:type="fixed"/>
        <w:tblCellMar>
          <w:left w:w="70" w:type="dxa"/>
          <w:right w:w="70" w:type="dxa"/>
        </w:tblCellMar>
        <w:tblLook w:val="0000" w:firstRow="0" w:lastRow="0" w:firstColumn="0" w:lastColumn="0" w:noHBand="0" w:noVBand="0"/>
      </w:tblPr>
      <w:tblGrid>
        <w:gridCol w:w="735"/>
        <w:gridCol w:w="3416"/>
        <w:gridCol w:w="1024"/>
        <w:gridCol w:w="949"/>
      </w:tblGrid>
      <w:tr w:rsidR="00000000" w:rsidRPr="00211EF7">
        <w:trPr>
          <w:trHeight w:val="420"/>
        </w:trPr>
        <w:tc>
          <w:tcPr>
            <w:tcW w:w="735" w:type="dxa"/>
            <w:tcBorders>
              <w:top w:val="single" w:sz="4" w:space="0" w:color="auto"/>
              <w:left w:val="nil"/>
              <w:bottom w:val="single" w:sz="8" w:space="0" w:color="000000"/>
              <w:right w:val="nil"/>
            </w:tcBorders>
          </w:tcPr>
          <w:p w:rsidR="00211EF7" w:rsidRPr="00211EF7" w:rsidRDefault="00211EF7">
            <w:pPr>
              <w:shd w:val="clear" w:color="000000" w:fill="auto"/>
              <w:spacing w:before="60" w:line="200" w:lineRule="exact"/>
              <w:rPr>
                <w:b/>
                <w:bCs/>
                <w:color w:val="000000"/>
                <w:sz w:val="16"/>
                <w:szCs w:val="16"/>
              </w:rPr>
            </w:pPr>
            <w:r w:rsidRPr="00211EF7">
              <w:rPr>
                <w:b/>
                <w:bCs/>
                <w:color w:val="000000"/>
                <w:sz w:val="16"/>
                <w:szCs w:val="16"/>
              </w:rPr>
              <w:t>Anslag</w:t>
            </w:r>
          </w:p>
        </w:tc>
        <w:tc>
          <w:tcPr>
            <w:tcW w:w="3416" w:type="dxa"/>
            <w:tcBorders>
              <w:top w:val="single" w:sz="4" w:space="0" w:color="auto"/>
              <w:left w:val="nil"/>
              <w:bottom w:val="single" w:sz="8" w:space="0" w:color="000000"/>
              <w:right w:val="nil"/>
            </w:tcBorders>
          </w:tcPr>
          <w:p w:rsidR="00211EF7" w:rsidRPr="00211EF7" w:rsidRDefault="00211EF7">
            <w:pPr>
              <w:shd w:val="clear" w:color="000000" w:fill="auto"/>
              <w:spacing w:before="60" w:line="200" w:lineRule="exact"/>
              <w:rPr>
                <w:b/>
                <w:bCs/>
                <w:color w:val="000000"/>
                <w:sz w:val="16"/>
                <w:szCs w:val="16"/>
              </w:rPr>
            </w:pPr>
          </w:p>
        </w:tc>
        <w:tc>
          <w:tcPr>
            <w:tcW w:w="1024" w:type="dxa"/>
            <w:tcBorders>
              <w:top w:val="single" w:sz="4" w:space="0" w:color="auto"/>
              <w:left w:val="nil"/>
              <w:bottom w:val="single" w:sz="8" w:space="0" w:color="000000"/>
              <w:right w:val="nil"/>
            </w:tcBorders>
          </w:tcPr>
          <w:p w:rsidR="00211EF7" w:rsidRPr="00211EF7" w:rsidRDefault="00211EF7">
            <w:pPr>
              <w:shd w:val="clear" w:color="000000" w:fill="auto"/>
              <w:spacing w:before="60" w:line="200" w:lineRule="exact"/>
              <w:jc w:val="right"/>
              <w:rPr>
                <w:b/>
                <w:bCs/>
                <w:color w:val="000000"/>
                <w:sz w:val="16"/>
                <w:szCs w:val="16"/>
              </w:rPr>
            </w:pPr>
            <w:r w:rsidRPr="00211EF7">
              <w:rPr>
                <w:b/>
                <w:bCs/>
                <w:color w:val="000000"/>
                <w:sz w:val="16"/>
                <w:szCs w:val="16"/>
              </w:rPr>
              <w:t>Regeringens förslag (tkr)</w:t>
            </w:r>
          </w:p>
        </w:tc>
        <w:tc>
          <w:tcPr>
            <w:tcW w:w="949" w:type="dxa"/>
            <w:tcBorders>
              <w:top w:val="single" w:sz="4" w:space="0" w:color="auto"/>
              <w:left w:val="nil"/>
              <w:bottom w:val="single" w:sz="8" w:space="0" w:color="000000"/>
              <w:right w:val="nil"/>
            </w:tcBorders>
          </w:tcPr>
          <w:p w:rsidR="00211EF7" w:rsidRPr="00211EF7" w:rsidRDefault="00211EF7">
            <w:pPr>
              <w:shd w:val="clear" w:color="000000" w:fill="auto"/>
              <w:spacing w:before="60" w:line="200" w:lineRule="exact"/>
              <w:jc w:val="right"/>
              <w:rPr>
                <w:b/>
                <w:bCs/>
                <w:color w:val="000000"/>
                <w:sz w:val="16"/>
                <w:szCs w:val="16"/>
              </w:rPr>
            </w:pPr>
            <w:r w:rsidRPr="00211EF7">
              <w:rPr>
                <w:b/>
                <w:bCs/>
                <w:color w:val="000000"/>
                <w:sz w:val="16"/>
                <w:szCs w:val="16"/>
              </w:rPr>
              <w:t xml:space="preserve">Förändring </w:t>
            </w:r>
            <w:r w:rsidRPr="00211EF7">
              <w:rPr>
                <w:b/>
                <w:bCs/>
                <w:color w:val="000000"/>
                <w:sz w:val="16"/>
                <w:szCs w:val="16"/>
              </w:rPr>
              <w:br/>
              <w:t>(tkr)</w:t>
            </w:r>
          </w:p>
        </w:tc>
      </w:tr>
      <w:tr w:rsidR="00000000" w:rsidRPr="00211EF7">
        <w:trPr>
          <w:trHeight w:val="319"/>
        </w:trPr>
        <w:tc>
          <w:tcPr>
            <w:tcW w:w="735"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color w:val="000000"/>
                <w:sz w:val="16"/>
                <w:szCs w:val="16"/>
              </w:rPr>
              <w:t>1:1</w:t>
            </w:r>
          </w:p>
        </w:tc>
        <w:tc>
          <w:tcPr>
            <w:tcW w:w="3416"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sz w:val="16"/>
                <w:szCs w:val="16"/>
              </w:rPr>
              <w:t>Förbandsverksamhet och beredskap</w:t>
            </w:r>
          </w:p>
        </w:tc>
        <w:tc>
          <w:tcPr>
            <w:tcW w:w="1024" w:type="dxa"/>
            <w:tcBorders>
              <w:top w:val="nil"/>
              <w:left w:val="nil"/>
              <w:bottom w:val="nil"/>
              <w:right w:val="nil"/>
            </w:tcBorders>
            <w:vAlign w:val="bottom"/>
          </w:tcPr>
          <w:p w:rsidR="00211EF7" w:rsidRPr="00211EF7" w:rsidRDefault="00211EF7">
            <w:pPr>
              <w:shd w:val="clear" w:color="000000" w:fill="auto"/>
              <w:spacing w:before="60" w:line="200" w:lineRule="exact"/>
              <w:jc w:val="right"/>
              <w:rPr>
                <w:color w:val="000000"/>
                <w:sz w:val="16"/>
                <w:szCs w:val="16"/>
              </w:rPr>
            </w:pPr>
            <w:r w:rsidRPr="00211EF7">
              <w:rPr>
                <w:sz w:val="16"/>
                <w:szCs w:val="16"/>
              </w:rPr>
              <w:t>19 882 368</w:t>
            </w:r>
          </w:p>
        </w:tc>
        <w:tc>
          <w:tcPr>
            <w:tcW w:w="949" w:type="dxa"/>
            <w:tcBorders>
              <w:top w:val="nil"/>
              <w:left w:val="nil"/>
              <w:bottom w:val="nil"/>
              <w:right w:val="nil"/>
            </w:tcBorders>
            <w:vAlign w:val="bottom"/>
          </w:tcPr>
          <w:p w:rsidR="00211EF7" w:rsidRPr="00211EF7" w:rsidRDefault="00211EF7">
            <w:pPr>
              <w:shd w:val="clear" w:color="000000" w:fill="auto"/>
              <w:spacing w:before="60" w:line="200" w:lineRule="exact"/>
              <w:jc w:val="right"/>
              <w:rPr>
                <w:color w:val="000000"/>
                <w:sz w:val="16"/>
                <w:szCs w:val="16"/>
              </w:rPr>
            </w:pPr>
            <w:r w:rsidRPr="00211EF7">
              <w:rPr>
                <w:sz w:val="16"/>
                <w:szCs w:val="16"/>
              </w:rPr>
              <w:t>160</w:t>
            </w:r>
          </w:p>
        </w:tc>
      </w:tr>
      <w:tr w:rsidR="00000000" w:rsidRPr="00211EF7">
        <w:trPr>
          <w:trHeight w:val="319"/>
        </w:trPr>
        <w:tc>
          <w:tcPr>
            <w:tcW w:w="735"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color w:val="000000"/>
                <w:sz w:val="16"/>
                <w:szCs w:val="16"/>
              </w:rPr>
              <w:t xml:space="preserve">1:2 </w:t>
            </w:r>
          </w:p>
        </w:tc>
        <w:tc>
          <w:tcPr>
            <w:tcW w:w="3416"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sz w:val="16"/>
                <w:szCs w:val="16"/>
              </w:rPr>
              <w:t>Fredsfrämjande förbandsinsatser</w:t>
            </w:r>
          </w:p>
        </w:tc>
        <w:tc>
          <w:tcPr>
            <w:tcW w:w="1024" w:type="dxa"/>
            <w:tcBorders>
              <w:top w:val="nil"/>
              <w:left w:val="nil"/>
              <w:bottom w:val="nil"/>
              <w:right w:val="nil"/>
            </w:tcBorders>
            <w:vAlign w:val="bottom"/>
          </w:tcPr>
          <w:p w:rsidR="00211EF7" w:rsidRPr="00211EF7" w:rsidRDefault="00211EF7">
            <w:pPr>
              <w:shd w:val="clear" w:color="000000" w:fill="auto"/>
              <w:spacing w:before="60" w:line="200" w:lineRule="exact"/>
              <w:jc w:val="right"/>
              <w:rPr>
                <w:color w:val="000000"/>
                <w:sz w:val="16"/>
                <w:szCs w:val="16"/>
              </w:rPr>
            </w:pPr>
            <w:r w:rsidRPr="00211EF7">
              <w:rPr>
                <w:sz w:val="16"/>
                <w:szCs w:val="16"/>
              </w:rPr>
              <w:t>2 537 312</w:t>
            </w:r>
          </w:p>
        </w:tc>
        <w:tc>
          <w:tcPr>
            <w:tcW w:w="949" w:type="dxa"/>
            <w:tcBorders>
              <w:top w:val="nil"/>
              <w:left w:val="nil"/>
              <w:bottom w:val="nil"/>
              <w:right w:val="nil"/>
            </w:tcBorders>
            <w:vAlign w:val="bottom"/>
          </w:tcPr>
          <w:p w:rsidR="00211EF7" w:rsidRPr="00211EF7" w:rsidRDefault="00211EF7">
            <w:pPr>
              <w:shd w:val="clear" w:color="000000" w:fill="auto"/>
              <w:spacing w:before="60" w:line="200" w:lineRule="exact"/>
              <w:jc w:val="right"/>
              <w:rPr>
                <w:color w:val="000000"/>
                <w:sz w:val="16"/>
                <w:szCs w:val="16"/>
              </w:rPr>
            </w:pPr>
            <w:r w:rsidRPr="00211EF7">
              <w:rPr>
                <w:sz w:val="16"/>
                <w:szCs w:val="16"/>
              </w:rPr>
              <w:t>–1 200</w:t>
            </w:r>
          </w:p>
        </w:tc>
      </w:tr>
      <w:tr w:rsidR="00000000" w:rsidRPr="00211EF7">
        <w:trPr>
          <w:trHeight w:val="319"/>
        </w:trPr>
        <w:tc>
          <w:tcPr>
            <w:tcW w:w="735"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color w:val="000000"/>
                <w:sz w:val="16"/>
                <w:szCs w:val="16"/>
              </w:rPr>
              <w:t>1:3</w:t>
            </w:r>
          </w:p>
        </w:tc>
        <w:tc>
          <w:tcPr>
            <w:tcW w:w="3416"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sz w:val="16"/>
                <w:szCs w:val="16"/>
              </w:rPr>
              <w:t>Anskaffning av materiel och anläggningar</w:t>
            </w:r>
          </w:p>
        </w:tc>
        <w:tc>
          <w:tcPr>
            <w:tcW w:w="1024" w:type="dxa"/>
            <w:tcBorders>
              <w:top w:val="nil"/>
              <w:left w:val="nil"/>
              <w:bottom w:val="nil"/>
              <w:right w:val="nil"/>
            </w:tcBorders>
            <w:vAlign w:val="bottom"/>
          </w:tcPr>
          <w:p w:rsidR="00211EF7" w:rsidRPr="00211EF7" w:rsidRDefault="00211EF7">
            <w:pPr>
              <w:shd w:val="clear" w:color="000000" w:fill="auto"/>
              <w:spacing w:before="60" w:line="200" w:lineRule="exact"/>
              <w:jc w:val="right"/>
              <w:rPr>
                <w:color w:val="000000"/>
                <w:sz w:val="16"/>
                <w:szCs w:val="16"/>
              </w:rPr>
            </w:pPr>
            <w:r w:rsidRPr="00211EF7">
              <w:rPr>
                <w:sz w:val="16"/>
                <w:szCs w:val="16"/>
              </w:rPr>
              <w:t>10 847 912</w:t>
            </w:r>
          </w:p>
        </w:tc>
        <w:tc>
          <w:tcPr>
            <w:tcW w:w="949" w:type="dxa"/>
            <w:tcBorders>
              <w:top w:val="nil"/>
              <w:left w:val="nil"/>
              <w:bottom w:val="nil"/>
              <w:right w:val="nil"/>
            </w:tcBorders>
            <w:vAlign w:val="bottom"/>
          </w:tcPr>
          <w:p w:rsidR="00211EF7" w:rsidRPr="00211EF7" w:rsidRDefault="00211EF7">
            <w:pPr>
              <w:pStyle w:val="PunktlistaTankstreck"/>
              <w:numPr>
                <w:ilvl w:val="0"/>
                <w:numId w:val="0"/>
              </w:numPr>
              <w:shd w:val="clear" w:color="000000" w:fill="auto"/>
              <w:spacing w:before="60" w:line="200" w:lineRule="exact"/>
              <w:jc w:val="right"/>
              <w:rPr>
                <w:sz w:val="16"/>
                <w:szCs w:val="16"/>
              </w:rPr>
            </w:pPr>
            <w:r w:rsidRPr="00211EF7">
              <w:rPr>
                <w:sz w:val="16"/>
                <w:szCs w:val="16"/>
              </w:rPr>
              <w:t>–400</w:t>
            </w:r>
          </w:p>
        </w:tc>
      </w:tr>
      <w:tr w:rsidR="00000000" w:rsidRPr="00211EF7">
        <w:trPr>
          <w:trHeight w:val="319"/>
        </w:trPr>
        <w:tc>
          <w:tcPr>
            <w:tcW w:w="735"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color w:val="000000"/>
                <w:sz w:val="16"/>
                <w:szCs w:val="16"/>
              </w:rPr>
              <w:t>1:5</w:t>
            </w:r>
          </w:p>
        </w:tc>
        <w:tc>
          <w:tcPr>
            <w:tcW w:w="3416"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sz w:val="16"/>
                <w:szCs w:val="16"/>
              </w:rPr>
              <w:t>Forskning och teknikutveckling</w:t>
            </w:r>
          </w:p>
        </w:tc>
        <w:tc>
          <w:tcPr>
            <w:tcW w:w="1024" w:type="dxa"/>
            <w:tcBorders>
              <w:top w:val="nil"/>
              <w:left w:val="nil"/>
              <w:bottom w:val="nil"/>
              <w:right w:val="nil"/>
            </w:tcBorders>
            <w:vAlign w:val="bottom"/>
          </w:tcPr>
          <w:p w:rsidR="00211EF7" w:rsidRPr="00211EF7" w:rsidRDefault="00211EF7">
            <w:pPr>
              <w:shd w:val="clear" w:color="000000" w:fill="auto"/>
              <w:spacing w:before="60" w:line="200" w:lineRule="exact"/>
              <w:jc w:val="right"/>
              <w:rPr>
                <w:color w:val="000000"/>
                <w:sz w:val="16"/>
                <w:szCs w:val="16"/>
              </w:rPr>
            </w:pPr>
            <w:r w:rsidRPr="00211EF7">
              <w:rPr>
                <w:sz w:val="16"/>
                <w:szCs w:val="16"/>
              </w:rPr>
              <w:t>864 450</w:t>
            </w:r>
          </w:p>
        </w:tc>
        <w:tc>
          <w:tcPr>
            <w:tcW w:w="949" w:type="dxa"/>
            <w:tcBorders>
              <w:top w:val="nil"/>
              <w:left w:val="nil"/>
              <w:bottom w:val="nil"/>
              <w:right w:val="nil"/>
            </w:tcBorders>
            <w:vAlign w:val="bottom"/>
          </w:tcPr>
          <w:p w:rsidR="00211EF7" w:rsidRPr="00211EF7" w:rsidRDefault="00211EF7">
            <w:pPr>
              <w:pStyle w:val="PunktlistaTankstreck"/>
              <w:numPr>
                <w:ilvl w:val="0"/>
                <w:numId w:val="0"/>
              </w:numPr>
              <w:shd w:val="clear" w:color="000000" w:fill="auto"/>
              <w:spacing w:before="60" w:line="200" w:lineRule="exact"/>
              <w:jc w:val="right"/>
              <w:rPr>
                <w:sz w:val="16"/>
                <w:szCs w:val="16"/>
              </w:rPr>
            </w:pPr>
            <w:r w:rsidRPr="00211EF7">
              <w:rPr>
                <w:sz w:val="16"/>
                <w:szCs w:val="16"/>
              </w:rPr>
              <w:t>–400</w:t>
            </w:r>
          </w:p>
        </w:tc>
      </w:tr>
      <w:tr w:rsidR="00000000" w:rsidRPr="00211EF7">
        <w:trPr>
          <w:trHeight w:val="319"/>
        </w:trPr>
        <w:tc>
          <w:tcPr>
            <w:tcW w:w="735"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color w:val="000000"/>
                <w:sz w:val="16"/>
                <w:szCs w:val="16"/>
              </w:rPr>
              <w:t>1:8</w:t>
            </w:r>
          </w:p>
        </w:tc>
        <w:tc>
          <w:tcPr>
            <w:tcW w:w="3416" w:type="dxa"/>
            <w:tcBorders>
              <w:top w:val="nil"/>
              <w:left w:val="nil"/>
              <w:bottom w:val="nil"/>
              <w:right w:val="nil"/>
            </w:tcBorders>
            <w:vAlign w:val="bottom"/>
          </w:tcPr>
          <w:p w:rsidR="00211EF7" w:rsidRPr="00211EF7" w:rsidRDefault="00211EF7">
            <w:pPr>
              <w:shd w:val="clear" w:color="000000" w:fill="auto"/>
              <w:spacing w:before="60" w:line="200" w:lineRule="exact"/>
              <w:rPr>
                <w:color w:val="000000"/>
                <w:sz w:val="16"/>
                <w:szCs w:val="16"/>
              </w:rPr>
            </w:pPr>
            <w:r w:rsidRPr="00211EF7">
              <w:rPr>
                <w:sz w:val="16"/>
                <w:szCs w:val="16"/>
              </w:rPr>
              <w:t>Försvarets radioanstalt</w:t>
            </w:r>
          </w:p>
        </w:tc>
        <w:tc>
          <w:tcPr>
            <w:tcW w:w="1024" w:type="dxa"/>
            <w:tcBorders>
              <w:top w:val="nil"/>
              <w:left w:val="nil"/>
              <w:bottom w:val="nil"/>
              <w:right w:val="nil"/>
            </w:tcBorders>
            <w:vAlign w:val="bottom"/>
          </w:tcPr>
          <w:p w:rsidR="00211EF7" w:rsidRPr="00211EF7" w:rsidRDefault="00211EF7">
            <w:pPr>
              <w:shd w:val="clear" w:color="000000" w:fill="auto"/>
              <w:spacing w:before="60" w:line="200" w:lineRule="exact"/>
              <w:jc w:val="right"/>
              <w:rPr>
                <w:color w:val="000000"/>
                <w:sz w:val="16"/>
                <w:szCs w:val="16"/>
              </w:rPr>
            </w:pPr>
            <w:r w:rsidRPr="00211EF7">
              <w:rPr>
                <w:sz w:val="16"/>
                <w:szCs w:val="16"/>
              </w:rPr>
              <w:t>694 961</w:t>
            </w:r>
          </w:p>
        </w:tc>
        <w:tc>
          <w:tcPr>
            <w:tcW w:w="949" w:type="dxa"/>
            <w:tcBorders>
              <w:top w:val="nil"/>
              <w:left w:val="nil"/>
              <w:bottom w:val="nil"/>
              <w:right w:val="nil"/>
            </w:tcBorders>
            <w:vAlign w:val="bottom"/>
          </w:tcPr>
          <w:p w:rsidR="00211EF7" w:rsidRPr="00211EF7" w:rsidRDefault="00211EF7">
            <w:pPr>
              <w:pStyle w:val="PunktlistaTankstreck"/>
              <w:numPr>
                <w:ilvl w:val="0"/>
                <w:numId w:val="0"/>
              </w:numPr>
              <w:shd w:val="clear" w:color="000000" w:fill="auto"/>
              <w:spacing w:before="60" w:line="200" w:lineRule="exact"/>
              <w:jc w:val="right"/>
              <w:rPr>
                <w:sz w:val="16"/>
                <w:szCs w:val="16"/>
              </w:rPr>
            </w:pPr>
            <w:r w:rsidRPr="00211EF7">
              <w:rPr>
                <w:sz w:val="16"/>
                <w:szCs w:val="16"/>
              </w:rPr>
              <w:t>–40</w:t>
            </w:r>
          </w:p>
        </w:tc>
      </w:tr>
      <w:tr w:rsidR="00000000" w:rsidRPr="00211EF7">
        <w:trPr>
          <w:trHeight w:val="319"/>
        </w:trPr>
        <w:tc>
          <w:tcPr>
            <w:tcW w:w="735" w:type="dxa"/>
            <w:tcBorders>
              <w:top w:val="nil"/>
              <w:left w:val="nil"/>
              <w:bottom w:val="nil"/>
              <w:right w:val="nil"/>
            </w:tcBorders>
            <w:vAlign w:val="bottom"/>
          </w:tcPr>
          <w:p w:rsidR="00211EF7" w:rsidRPr="00211EF7" w:rsidRDefault="00211EF7">
            <w:pPr>
              <w:shd w:val="clear" w:color="000000" w:fill="auto"/>
              <w:spacing w:before="60" w:line="200" w:lineRule="exact"/>
              <w:rPr>
                <w:bCs/>
                <w:color w:val="000000"/>
                <w:sz w:val="16"/>
                <w:szCs w:val="16"/>
              </w:rPr>
            </w:pPr>
            <w:r w:rsidRPr="00211EF7">
              <w:rPr>
                <w:bCs/>
                <w:color w:val="000000"/>
                <w:sz w:val="16"/>
                <w:szCs w:val="16"/>
              </w:rPr>
              <w:t>1:9</w:t>
            </w:r>
          </w:p>
        </w:tc>
        <w:tc>
          <w:tcPr>
            <w:tcW w:w="3416" w:type="dxa"/>
            <w:tcBorders>
              <w:top w:val="nil"/>
              <w:left w:val="nil"/>
              <w:bottom w:val="nil"/>
              <w:right w:val="nil"/>
            </w:tcBorders>
            <w:vAlign w:val="bottom"/>
          </w:tcPr>
          <w:p w:rsidR="00211EF7" w:rsidRPr="00211EF7" w:rsidRDefault="00211EF7">
            <w:pPr>
              <w:shd w:val="clear" w:color="000000" w:fill="auto"/>
              <w:spacing w:before="60" w:line="200" w:lineRule="exact"/>
              <w:rPr>
                <w:bCs/>
                <w:color w:val="000000"/>
                <w:sz w:val="16"/>
                <w:szCs w:val="16"/>
              </w:rPr>
            </w:pPr>
            <w:r w:rsidRPr="00211EF7">
              <w:rPr>
                <w:sz w:val="16"/>
                <w:szCs w:val="16"/>
              </w:rPr>
              <w:t>Totalförsvarets forskningsinstitut</w:t>
            </w:r>
          </w:p>
        </w:tc>
        <w:tc>
          <w:tcPr>
            <w:tcW w:w="1024" w:type="dxa"/>
            <w:tcBorders>
              <w:top w:val="nil"/>
              <w:left w:val="nil"/>
              <w:bottom w:val="nil"/>
              <w:right w:val="nil"/>
            </w:tcBorders>
            <w:vAlign w:val="bottom"/>
          </w:tcPr>
          <w:p w:rsidR="00211EF7" w:rsidRPr="00211EF7" w:rsidRDefault="00211EF7">
            <w:pPr>
              <w:shd w:val="clear" w:color="000000" w:fill="auto"/>
              <w:spacing w:before="60" w:line="200" w:lineRule="exact"/>
              <w:jc w:val="right"/>
              <w:rPr>
                <w:bCs/>
                <w:color w:val="000000"/>
                <w:sz w:val="16"/>
                <w:szCs w:val="16"/>
              </w:rPr>
            </w:pPr>
            <w:r w:rsidRPr="00211EF7">
              <w:rPr>
                <w:sz w:val="16"/>
                <w:szCs w:val="16"/>
              </w:rPr>
              <w:t>62 454</w:t>
            </w:r>
          </w:p>
        </w:tc>
        <w:tc>
          <w:tcPr>
            <w:tcW w:w="949" w:type="dxa"/>
            <w:tcBorders>
              <w:top w:val="nil"/>
              <w:left w:val="nil"/>
              <w:bottom w:val="nil"/>
              <w:right w:val="nil"/>
            </w:tcBorders>
            <w:vAlign w:val="bottom"/>
          </w:tcPr>
          <w:p w:rsidR="00211EF7" w:rsidRPr="00211EF7" w:rsidRDefault="00211EF7">
            <w:pPr>
              <w:shd w:val="clear" w:color="000000" w:fill="auto"/>
              <w:spacing w:before="60" w:line="200" w:lineRule="exact"/>
              <w:jc w:val="right"/>
              <w:rPr>
                <w:bCs/>
                <w:color w:val="000000"/>
                <w:sz w:val="16"/>
                <w:szCs w:val="16"/>
              </w:rPr>
            </w:pPr>
            <w:r w:rsidRPr="00211EF7">
              <w:rPr>
                <w:sz w:val="16"/>
                <w:szCs w:val="16"/>
              </w:rPr>
              <w:t>–60</w:t>
            </w:r>
          </w:p>
        </w:tc>
      </w:tr>
      <w:tr w:rsidR="00000000" w:rsidRPr="00211EF7">
        <w:trPr>
          <w:trHeight w:val="319"/>
        </w:trPr>
        <w:tc>
          <w:tcPr>
            <w:tcW w:w="735" w:type="dxa"/>
            <w:tcBorders>
              <w:top w:val="nil"/>
              <w:left w:val="nil"/>
              <w:bottom w:val="nil"/>
              <w:right w:val="nil"/>
            </w:tcBorders>
            <w:vAlign w:val="bottom"/>
          </w:tcPr>
          <w:p w:rsidR="00211EF7" w:rsidRPr="00211EF7" w:rsidRDefault="00211EF7">
            <w:pPr>
              <w:shd w:val="clear" w:color="000000" w:fill="auto"/>
              <w:spacing w:before="60" w:line="200" w:lineRule="exact"/>
              <w:rPr>
                <w:bCs/>
                <w:color w:val="000000"/>
                <w:sz w:val="16"/>
                <w:szCs w:val="16"/>
              </w:rPr>
            </w:pPr>
            <w:r w:rsidRPr="00211EF7">
              <w:rPr>
                <w:bCs/>
                <w:color w:val="000000"/>
                <w:sz w:val="16"/>
                <w:szCs w:val="16"/>
              </w:rPr>
              <w:t>1:11</w:t>
            </w:r>
          </w:p>
        </w:tc>
        <w:tc>
          <w:tcPr>
            <w:tcW w:w="3416" w:type="dxa"/>
            <w:tcBorders>
              <w:top w:val="nil"/>
              <w:left w:val="nil"/>
              <w:bottom w:val="nil"/>
              <w:right w:val="nil"/>
            </w:tcBorders>
            <w:vAlign w:val="bottom"/>
          </w:tcPr>
          <w:p w:rsidR="00211EF7" w:rsidRPr="00211EF7" w:rsidRDefault="00211EF7">
            <w:pPr>
              <w:shd w:val="clear" w:color="000000" w:fill="auto"/>
              <w:spacing w:before="60" w:line="200" w:lineRule="exact"/>
              <w:rPr>
                <w:bCs/>
                <w:color w:val="000000"/>
                <w:sz w:val="16"/>
                <w:szCs w:val="16"/>
              </w:rPr>
            </w:pPr>
            <w:r w:rsidRPr="00211EF7">
              <w:rPr>
                <w:sz w:val="16"/>
                <w:szCs w:val="16"/>
              </w:rPr>
              <w:t>Internationella materielsamarbeten, industrifrågor och exportstöd m.m.</w:t>
            </w:r>
          </w:p>
        </w:tc>
        <w:tc>
          <w:tcPr>
            <w:tcW w:w="1024" w:type="dxa"/>
            <w:tcBorders>
              <w:top w:val="nil"/>
              <w:left w:val="nil"/>
              <w:bottom w:val="nil"/>
              <w:right w:val="nil"/>
            </w:tcBorders>
            <w:vAlign w:val="bottom"/>
          </w:tcPr>
          <w:p w:rsidR="00211EF7" w:rsidRPr="00211EF7" w:rsidRDefault="00211EF7">
            <w:pPr>
              <w:shd w:val="clear" w:color="000000" w:fill="auto"/>
              <w:spacing w:before="60" w:line="200" w:lineRule="exact"/>
              <w:jc w:val="right"/>
              <w:rPr>
                <w:bCs/>
                <w:color w:val="000000"/>
                <w:sz w:val="16"/>
                <w:szCs w:val="16"/>
              </w:rPr>
            </w:pPr>
            <w:r w:rsidRPr="00211EF7">
              <w:rPr>
                <w:sz w:val="16"/>
                <w:szCs w:val="16"/>
              </w:rPr>
              <w:t>108 925</w:t>
            </w:r>
          </w:p>
        </w:tc>
        <w:tc>
          <w:tcPr>
            <w:tcW w:w="949" w:type="dxa"/>
            <w:tcBorders>
              <w:top w:val="nil"/>
              <w:left w:val="nil"/>
              <w:bottom w:val="nil"/>
              <w:right w:val="nil"/>
            </w:tcBorders>
            <w:vAlign w:val="bottom"/>
          </w:tcPr>
          <w:p w:rsidR="00211EF7" w:rsidRPr="00211EF7" w:rsidRDefault="00211EF7">
            <w:pPr>
              <w:shd w:val="clear" w:color="000000" w:fill="auto"/>
              <w:spacing w:before="60" w:line="200" w:lineRule="exact"/>
              <w:jc w:val="right"/>
              <w:rPr>
                <w:bCs/>
                <w:color w:val="000000"/>
                <w:sz w:val="16"/>
                <w:szCs w:val="16"/>
              </w:rPr>
            </w:pPr>
            <w:r w:rsidRPr="00211EF7">
              <w:rPr>
                <w:sz w:val="16"/>
                <w:szCs w:val="16"/>
              </w:rPr>
              <w:t>–60</w:t>
            </w:r>
          </w:p>
        </w:tc>
      </w:tr>
      <w:tr w:rsidR="00000000" w:rsidRPr="00211EF7">
        <w:trPr>
          <w:trHeight w:val="319"/>
        </w:trPr>
        <w:tc>
          <w:tcPr>
            <w:tcW w:w="735" w:type="dxa"/>
            <w:tcBorders>
              <w:top w:val="nil"/>
              <w:left w:val="nil"/>
              <w:bottom w:val="single" w:sz="4" w:space="0" w:color="auto"/>
              <w:right w:val="nil"/>
            </w:tcBorders>
            <w:vAlign w:val="bottom"/>
          </w:tcPr>
          <w:p w:rsidR="00211EF7" w:rsidRPr="00211EF7" w:rsidRDefault="00211EF7">
            <w:pPr>
              <w:shd w:val="clear" w:color="000000" w:fill="auto"/>
              <w:spacing w:before="60" w:line="200" w:lineRule="exact"/>
              <w:rPr>
                <w:b/>
                <w:bCs/>
                <w:color w:val="000000"/>
                <w:sz w:val="16"/>
                <w:szCs w:val="16"/>
              </w:rPr>
            </w:pPr>
          </w:p>
        </w:tc>
        <w:tc>
          <w:tcPr>
            <w:tcW w:w="3416" w:type="dxa"/>
            <w:tcBorders>
              <w:top w:val="nil"/>
              <w:left w:val="nil"/>
              <w:bottom w:val="single" w:sz="4" w:space="0" w:color="auto"/>
              <w:right w:val="nil"/>
            </w:tcBorders>
            <w:vAlign w:val="bottom"/>
          </w:tcPr>
          <w:p w:rsidR="00211EF7" w:rsidRPr="00211EF7" w:rsidRDefault="00211EF7">
            <w:pPr>
              <w:shd w:val="clear" w:color="000000" w:fill="auto"/>
              <w:spacing w:before="60" w:line="200" w:lineRule="exact"/>
              <w:rPr>
                <w:b/>
                <w:bCs/>
                <w:color w:val="000000"/>
                <w:sz w:val="16"/>
                <w:szCs w:val="16"/>
              </w:rPr>
            </w:pPr>
            <w:r w:rsidRPr="00211EF7">
              <w:rPr>
                <w:b/>
                <w:bCs/>
                <w:color w:val="000000"/>
                <w:sz w:val="16"/>
                <w:szCs w:val="16"/>
              </w:rPr>
              <w:t>Summa:</w:t>
            </w:r>
          </w:p>
        </w:tc>
        <w:tc>
          <w:tcPr>
            <w:tcW w:w="1024" w:type="dxa"/>
            <w:tcBorders>
              <w:top w:val="nil"/>
              <w:left w:val="nil"/>
              <w:bottom w:val="single" w:sz="4" w:space="0" w:color="auto"/>
              <w:right w:val="nil"/>
            </w:tcBorders>
            <w:vAlign w:val="bottom"/>
          </w:tcPr>
          <w:p w:rsidR="00211EF7" w:rsidRPr="00211EF7" w:rsidRDefault="00211EF7">
            <w:pPr>
              <w:shd w:val="clear" w:color="000000" w:fill="auto"/>
              <w:spacing w:before="60" w:line="200" w:lineRule="exact"/>
              <w:jc w:val="right"/>
              <w:rPr>
                <w:b/>
                <w:bCs/>
                <w:color w:val="000000"/>
                <w:sz w:val="16"/>
                <w:szCs w:val="16"/>
              </w:rPr>
            </w:pPr>
          </w:p>
        </w:tc>
        <w:tc>
          <w:tcPr>
            <w:tcW w:w="949" w:type="dxa"/>
            <w:tcBorders>
              <w:top w:val="nil"/>
              <w:left w:val="nil"/>
              <w:bottom w:val="single" w:sz="4" w:space="0" w:color="auto"/>
              <w:right w:val="nil"/>
            </w:tcBorders>
            <w:vAlign w:val="bottom"/>
          </w:tcPr>
          <w:p w:rsidR="00211EF7" w:rsidRPr="00211EF7" w:rsidRDefault="00211EF7">
            <w:pPr>
              <w:shd w:val="clear" w:color="000000" w:fill="auto"/>
              <w:spacing w:before="60" w:line="200" w:lineRule="exact"/>
              <w:jc w:val="right"/>
              <w:rPr>
                <w:b/>
                <w:bCs/>
                <w:color w:val="000000"/>
                <w:sz w:val="16"/>
                <w:szCs w:val="16"/>
              </w:rPr>
            </w:pPr>
            <w:r w:rsidRPr="00211EF7">
              <w:rPr>
                <w:b/>
                <w:sz w:val="16"/>
                <w:szCs w:val="16"/>
              </w:rPr>
              <w:t>–2 000</w:t>
            </w:r>
          </w:p>
        </w:tc>
      </w:tr>
    </w:tbl>
    <w:p w:rsidR="00211EF7" w:rsidRPr="00211EF7" w:rsidRDefault="00211EF7">
      <w:pPr>
        <w:shd w:val="clear" w:color="000000" w:fill="auto"/>
      </w:pPr>
    </w:p>
    <w:p w:rsidR="00211EF7" w:rsidRPr="00211EF7" w:rsidRDefault="00211EF7">
      <w:pPr>
        <w:pStyle w:val="Rubrik1"/>
        <w:shd w:val="clear" w:color="000000" w:fill="auto"/>
      </w:pPr>
      <w:r w:rsidRPr="00211EF7">
        <w:t>Inledning</w:t>
      </w:r>
    </w:p>
    <w:p w:rsidR="00211EF7" w:rsidRPr="00211EF7" w:rsidRDefault="00211EF7">
      <w:pPr>
        <w:shd w:val="clear" w:color="000000" w:fill="auto"/>
      </w:pPr>
      <w:r w:rsidRPr="00211EF7">
        <w:t xml:space="preserve">Efter regeringens soloåkning utan hänsyn till hela riksdagens åsikter står vi nu inför det faktum att en yrkesarmé håller på att skapas. Efter ett sekel med en värnpliktsarmé med stor folklig förankring går vi mot ett osäkert stadium där vi inte vet vare sig kvaliteten på rekryteringen, antalet som kommer att låta sig anställas eller kostnaden för detta nya yrkesarmésystem. Det finns inte heller någon konsekvensanalys av hur vår förmåga att säkra vårt territorium </w:t>
      </w:r>
      <w:r w:rsidRPr="00211EF7">
        <w:lastRenderedPageBreak/>
        <w:t>eller vår alliansfrihet i framtiden påverkas. Byte av regering i samband med nästa val är det enda som kan sätta stopp för denna osäkerhet. Vänsterpartiet lägger trots detta en egen budget på utgiftsområde 6 med reservationer. I övrigt se vår motion 2008/09:Fö4 som är ett svar på regeringens proposition 2008/09:140 Ett användbart försvar.</w:t>
      </w:r>
    </w:p>
    <w:p w:rsidR="00211EF7" w:rsidRPr="00211EF7" w:rsidRDefault="00211EF7">
      <w:pPr>
        <w:pStyle w:val="Normaltindrag"/>
        <w:shd w:val="clear" w:color="000000" w:fill="auto"/>
      </w:pPr>
      <w:r w:rsidRPr="00211EF7">
        <w:t>Vänsterpartiet avvisar regeringens förslag på utökade resurser till intern</w:t>
      </w:r>
      <w:r w:rsidRPr="00211EF7">
        <w:t>a</w:t>
      </w:r>
      <w:r w:rsidRPr="00211EF7">
        <w:t>tionella insatser. Likaså avvisas satsningen på SAC-samarbetet. Vänsterpart</w:t>
      </w:r>
      <w:r w:rsidRPr="00211EF7">
        <w:t>i</w:t>
      </w:r>
      <w:r w:rsidRPr="00211EF7">
        <w:t>et vill säkra och förstärka det nationella försvaret och föreslår därför en sat</w:t>
      </w:r>
      <w:r w:rsidRPr="00211EF7">
        <w:t>s</w:t>
      </w:r>
      <w:r w:rsidRPr="00211EF7">
        <w:t>ning på den nationella skyddsstyrkan. Vi vill även satsa på ett utökat arbete med jämställdhets- och diskrimineringsfrågor.</w:t>
      </w:r>
    </w:p>
    <w:p w:rsidR="00211EF7" w:rsidRPr="00211EF7" w:rsidRDefault="00211EF7">
      <w:pPr>
        <w:pStyle w:val="Normaltindrag"/>
        <w:shd w:val="clear" w:color="000000" w:fill="auto"/>
        <w:rPr>
          <w:color w:val="000000"/>
          <w:szCs w:val="24"/>
        </w:rPr>
      </w:pPr>
      <w:r w:rsidRPr="00211EF7">
        <w:t>Vidare avslår vi alla anslag för främjandet av svensk vapenexport samt stöd till den europeiska försvarsbyrån (EDA). I avvaktan på en ny parlame</w:t>
      </w:r>
      <w:r w:rsidRPr="00211EF7">
        <w:t>n</w:t>
      </w:r>
      <w:r w:rsidRPr="00211EF7">
        <w:t xml:space="preserve">tarisk utredning angående signalspaning </w:t>
      </w:r>
      <w:r w:rsidRPr="00211EF7">
        <w:rPr>
          <w:color w:val="000000"/>
          <w:szCs w:val="24"/>
        </w:rPr>
        <w:t>i försvarsunderrättelseverksamhet avslår vi regeringens förslag på utökade resurser för Försvarets radioanstalt.</w:t>
      </w:r>
    </w:p>
    <w:p w:rsidR="00211EF7" w:rsidRPr="00211EF7" w:rsidRDefault="00211EF7">
      <w:pPr>
        <w:pStyle w:val="Rubrik1"/>
        <w:shd w:val="clear" w:color="000000" w:fill="auto"/>
      </w:pPr>
      <w:r w:rsidRPr="00211EF7">
        <w:t>1:1 Förbandsverksamhet och beredskap</w:t>
      </w:r>
    </w:p>
    <w:p w:rsidR="00211EF7" w:rsidRPr="00211EF7" w:rsidRDefault="00211EF7">
      <w:pPr>
        <w:shd w:val="clear" w:color="000000" w:fill="auto"/>
      </w:pPr>
      <w:r w:rsidRPr="00211EF7">
        <w:t>Underrepresentationen av kvinnor i Försvarsmakten är ett problem. Vänste</w:t>
      </w:r>
      <w:r w:rsidRPr="00211EF7">
        <w:t>r</w:t>
      </w:r>
      <w:r w:rsidRPr="00211EF7">
        <w:t>partiet anser att målet bör vara minst 40 procent kvinnor bland de anställda. Även de trakasserier och den diskriminering som HBT-personer och personer med annan etnisk bakgrund än svensk utsätts för är ett stort problem. Därför föreslår Vänsterpartiet en satsning på 50 miljoner kronor 2010 till det påg</w:t>
      </w:r>
      <w:r w:rsidRPr="00211EF7">
        <w:t>å</w:t>
      </w:r>
      <w:r w:rsidRPr="00211EF7">
        <w:t>ende arbetet för ökad jämställdhet och mot diskriminering inom Försvarsma</w:t>
      </w:r>
      <w:r w:rsidRPr="00211EF7">
        <w:t>k</w:t>
      </w:r>
      <w:r w:rsidRPr="00211EF7">
        <w:t>ten.</w:t>
      </w:r>
    </w:p>
    <w:p w:rsidR="00211EF7" w:rsidRPr="00211EF7" w:rsidRDefault="00211EF7">
      <w:pPr>
        <w:pStyle w:val="Normaltindrag"/>
        <w:shd w:val="clear" w:color="000000" w:fill="auto"/>
      </w:pPr>
      <w:r w:rsidRPr="00211EF7">
        <w:t>De utökade internationella insatserna kräver även ökad kunskap på alla n</w:t>
      </w:r>
      <w:r w:rsidRPr="00211EF7">
        <w:t>i</w:t>
      </w:r>
      <w:r w:rsidRPr="00211EF7">
        <w:t>våer om genderfrågor och FN:s resolution 1325 om kvinnors säkerhet. Sat</w:t>
      </w:r>
      <w:r w:rsidRPr="00211EF7">
        <w:t>s</w:t>
      </w:r>
      <w:r w:rsidRPr="00211EF7">
        <w:t>ningen på 50 miljoner kronor bör även täcka en utökad utbildning i ämnet för soldater som tränas för internationell tjänst.</w:t>
      </w:r>
    </w:p>
    <w:p w:rsidR="00211EF7" w:rsidRPr="00211EF7" w:rsidRDefault="00211EF7">
      <w:pPr>
        <w:pStyle w:val="Normaltindrag"/>
        <w:shd w:val="clear" w:color="000000" w:fill="auto"/>
      </w:pPr>
      <w:r w:rsidRPr="00211EF7">
        <w:t>Vänsterpartiet vill säkra och förstärka det nationella försvaret och föreslår därför ökat anslag på 80 miljoner kronor till Hemvärnet, den nationella skyddsstyrkan. Vi föreslår också 30 miljoner kronor till frivilligorganisati</w:t>
      </w:r>
      <w:r w:rsidRPr="00211EF7">
        <w:t>o</w:t>
      </w:r>
      <w:r w:rsidRPr="00211EF7">
        <w:t xml:space="preserve">nernas arbete. </w:t>
      </w:r>
    </w:p>
    <w:p w:rsidR="00211EF7" w:rsidRPr="00211EF7" w:rsidRDefault="00211EF7">
      <w:pPr>
        <w:pStyle w:val="Normaltindrag"/>
        <w:shd w:val="clear" w:color="000000" w:fill="auto"/>
      </w:pPr>
      <w:r w:rsidRPr="00211EF7">
        <w:t>Vidare står Vänsterpartiet fast vid sitt beslut att Sverige inte bör delta i Strategic Airlift Interim Solution (SALIS) och Strategic Airlift Capability (SAC).</w:t>
      </w:r>
    </w:p>
    <w:p w:rsidR="00211EF7" w:rsidRPr="00211EF7" w:rsidRDefault="00211EF7">
      <w:pPr>
        <w:pStyle w:val="Rubrik1"/>
        <w:shd w:val="clear" w:color="000000" w:fill="auto"/>
      </w:pPr>
      <w:r w:rsidRPr="00211EF7">
        <w:t>1:2 Fredsfrämjande förbandsinsatser</w:t>
      </w:r>
    </w:p>
    <w:p w:rsidR="00211EF7" w:rsidRPr="00211EF7" w:rsidRDefault="00211EF7">
      <w:pPr>
        <w:shd w:val="clear" w:color="000000" w:fill="auto"/>
      </w:pPr>
      <w:r w:rsidRPr="00211EF7">
        <w:t>Regeringen föreslår att resurserna till internationella insatser ska öka med 57 miljoner kronor 2010. Detta förslag avvisar Vänsterpartiet. I stället för att utöka våra internationella militära insatser bör vi avveckla exempelvis vårt EU-styrda samarbete, säga nej till en ny beredskapsperiod för NBG 2011 och regeringens avsikt att Sverige ska delta i den brittiska Battle Group 2013. Vi vidhåller vårt krav att</w:t>
      </w:r>
      <w:r w:rsidRPr="00211EF7">
        <w:rPr>
          <w:color w:val="FF0000"/>
        </w:rPr>
        <w:t xml:space="preserve"> </w:t>
      </w:r>
      <w:r w:rsidRPr="00211EF7">
        <w:t>dra tillbaka våra ISAF-ledda trupper från Afghanistan. Sverige bör i framtiden prioritera FN:s fredsbevarande styrkor</w:t>
      </w:r>
      <w:r w:rsidRPr="00211EF7">
        <w:rPr>
          <w:color w:val="FF0000"/>
        </w:rPr>
        <w:t>.</w:t>
      </w:r>
      <w:r w:rsidRPr="00211EF7">
        <w:t xml:space="preserve"> Vänsterpartiet föreslår en nedskärning på 1 200 miljoner kronor 2010 under utgiftsområde 1:2. </w:t>
      </w:r>
    </w:p>
    <w:p w:rsidR="00211EF7" w:rsidRPr="00211EF7" w:rsidRDefault="00211EF7">
      <w:pPr>
        <w:pStyle w:val="Rubrik1"/>
        <w:shd w:val="clear" w:color="000000" w:fill="auto"/>
      </w:pPr>
      <w:r w:rsidRPr="00211EF7">
        <w:t>1:3 Anskaffning av materiel och anläggningar</w:t>
      </w:r>
    </w:p>
    <w:p w:rsidR="00211EF7" w:rsidRPr="00211EF7" w:rsidRDefault="00211EF7">
      <w:pPr>
        <w:shd w:val="clear" w:color="000000" w:fill="auto"/>
      </w:pPr>
      <w:r w:rsidRPr="00211EF7">
        <w:t>Regeringen ökar på anslaget fr.o.m. 2010 med ca 2 miljarder kronor för Fö</w:t>
      </w:r>
      <w:r w:rsidRPr="00211EF7">
        <w:t>r</w:t>
      </w:r>
      <w:r w:rsidRPr="00211EF7">
        <w:t>svarsmaktens materiel och anläggningar. Vänsterpartiet säger nej till denna ökning och förordar i stället en neddragning på anslaget med 400 miljoner kronor. Vänsterpartiet ansluter sig till Försvarsberedningens förslag på en kraftig reducering inom JAS Gripenprogrammet samt avvisar den planerade uppgraderingen av JAS 39 Gripen. Vi föreslår också neddragning av SAC-samarbetet samt taktisk obemannad flygfarkost, TUAV.</w:t>
      </w:r>
    </w:p>
    <w:p w:rsidR="00211EF7" w:rsidRPr="00211EF7" w:rsidRDefault="00211EF7">
      <w:pPr>
        <w:pStyle w:val="Rubrik1"/>
        <w:shd w:val="clear" w:color="000000" w:fill="auto"/>
      </w:pPr>
      <w:r w:rsidRPr="00211EF7">
        <w:t>1:4 Vidmakthållande, avveckling m.m. av materiel och anläggningar</w:t>
      </w:r>
    </w:p>
    <w:p w:rsidR="00211EF7" w:rsidRPr="00211EF7" w:rsidRDefault="00211EF7">
      <w:pPr>
        <w:shd w:val="clear" w:color="000000" w:fill="auto"/>
      </w:pPr>
      <w:r w:rsidRPr="00211EF7">
        <w:t>Anslaget används bl.a. för kostnader för den europeiska försvarsbyrån (EDA) och för det säkerhetsfrämjande samarbetet med andra länder samt till åtgärder för att främja den i Sverige verksamma försvarsindustrins exportverksamhet. Vänsterpartiet anser att Sverige bör lämna EDA-samarbetet och att staten inte bör stödja försvarsmaterielexport. Vi avvisar regeringens förslag att skapa en ny myndighet 2010 för vapenexportstöd och försäljning av övertalig materiel.</w:t>
      </w:r>
    </w:p>
    <w:p w:rsidR="00211EF7" w:rsidRPr="00211EF7" w:rsidRDefault="00211EF7">
      <w:pPr>
        <w:pStyle w:val="Rubrik1"/>
        <w:shd w:val="clear" w:color="000000" w:fill="auto"/>
      </w:pPr>
      <w:r w:rsidRPr="00211EF7">
        <w:t>1:5 Forskning och teknikutveckling</w:t>
      </w:r>
    </w:p>
    <w:p w:rsidR="00211EF7" w:rsidRPr="00211EF7" w:rsidRDefault="00211EF7">
      <w:pPr>
        <w:shd w:val="clear" w:color="000000" w:fill="auto"/>
        <w:autoSpaceDE w:val="0"/>
        <w:autoSpaceDN w:val="0"/>
        <w:adjustRightInd w:val="0"/>
      </w:pPr>
      <w:r w:rsidRPr="00211EF7">
        <w:t>Inom detta anslag finansieras bl.a. Sveriges kostnader för det nationella fly</w:t>
      </w:r>
      <w:r w:rsidRPr="00211EF7">
        <w:t>g</w:t>
      </w:r>
      <w:r w:rsidRPr="00211EF7">
        <w:t>tekniska forskningsprogrammet (NFFP) och forsknings- och utvecklingsver</w:t>
      </w:r>
      <w:r w:rsidRPr="00211EF7">
        <w:t>k</w:t>
      </w:r>
      <w:r w:rsidRPr="00211EF7">
        <w:t>samhet som genomförs inom ramen för EDA. Regeringen gör här en ne</w:t>
      </w:r>
      <w:r w:rsidRPr="00211EF7">
        <w:t>d</w:t>
      </w:r>
      <w:r w:rsidRPr="00211EF7">
        <w:t>dragning med 100 miljoner kronor. Vänsterpartiet föreslår en ytterligare ne</w:t>
      </w:r>
      <w:r w:rsidRPr="00211EF7">
        <w:t>d</w:t>
      </w:r>
      <w:r w:rsidRPr="00211EF7">
        <w:t>dragning med 400 miljoner kronor under utgiftsområde 1:5.</w:t>
      </w:r>
    </w:p>
    <w:p w:rsidR="00211EF7" w:rsidRPr="00211EF7" w:rsidRDefault="00211EF7">
      <w:pPr>
        <w:pStyle w:val="Rubrik1"/>
        <w:shd w:val="clear" w:color="000000" w:fill="auto"/>
      </w:pPr>
      <w:r w:rsidRPr="00211EF7">
        <w:t>1:7 Officersutbildning m.m.</w:t>
      </w:r>
    </w:p>
    <w:p w:rsidR="00211EF7" w:rsidRPr="00211EF7" w:rsidRDefault="00211EF7">
      <w:pPr>
        <w:shd w:val="clear" w:color="000000" w:fill="auto"/>
      </w:pPr>
      <w:r w:rsidRPr="00211EF7">
        <w:t>Under anslaget till officersutbildning finansieras även kurser inom ramen för Partnerskap för fred (PFF). Vänsterpartiet motsätter sig detta samarbete. E</w:t>
      </w:r>
      <w:r w:rsidRPr="00211EF7">
        <w:t>f</w:t>
      </w:r>
      <w:r w:rsidRPr="00211EF7">
        <w:t>tersom vi ser den framtida personalförsörjningen inom Försvarsmakten som viktig vill vi i stället se en satsning på jämställdhetsarbetet samt en utökad genderutbildning och utbildning i FN:s resolution 1325 i officersutbildningen.</w:t>
      </w:r>
    </w:p>
    <w:p w:rsidR="00211EF7" w:rsidRPr="00211EF7" w:rsidRDefault="00211EF7">
      <w:pPr>
        <w:pStyle w:val="Rubrik1"/>
        <w:shd w:val="clear" w:color="000000" w:fill="auto"/>
      </w:pPr>
      <w:r w:rsidRPr="00211EF7">
        <w:t>1:8 Försvarets radioanstalt</w:t>
      </w:r>
    </w:p>
    <w:p w:rsidR="00211EF7" w:rsidRPr="00211EF7" w:rsidRDefault="00211EF7">
      <w:pPr>
        <w:shd w:val="clear" w:color="000000" w:fill="auto"/>
      </w:pPr>
      <w:r w:rsidRPr="00211EF7">
        <w:t>Regeringen föreslår en ökad budget för Försvarets radioanstalt med anledning av lag (2008:717) om signalspaning i försvarsunderrättelseverksamhet. Vän</w:t>
      </w:r>
      <w:r w:rsidRPr="00211EF7">
        <w:t>s</w:t>
      </w:r>
      <w:r w:rsidRPr="00211EF7">
        <w:t>terpartiet har i flera motioner, senast i en trepartimotion, föreslagit att en pa</w:t>
      </w:r>
      <w:r w:rsidRPr="00211EF7">
        <w:t>r</w:t>
      </w:r>
      <w:r w:rsidRPr="00211EF7">
        <w:t>lamentarisk utredning bör tillsättas.</w:t>
      </w:r>
      <w:r w:rsidRPr="00211EF7">
        <w:rPr>
          <w:szCs w:val="19"/>
        </w:rPr>
        <w:t xml:space="preserve"> </w:t>
      </w:r>
      <w:r w:rsidRPr="00211EF7">
        <w:rPr>
          <w:szCs w:val="24"/>
        </w:rPr>
        <w:t>Vi står kvar vid vårt tidigare ställningst</w:t>
      </w:r>
      <w:r w:rsidRPr="00211EF7">
        <w:rPr>
          <w:szCs w:val="24"/>
        </w:rPr>
        <w:t>a</w:t>
      </w:r>
      <w:r w:rsidRPr="00211EF7">
        <w:rPr>
          <w:szCs w:val="24"/>
        </w:rPr>
        <w:t>gande – riv upp, gör om, gör rätt.</w:t>
      </w:r>
    </w:p>
    <w:p w:rsidR="00211EF7" w:rsidRPr="00211EF7" w:rsidRDefault="00211EF7">
      <w:pPr>
        <w:pStyle w:val="Normaltindrag"/>
        <w:shd w:val="clear" w:color="000000" w:fill="auto"/>
        <w:rPr>
          <w:color w:val="000000"/>
        </w:rPr>
      </w:pPr>
      <w:r w:rsidRPr="00211EF7">
        <w:t>Vi vill att riksdagen upphäver FRA-lagstiftningen och tillkännager för r</w:t>
      </w:r>
      <w:r w:rsidRPr="00211EF7">
        <w:t>e</w:t>
      </w:r>
      <w:r w:rsidRPr="00211EF7">
        <w:t xml:space="preserve">geringen som sin mening att man omedelbart ska tillsätta en parlamentarisk utredning som utreder frågan i grunden. I avvaktan på ett nytt beslut angående signalspaning </w:t>
      </w:r>
      <w:r w:rsidRPr="00211EF7">
        <w:rPr>
          <w:color w:val="000000"/>
        </w:rPr>
        <w:t>i försvarsunderrättelseverksamhet avslår vi regeringens förslag på utökade resurser för Försvarets radioanstalt.</w:t>
      </w:r>
    </w:p>
    <w:p w:rsidR="00211EF7" w:rsidRPr="00211EF7" w:rsidRDefault="00211EF7">
      <w:pPr>
        <w:pStyle w:val="Rubrik1"/>
        <w:shd w:val="clear" w:color="000000" w:fill="auto"/>
      </w:pPr>
      <w:r w:rsidRPr="00211EF7">
        <w:t>1:9 Totalförsvarets forskningsinstitut</w:t>
      </w:r>
    </w:p>
    <w:p w:rsidR="00211EF7" w:rsidRPr="00211EF7" w:rsidRDefault="00211EF7">
      <w:pPr>
        <w:shd w:val="clear" w:color="000000" w:fill="auto"/>
      </w:pPr>
      <w:r w:rsidRPr="00211EF7">
        <w:t>Vänsterpartiet är för en mycket restriktiv vapenexport och menar att den inte ska skattesubventioneras. Anslag 1:9 innefattar bl.a. finansiering av åtgärder för att främja den svenska försvarsindustrins exportverksamhet. Vänsterpart</w:t>
      </w:r>
      <w:r w:rsidRPr="00211EF7">
        <w:t>i</w:t>
      </w:r>
      <w:r w:rsidRPr="00211EF7">
        <w:t>et föreslår därför en besparing på området med 60 miljoner kronor 2010.</w:t>
      </w:r>
    </w:p>
    <w:p w:rsidR="00211EF7" w:rsidRPr="00211EF7" w:rsidRDefault="00211EF7">
      <w:pPr>
        <w:pStyle w:val="Rubrik1"/>
        <w:shd w:val="clear" w:color="000000" w:fill="auto"/>
      </w:pPr>
      <w:r w:rsidRPr="00211EF7">
        <w:t>1:11 Internationella materielsamarbeten, industrifrågor och exportstöd m.m.</w:t>
      </w:r>
    </w:p>
    <w:p w:rsidR="00211EF7" w:rsidRPr="00211EF7" w:rsidRDefault="00211EF7">
      <w:pPr>
        <w:shd w:val="clear" w:color="000000" w:fill="auto"/>
      </w:pPr>
      <w:r w:rsidRPr="00211EF7">
        <w:t>Även inom anslag 1:11 finns ekonomiska stöd till vapenexport. Vänsterpartiet föreslår därför en nedskärning på 60 miljoner kronor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EF7">
        <w:trPr>
          <w:cantSplit/>
        </w:trPr>
        <w:tc>
          <w:tcPr>
            <w:tcW w:w="3046" w:type="dxa"/>
          </w:tcPr>
          <w:p w:rsidR="00211EF7" w:rsidRPr="00211EF7" w:rsidRDefault="00211EF7">
            <w:pPr>
              <w:pStyle w:val="UnderskriftDatum"/>
              <w:shd w:val="clear" w:color="000000" w:fill="auto"/>
              <w:spacing w:before="240"/>
            </w:pPr>
            <w:r w:rsidRPr="00211EF7">
              <w:t>Stockholm den 29 september 2009</w:t>
            </w:r>
          </w:p>
        </w:tc>
        <w:tc>
          <w:tcPr>
            <w:tcW w:w="3047" w:type="dxa"/>
          </w:tcPr>
          <w:p w:rsidR="00211EF7" w:rsidRPr="00211EF7" w:rsidRDefault="00211EF7">
            <w:pPr>
              <w:pStyle w:val="Underskrifter"/>
              <w:shd w:val="clear" w:color="000000" w:fill="auto"/>
              <w:spacing w:before="240"/>
            </w:pPr>
          </w:p>
        </w:tc>
      </w:tr>
      <w:tr w:rsidR="00000000" w:rsidRPr="00211EF7">
        <w:trPr>
          <w:cantSplit/>
        </w:trPr>
        <w:tc>
          <w:tcPr>
            <w:tcW w:w="3046" w:type="dxa"/>
          </w:tcPr>
          <w:p w:rsidR="00211EF7" w:rsidRPr="00211EF7" w:rsidRDefault="00211EF7">
            <w:pPr>
              <w:pStyle w:val="Underskrifter"/>
              <w:shd w:val="clear" w:color="000000" w:fill="auto"/>
            </w:pPr>
            <w:r w:rsidRPr="00211EF7">
              <w:t>Lars Ohly (v)</w:t>
            </w:r>
          </w:p>
        </w:tc>
        <w:tc>
          <w:tcPr>
            <w:tcW w:w="3046" w:type="dxa"/>
          </w:tcPr>
          <w:p w:rsidR="00211EF7" w:rsidRPr="00211EF7" w:rsidRDefault="00211EF7">
            <w:pPr>
              <w:pStyle w:val="Underskrifter"/>
              <w:shd w:val="clear" w:color="000000" w:fill="auto"/>
            </w:pPr>
          </w:p>
        </w:tc>
      </w:tr>
      <w:tr w:rsidR="00000000" w:rsidRPr="00211EF7">
        <w:trPr>
          <w:cantSplit/>
        </w:trPr>
        <w:tc>
          <w:tcPr>
            <w:tcW w:w="3046" w:type="dxa"/>
          </w:tcPr>
          <w:p w:rsidR="00211EF7" w:rsidRPr="00211EF7" w:rsidRDefault="00211EF7">
            <w:pPr>
              <w:pStyle w:val="Underskrifter"/>
              <w:shd w:val="clear" w:color="000000" w:fill="auto"/>
            </w:pPr>
            <w:r w:rsidRPr="00211EF7">
              <w:t>Marianne Berg (v)</w:t>
            </w:r>
          </w:p>
        </w:tc>
        <w:tc>
          <w:tcPr>
            <w:tcW w:w="3046" w:type="dxa"/>
          </w:tcPr>
          <w:p w:rsidR="00211EF7" w:rsidRPr="00211EF7" w:rsidRDefault="00211EF7">
            <w:pPr>
              <w:pStyle w:val="Underskrifter"/>
              <w:shd w:val="clear" w:color="000000" w:fill="auto"/>
            </w:pPr>
            <w:r w:rsidRPr="00211EF7">
              <w:t>Jacob Johnson (v)</w:t>
            </w:r>
          </w:p>
        </w:tc>
      </w:tr>
      <w:tr w:rsidR="00000000" w:rsidRPr="00211EF7">
        <w:trPr>
          <w:cantSplit/>
        </w:trPr>
        <w:tc>
          <w:tcPr>
            <w:tcW w:w="3046" w:type="dxa"/>
          </w:tcPr>
          <w:p w:rsidR="00211EF7" w:rsidRPr="00211EF7" w:rsidRDefault="00211EF7">
            <w:pPr>
              <w:pStyle w:val="Underskrifter"/>
              <w:shd w:val="clear" w:color="000000" w:fill="auto"/>
            </w:pPr>
            <w:r w:rsidRPr="00211EF7">
              <w:t>Hans Linde (v)</w:t>
            </w:r>
          </w:p>
        </w:tc>
        <w:tc>
          <w:tcPr>
            <w:tcW w:w="3046" w:type="dxa"/>
          </w:tcPr>
          <w:p w:rsidR="00211EF7" w:rsidRPr="00211EF7" w:rsidRDefault="00211EF7">
            <w:pPr>
              <w:pStyle w:val="Underskrifter"/>
              <w:shd w:val="clear" w:color="000000" w:fill="auto"/>
            </w:pPr>
            <w:r w:rsidRPr="00211EF7">
              <w:t>Elina Linna (v)</w:t>
            </w:r>
          </w:p>
        </w:tc>
      </w:tr>
      <w:tr w:rsidR="00000000" w:rsidRPr="00211EF7">
        <w:trPr>
          <w:cantSplit/>
        </w:trPr>
        <w:tc>
          <w:tcPr>
            <w:tcW w:w="3046" w:type="dxa"/>
          </w:tcPr>
          <w:p w:rsidR="00211EF7" w:rsidRPr="00211EF7" w:rsidRDefault="00211EF7">
            <w:pPr>
              <w:pStyle w:val="Underskrifter"/>
              <w:shd w:val="clear" w:color="000000" w:fill="auto"/>
            </w:pPr>
            <w:r w:rsidRPr="00211EF7">
              <w:t>Lena Olsson (v)</w:t>
            </w:r>
          </w:p>
        </w:tc>
        <w:tc>
          <w:tcPr>
            <w:tcW w:w="3046" w:type="dxa"/>
          </w:tcPr>
          <w:p w:rsidR="00211EF7" w:rsidRPr="00211EF7" w:rsidRDefault="00211EF7">
            <w:pPr>
              <w:pStyle w:val="Underskrifter"/>
              <w:shd w:val="clear" w:color="000000" w:fill="auto"/>
            </w:pPr>
            <w:r w:rsidRPr="00211EF7">
              <w:t>Alice Åström (v)</w:t>
            </w:r>
          </w:p>
        </w:tc>
      </w:tr>
      <w:tr w:rsidR="00000000" w:rsidRPr="00211EF7">
        <w:trPr>
          <w:cantSplit/>
        </w:trPr>
        <w:tc>
          <w:tcPr>
            <w:tcW w:w="3046" w:type="dxa"/>
          </w:tcPr>
          <w:p w:rsidR="00211EF7" w:rsidRPr="00211EF7" w:rsidRDefault="00211EF7">
            <w:pPr>
              <w:pStyle w:val="Underskrifter"/>
              <w:shd w:val="clear" w:color="000000" w:fill="auto"/>
            </w:pPr>
            <w:r w:rsidRPr="00211EF7">
              <w:t>Gunilla Wahlén (v)</w:t>
            </w:r>
          </w:p>
        </w:tc>
        <w:tc>
          <w:tcPr>
            <w:tcW w:w="3046" w:type="dxa"/>
          </w:tcPr>
          <w:p w:rsidR="00211EF7" w:rsidRPr="00211EF7" w:rsidRDefault="00211EF7">
            <w:pPr>
              <w:pStyle w:val="Underskrifter"/>
              <w:shd w:val="clear" w:color="000000" w:fill="auto"/>
            </w:pPr>
          </w:p>
        </w:tc>
      </w:tr>
    </w:tbl>
    <w:p w:rsidR="00211EF7" w:rsidRPr="00211EF7" w:rsidRDefault="00211EF7">
      <w:pPr>
        <w:pStyle w:val="Normaltindrag"/>
        <w:shd w:val="clear" w:color="000000" w:fill="auto"/>
      </w:pPr>
    </w:p>
    <w:sectPr w:rsidR="00000000" w:rsidRPr="00211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EF7" w:rsidRPr="00211EF7" w:rsidRDefault="00211EF7">
      <w:r w:rsidRPr="00211EF7">
        <w:separator/>
      </w:r>
    </w:p>
  </w:endnote>
  <w:endnote w:type="continuationSeparator" w:id="0">
    <w:p w:rsidR="00211EF7" w:rsidRPr="00211EF7" w:rsidRDefault="00211EF7">
      <w:r w:rsidRPr="00211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F7" w:rsidRPr="00211EF7" w:rsidRDefault="00211EF7">
    <w:pPr>
      <w:pStyle w:val="Sidfot"/>
    </w:pPr>
    <w:r w:rsidRPr="00211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273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7" w:rsidRDefault="00211E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1EF7" w:rsidRDefault="00211E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F7" w:rsidRPr="00211EF7" w:rsidRDefault="00211EF7">
    <w:pPr>
      <w:pStyle w:val="Sidfot"/>
    </w:pPr>
    <w:r w:rsidRPr="00211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02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7" w:rsidRDefault="00211EF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1EF7" w:rsidRDefault="00211EF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F7" w:rsidRPr="00211EF7" w:rsidRDefault="00211EF7">
    <w:pPr>
      <w:pStyle w:val="Sidfot"/>
    </w:pPr>
    <w:r w:rsidRPr="00211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9409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7" w:rsidRDefault="00211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1EF7" w:rsidRDefault="00211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EF7" w:rsidRPr="00211EF7" w:rsidRDefault="00211EF7">
      <w:r w:rsidRPr="00211EF7">
        <w:separator/>
      </w:r>
    </w:p>
  </w:footnote>
  <w:footnote w:type="continuationSeparator" w:id="0">
    <w:p w:rsidR="00211EF7" w:rsidRPr="00211EF7" w:rsidRDefault="00211EF7">
      <w:r w:rsidRPr="00211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F7" w:rsidRPr="00211EF7" w:rsidRDefault="00211EF7">
    <w:pPr>
      <w:pStyle w:val="Sidhuvud"/>
    </w:pPr>
    <w:r w:rsidRPr="00211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3861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7" w:rsidRDefault="00211E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1EF7" w:rsidRDefault="00211E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F7" w:rsidRPr="00211EF7" w:rsidRDefault="00211EF7">
    <w:pPr>
      <w:pStyle w:val="Sidhuvud"/>
    </w:pPr>
    <w:r w:rsidRPr="00211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2364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1EF7" w:rsidRDefault="00211E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1EF7" w:rsidRDefault="00211E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EF7" w:rsidRPr="00211EF7" w:rsidRDefault="00211EF7">
    <w:pPr>
      <w:pStyle w:val="FSHNormal"/>
      <w:tabs>
        <w:tab w:val="right" w:pos="5840"/>
      </w:tabs>
    </w:pPr>
    <w:r w:rsidRPr="00211EF7">
      <w:br/>
    </w:r>
    <w:r w:rsidRPr="00211EF7">
      <w:fldChar w:fldCharType="begin" w:fldLock="1"/>
    </w:r>
    <w:r w:rsidRPr="00211EF7">
      <w:instrText xml:space="preserve"> DOCPROPERTY</w:instrText>
    </w:r>
    <w:r w:rsidRPr="00211EF7">
      <w:rPr>
        <w:sz w:val="18"/>
      </w:rPr>
      <w:instrText xml:space="preserve"> "YearUser" *\charformat </w:instrText>
    </w:r>
    <w:r w:rsidRPr="00211EF7">
      <w:fldChar w:fldCharType="separate"/>
    </w:r>
    <w:r w:rsidRPr="00211EF7">
      <w:t>2009/10</w:t>
    </w:r>
    <w:r w:rsidRPr="00211EF7">
      <w:fldChar w:fldCharType="end"/>
    </w:r>
    <w:r w:rsidRPr="00211EF7">
      <w:t xml:space="preserve"> </w:t>
    </w:r>
    <w:r w:rsidRPr="00211EF7">
      <w:tab/>
      <w:t xml:space="preserve">mnr: </w:t>
    </w:r>
    <w:r w:rsidRPr="00211EF7">
      <w:fldChar w:fldCharType="begin" w:fldLock="1"/>
    </w:r>
    <w:r w:rsidRPr="00211EF7">
      <w:instrText xml:space="preserve"> DOCPROPERTY</w:instrText>
    </w:r>
    <w:r w:rsidRPr="00211EF7">
      <w:rPr>
        <w:sz w:val="18"/>
      </w:rPr>
      <w:instrText xml:space="preserve"> "Motionsnummer" *\charformat </w:instrText>
    </w:r>
    <w:r w:rsidRPr="00211EF7">
      <w:fldChar w:fldCharType="separate"/>
    </w:r>
    <w:r w:rsidRPr="00211EF7">
      <w:t>Fö252</w:t>
    </w:r>
    <w:r w:rsidRPr="00211EF7">
      <w:fldChar w:fldCharType="end"/>
    </w:r>
    <w:r w:rsidRPr="00211EF7">
      <w:br/>
    </w:r>
    <w:r w:rsidRPr="00211EF7">
      <w:fldChar w:fldCharType="begin" w:fldLock="1"/>
    </w:r>
    <w:r w:rsidRPr="00211EF7">
      <w:instrText xml:space="preserve"> DOCPROPERTY</w:instrText>
    </w:r>
    <w:r w:rsidRPr="00211EF7">
      <w:rPr>
        <w:sz w:val="18"/>
      </w:rPr>
      <w:instrText xml:space="preserve"> "Samling" *\charformat </w:instrText>
    </w:r>
    <w:r w:rsidRPr="00211EF7">
      <w:fldChar w:fldCharType="end"/>
    </w:r>
    <w:r w:rsidRPr="00211EF7">
      <w:tab/>
      <w:t xml:space="preserve">pnr: </w:t>
    </w:r>
    <w:r w:rsidRPr="00211EF7">
      <w:fldChar w:fldCharType="begin" w:fldLock="1"/>
    </w:r>
    <w:r w:rsidRPr="00211EF7">
      <w:instrText xml:space="preserve"> DOCPROPERTY</w:instrText>
    </w:r>
    <w:r w:rsidRPr="00211EF7">
      <w:rPr>
        <w:sz w:val="18"/>
      </w:rPr>
      <w:instrText xml:space="preserve"> "Partinummer" *\charformat </w:instrText>
    </w:r>
    <w:r w:rsidRPr="00211EF7">
      <w:fldChar w:fldCharType="separate"/>
    </w:r>
    <w:r w:rsidRPr="00211EF7">
      <w:t>v260</w:t>
    </w:r>
    <w:r w:rsidRPr="00211EF7">
      <w:fldChar w:fldCharType="end"/>
    </w:r>
  </w:p>
  <w:p w:rsidR="00211EF7" w:rsidRPr="00211EF7" w:rsidRDefault="00211EF7">
    <w:pPr>
      <w:pStyle w:val="FSHRub1"/>
    </w:pPr>
    <w:r w:rsidRPr="00211EF7">
      <w:t>Motion till riksdagen</w:t>
    </w:r>
    <w:r w:rsidRPr="00211EF7">
      <w:br/>
    </w:r>
    <w:r w:rsidRPr="00211EF7">
      <w:fldChar w:fldCharType="begin" w:fldLock="1"/>
    </w:r>
    <w:r w:rsidRPr="00211EF7">
      <w:instrText xml:space="preserve"> DOCPROPERTY "YearUser" *\charformat </w:instrText>
    </w:r>
    <w:r w:rsidRPr="00211EF7">
      <w:fldChar w:fldCharType="separate"/>
    </w:r>
    <w:r w:rsidRPr="00211EF7">
      <w:t>2009/10</w:t>
    </w:r>
    <w:r w:rsidRPr="00211EF7">
      <w:fldChar w:fldCharType="end"/>
    </w:r>
    <w:r w:rsidRPr="00211EF7">
      <w:t>:</w:t>
    </w:r>
    <w:r w:rsidRPr="00211EF7">
      <w:fldChar w:fldCharType="begin" w:fldLock="1"/>
    </w:r>
    <w:r w:rsidRPr="00211EF7">
      <w:instrText xml:space="preserve"> DOCPROPERTY "Motionsnummer" *\charformat </w:instrText>
    </w:r>
    <w:r w:rsidRPr="00211EF7">
      <w:fldChar w:fldCharType="separate"/>
    </w:r>
    <w:r w:rsidRPr="00211EF7">
      <w:t>Fö252</w:t>
    </w:r>
    <w:r w:rsidRPr="00211EF7">
      <w:fldChar w:fldCharType="end"/>
    </w:r>
  </w:p>
  <w:p w:rsidR="00211EF7" w:rsidRPr="00211EF7" w:rsidRDefault="00211EF7">
    <w:pPr>
      <w:pStyle w:val="FSHNormalS5"/>
    </w:pPr>
    <w:r w:rsidRPr="00211EF7">
      <w:fldChar w:fldCharType="begin" w:fldLock="1"/>
    </w:r>
    <w:r w:rsidRPr="00211EF7">
      <w:instrText xml:space="preserve"> DOCPROPERTY "MotionarText" *\charformat </w:instrText>
    </w:r>
    <w:r w:rsidRPr="00211EF7">
      <w:fldChar w:fldCharType="separate"/>
    </w:r>
    <w:r w:rsidRPr="00211EF7">
      <w:t>av Lars Ohly m.fl. (v)</w:t>
    </w:r>
    <w:r w:rsidRPr="00211EF7">
      <w:fldChar w:fldCharType="end"/>
    </w:r>
    <w:r w:rsidRPr="00211EF7">
      <w:br/>
    </w:r>
    <w:r w:rsidRPr="00211EF7">
      <w:fldChar w:fldCharType="begin" w:fldLock="1"/>
    </w:r>
    <w:r w:rsidRPr="00211EF7">
      <w:instrText xml:space="preserve"> DOCPROPERTY "SvarFrasKort" *\charformat </w:instrText>
    </w:r>
    <w:r w:rsidRPr="00211EF7">
      <w:fldChar w:fldCharType="end"/>
    </w:r>
  </w:p>
  <w:p w:rsidR="00211EF7" w:rsidRPr="00211EF7" w:rsidRDefault="00211EF7">
    <w:pPr>
      <w:pStyle w:val="FSHTitel"/>
    </w:pPr>
    <w:r w:rsidRPr="00211EF7">
      <w:fldChar w:fldCharType="begin" w:fldLock="1"/>
    </w:r>
    <w:r w:rsidRPr="00211EF7">
      <w:instrText xml:space="preserve"> DOCPROPERTY</w:instrText>
    </w:r>
    <w:r w:rsidRPr="00211EF7">
      <w:rPr>
        <w:sz w:val="18"/>
      </w:rPr>
      <w:instrText xml:space="preserve"> "RubrikSvar" *\charformat </w:instrText>
    </w:r>
    <w:r w:rsidRPr="00211EF7">
      <w:fldChar w:fldCharType="separate"/>
    </w:r>
    <w:r w:rsidRPr="00211EF7">
      <w:t>Utgiftsområde 6 Försvar och samhällets krisberedskap</w:t>
    </w:r>
    <w:r w:rsidRPr="00211EF7">
      <w:fldChar w:fldCharType="end"/>
    </w:r>
  </w:p>
  <w:p w:rsidR="00211EF7" w:rsidRPr="00211EF7" w:rsidRDefault="00211EF7">
    <w:pPr>
      <w:pStyle w:val="Normal00"/>
    </w:pPr>
  </w:p>
  <w:p w:rsidR="00211EF7" w:rsidRPr="00211EF7" w:rsidRDefault="00211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EDA68B4"/>
    <w:multiLevelType w:val="multilevel"/>
    <w:tmpl w:val="028AC2C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9637255">
    <w:abstractNumId w:val="8"/>
  </w:num>
  <w:num w:numId="2" w16cid:durableId="263265317">
    <w:abstractNumId w:val="9"/>
  </w:num>
  <w:num w:numId="3" w16cid:durableId="1781602496">
    <w:abstractNumId w:val="8"/>
  </w:num>
  <w:num w:numId="4" w16cid:durableId="904607275">
    <w:abstractNumId w:val="9"/>
  </w:num>
  <w:num w:numId="5" w16cid:durableId="1105539850">
    <w:abstractNumId w:val="14"/>
  </w:num>
  <w:num w:numId="6" w16cid:durableId="928848009">
    <w:abstractNumId w:val="10"/>
  </w:num>
  <w:num w:numId="7" w16cid:durableId="98641686">
    <w:abstractNumId w:val="12"/>
  </w:num>
  <w:num w:numId="8" w16cid:durableId="1070468937">
    <w:abstractNumId w:val="13"/>
  </w:num>
  <w:num w:numId="9" w16cid:durableId="256133896">
    <w:abstractNumId w:val="8"/>
  </w:num>
  <w:num w:numId="10" w16cid:durableId="881136860">
    <w:abstractNumId w:val="3"/>
  </w:num>
  <w:num w:numId="11" w16cid:durableId="1832676671">
    <w:abstractNumId w:val="2"/>
  </w:num>
  <w:num w:numId="12" w16cid:durableId="1178350131">
    <w:abstractNumId w:val="1"/>
  </w:num>
  <w:num w:numId="13" w16cid:durableId="446660580">
    <w:abstractNumId w:val="0"/>
  </w:num>
  <w:num w:numId="14" w16cid:durableId="557084372">
    <w:abstractNumId w:val="9"/>
  </w:num>
  <w:num w:numId="15" w16cid:durableId="471941860">
    <w:abstractNumId w:val="7"/>
  </w:num>
  <w:num w:numId="16" w16cid:durableId="1936018207">
    <w:abstractNumId w:val="6"/>
  </w:num>
  <w:num w:numId="17" w16cid:durableId="725448280">
    <w:abstractNumId w:val="5"/>
  </w:num>
  <w:num w:numId="18" w16cid:durableId="1627542907">
    <w:abstractNumId w:val="4"/>
  </w:num>
  <w:num w:numId="19" w16cid:durableId="435445392">
    <w:abstractNumId w:val="11"/>
  </w:num>
  <w:num w:numId="20" w16cid:durableId="2115829834">
    <w:abstractNumId w:val="12"/>
  </w:num>
  <w:num w:numId="21" w16cid:durableId="981695776">
    <w:abstractNumId w:val="10"/>
  </w:num>
  <w:num w:numId="22" w16cid:durableId="2131899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F1A2565D-4D2F-4887-9B1D-3D7BE825DA8C},{25384487-954A-4B3D-A759-FB67661DCC6F},{70ED92E7-062B-44F5-98C0-1732E6D079B7},{88576935-7337-4AFA-923F-6E59D33EEBED},{8B923F15-4996-4696-A089-6A5BE8BF8E1B},{5E1F5B3E-DDB9-4605-85F6-1CAF1124E96C},{7E0BF71E-CD03-4DBF-9F51-3B5B798F2741},{233588E7-F7BD-4F60-BEE5-22A19EE80FB2}"/>
  </w:docVars>
  <w:rsids>
    <w:rsidRoot w:val="00DA25BB"/>
    <w:rsid w:val="00211EF7"/>
    <w:rsid w:val="00DA25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14DCDF8A-176E-4C22-A3B0-A408DE4B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993</Words>
  <Characters>6306</Characters>
  <Application>Microsoft Office Word</Application>
  <DocSecurity>4</DocSecurity>
  <Lines>157</Lines>
  <Paragraphs>81</Paragraphs>
  <ScaleCrop>false</ScaleCrop>
  <HeadingPairs>
    <vt:vector size="2" baseType="variant">
      <vt:variant>
        <vt:lpstr>Rubrik</vt:lpstr>
      </vt:variant>
      <vt:variant>
        <vt:i4>1</vt:i4>
      </vt:variant>
    </vt:vector>
  </HeadingPairs>
  <TitlesOfParts>
    <vt:vector size="1" baseType="lpstr">
      <vt:lpstr>v260</vt:lpstr>
    </vt:vector>
  </TitlesOfParts>
  <Company>Riksdagen</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v260</dc:title>
  <dc:subject>v260</dc:subject>
  <dc:creator>Riksdagen</dc:creator>
  <cp:keywords>Riksdagen</cp:keywords>
  <dc:description>Nya formatmallshantering för förslag+urix bakåtkomp+könamn</dc:description>
  <cp:lastModifiedBy>Lars Brink</cp:lastModifiedBy>
  <cp:revision>2</cp:revision>
  <cp:lastPrinted>2010-01-29T14:04:00Z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20092010000000000118000002600080</vt:lpwstr>
  </property>
  <property fmtid="{D5CDD505-2E9C-101B-9397-08002B2CF9AE}" pid="47" name="datum">
    <vt:lpwstr>090929</vt:lpwstr>
  </property>
  <property fmtid="{D5CDD505-2E9C-101B-9397-08002B2CF9AE}" pid="48" name="avsändar-e-post">
    <vt:lpwstr>maya.ek@riksdagen.se</vt:lpwstr>
  </property>
  <property fmtid="{D5CDD505-2E9C-101B-9397-08002B2CF9AE}" pid="49" name="id">
    <vt:lpwstr>20092010000000000118000002600080</vt:lpwstr>
  </property>
  <property fmtid="{D5CDD505-2E9C-101B-9397-08002B2CF9AE}" pid="50" name="nummer">
    <vt:lpwstr>252</vt:lpwstr>
  </property>
  <property fmtid="{D5CDD505-2E9C-101B-9397-08002B2CF9AE}" pid="51" name="utskottsbeteckning">
    <vt:lpwstr>Fö</vt:lpwstr>
  </property>
  <property fmtid="{D5CDD505-2E9C-101B-9397-08002B2CF9AE}" pid="52" name="GlobalUID">
    <vt:lpwstr>{F8169C0D-02EF-4558-A230-1D3D763D7F23}</vt:lpwstr>
  </property>
  <property fmtid="{D5CDD505-2E9C-101B-9397-08002B2CF9AE}" pid="53" name="Överföringar">
    <vt:i4>0</vt:i4>
  </property>
  <property fmtid="{D5CDD505-2E9C-101B-9397-08002B2CF9AE}" pid="54" name="Checksum">
    <vt:lpwstr>*1007398987547*</vt:lpwstr>
  </property>
  <property fmtid="{D5CDD505-2E9C-101B-9397-08002B2CF9AE}" pid="55" name="skuggnummer">
    <vt:lpwstr>2715</vt:lpwstr>
  </property>
  <property fmtid="{D5CDD505-2E9C-101B-9397-08002B2CF9AE}" pid="56" name="urixVersion">
    <vt:lpwstr>4.1.1.7</vt:lpwstr>
  </property>
  <property fmtid="{D5CDD505-2E9C-101B-9397-08002B2CF9AE}" pid="57" name="urixOrigin">
    <vt:lpwstr>100226 15:51:05.410</vt:lpwstr>
  </property>
  <property fmtid="{D5CDD505-2E9C-101B-9397-08002B2CF9AE}" pid="58" name="urixGuid">
    <vt:lpwstr>{DF02EC84-99C8-42D1-A428-3658390C527A}</vt:lpwstr>
  </property>
</Properties>
</file>