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4B456053B1B46C78902A4A93CE76266"/>
        </w:placeholder>
        <w:text/>
      </w:sdtPr>
      <w:sdtEndPr/>
      <w:sdtContent>
        <w:p w:rsidRPr="009B062B" w:rsidR="00AF30DD" w:rsidP="00DA28CE" w:rsidRDefault="00AF30DD" w14:paraId="40EB69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15b18c-9761-47d3-86f0-764c12a2a2e7"/>
        <w:id w:val="497241153"/>
        <w:lock w:val="sdtLocked"/>
      </w:sdtPr>
      <w:sdtEndPr/>
      <w:sdtContent>
        <w:p w:rsidR="004975FB" w:rsidRDefault="0071447F" w14:paraId="223A7E3C" w14:textId="77777777">
          <w:pPr>
            <w:pStyle w:val="Frslagstext"/>
          </w:pPr>
          <w:r>
            <w:t>Riksdagen ställer sig bakom det som anförs i motionen om att ge regeringen i uppdrag att inkräva rapport från ansvariga myndigheter om omfattningen av det beskrivna problemet med nöd- och hänvisningsbelysning och tillkännager detta för regeringen.</w:t>
          </w:r>
        </w:p>
      </w:sdtContent>
    </w:sdt>
    <w:sdt>
      <w:sdtPr>
        <w:alias w:val="Yrkande 2"/>
        <w:tag w:val="79bb2bf2-66b3-4649-9c14-02b45fad9c78"/>
        <w:id w:val="-1981987125"/>
        <w:lock w:val="sdtLocked"/>
      </w:sdtPr>
      <w:sdtEndPr/>
      <w:sdtContent>
        <w:p w:rsidR="004975FB" w:rsidRDefault="0071447F" w14:paraId="39098283" w14:textId="77777777">
          <w:pPr>
            <w:pStyle w:val="Frslagstext"/>
          </w:pPr>
          <w:r>
            <w:t>Riksdagen ställer sig bakom det som anförs i motionen om att ge regeringen i uppdrag att utreda regelbunden rapporteringsskyldighet för landets fastighetsägare avseende underhåll och standard på nöd- och hänvisningsbelysning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E9250A97AB4059A49728DD2A607908"/>
        </w:placeholder>
        <w:text/>
      </w:sdtPr>
      <w:sdtEndPr/>
      <w:sdtContent>
        <w:p w:rsidRPr="009B062B" w:rsidR="006D79C9" w:rsidP="00333E95" w:rsidRDefault="006D79C9" w14:paraId="3CE0B6B4" w14:textId="77777777">
          <w:pPr>
            <w:pStyle w:val="Rubrik1"/>
          </w:pPr>
          <w:r>
            <w:t>Motivering</w:t>
          </w:r>
        </w:p>
      </w:sdtContent>
    </w:sdt>
    <w:p w:rsidRPr="009E36A7" w:rsidR="006B2930" w:rsidP="00600203" w:rsidRDefault="006B2930" w14:paraId="13CDEC70" w14:textId="4AD4EEE5">
      <w:pPr>
        <w:pStyle w:val="Normalutanindragellerluft"/>
      </w:pPr>
      <w:r w:rsidRPr="009E36A7">
        <w:t>Det finns i Sverige ett stort antal samlings</w:t>
      </w:r>
      <w:r w:rsidR="00C004C8">
        <w:t>lokaler</w:t>
      </w:r>
      <w:r w:rsidRPr="009E36A7">
        <w:t xml:space="preserve"> och andra lokaler som ska vara utrustade med tydlig och välfungerande nöd- och hänvisningsbelysning så att vi kan försäkra oss </w:t>
      </w:r>
      <w:r w:rsidR="00C004C8">
        <w:t xml:space="preserve">om </w:t>
      </w:r>
      <w:r w:rsidRPr="009E36A7">
        <w:t>att minimera personskador</w:t>
      </w:r>
      <w:r w:rsidR="00C004C8">
        <w:t>na</w:t>
      </w:r>
      <w:r w:rsidRPr="009E36A7">
        <w:t xml:space="preserve"> i händelse av brand, terrorhot och andra situationer som kräver utrymning. </w:t>
      </w:r>
    </w:p>
    <w:p w:rsidRPr="009E36A7" w:rsidR="006B2930" w:rsidP="00600203" w:rsidRDefault="006B2930" w14:paraId="7E0A0A31" w14:textId="1808F2C2">
      <w:r w:rsidRPr="009E36A7">
        <w:t xml:space="preserve">Många minns, till exempel, diskoteksbranden i Göteborg för 21 år sedan då 63 personer omkom och 214 skadades. Händelsen ledde till en omfattande offentlig debatt om säkerheten i lokaler där många personer vistas samtidigt. Man skulle kunna tro att situationen </w:t>
      </w:r>
      <w:r w:rsidR="00C004C8">
        <w:t xml:space="preserve">har </w:t>
      </w:r>
      <w:r w:rsidRPr="009E36A7">
        <w:t>förbättrats på grund av den tragiska olyckan när det gäller utrymnings- och nödbelysning i offentliga lokaler och fastigheter</w:t>
      </w:r>
      <w:r w:rsidR="00C004C8">
        <w:t>,</w:t>
      </w:r>
      <w:r w:rsidRPr="009E36A7">
        <w:t xml:space="preserve"> men enligt branschens egna erfarenheter är situationen den motsatta. </w:t>
      </w:r>
    </w:p>
    <w:p w:rsidRPr="009E36A7" w:rsidR="006B2930" w:rsidP="006B2930" w:rsidRDefault="006B2930" w14:paraId="4C2F2540" w14:textId="2AAC1A32">
      <w:pPr>
        <w:contextualSpacing/>
      </w:pPr>
      <w:r w:rsidRPr="009E36A7">
        <w:t>Enligt branschens nödbelysningssektion FSN är det egentligen inget fel på gällande regelverk, som reglerar den tillsyn som ska utföras av Räddningstjänsten och Arbets</w:t>
      </w:r>
      <w:r w:rsidR="006173AF">
        <w:softHyphen/>
      </w:r>
      <w:r w:rsidRPr="009E36A7">
        <w:t>miljöverket. Problemet ligger snarare i det faktum att den reglerade tillsynen alltför sällan utförs av de ansvariga myndigheterna.</w:t>
      </w:r>
    </w:p>
    <w:p w:rsidRPr="009E36A7" w:rsidR="006B2930" w:rsidP="006B2930" w:rsidRDefault="006B2930" w14:paraId="01667D20" w14:textId="686C8CBB">
      <w:pPr>
        <w:contextualSpacing/>
      </w:pPr>
      <w:r w:rsidRPr="009E36A7">
        <w:lastRenderedPageBreak/>
        <w:t xml:space="preserve">Regeringen bör som första åtgärd begära in </w:t>
      </w:r>
      <w:r w:rsidR="00C004C8">
        <w:t xml:space="preserve">en </w:t>
      </w:r>
      <w:r w:rsidRPr="009E36A7">
        <w:t>rapport från de ansvariga myndig</w:t>
      </w:r>
      <w:r w:rsidR="006173AF">
        <w:softHyphen/>
      </w:r>
      <w:r w:rsidRPr="009E36A7">
        <w:t>heterna för att få svar på hur situationen ser ut i olika offentliga lokaler, som t</w:t>
      </w:r>
      <w:r w:rsidR="00C004C8">
        <w:t>.</w:t>
      </w:r>
      <w:r w:rsidRPr="009E36A7">
        <w:t>ex</w:t>
      </w:r>
      <w:r w:rsidR="00C004C8">
        <w:t>.</w:t>
      </w:r>
      <w:r w:rsidRPr="009E36A7">
        <w:t xml:space="preserve"> skolor, arbetsplatser, köpcentrum, hotell, konsertlokaler och andra arenor. </w:t>
      </w:r>
      <w:r>
        <w:t>Rapporten bör även innehålla tydliga mått på antalet utförda besiktningar av nöd- och hänvisnings</w:t>
      </w:r>
      <w:r w:rsidR="006173AF">
        <w:softHyphen/>
      </w:r>
      <w:r>
        <w:t>belysning. R</w:t>
      </w:r>
      <w:r w:rsidRPr="009E36A7">
        <w:t>apporten bör sedan ligga till grund för beslut om ev</w:t>
      </w:r>
      <w:r w:rsidR="00C004C8">
        <w:t>entuella</w:t>
      </w:r>
      <w:r w:rsidRPr="009E36A7">
        <w:t xml:space="preserve"> ytterligare åtgärder.</w:t>
      </w:r>
    </w:p>
    <w:p w:rsidR="00BB6339" w:rsidP="00600203" w:rsidRDefault="006B2930" w14:paraId="16BE1386" w14:textId="184DDFBA">
      <w:pPr>
        <w:contextualSpacing/>
      </w:pPr>
      <w:r w:rsidRPr="009E36A7">
        <w:t xml:space="preserve">Samtidigt bör regeringen </w:t>
      </w:r>
      <w:r>
        <w:t>utreda möjligheten att ålägga landets fastighetsägare en regelbunden rapporteringsskyldighet avseende underhåll och standard på nöd-</w:t>
      </w:r>
      <w:r w:rsidR="00C004C8">
        <w:t xml:space="preserve"> </w:t>
      </w:r>
      <w:r>
        <w:t>och hänvisningsbelysning, liknande den i</w:t>
      </w:r>
      <w:r w:rsidR="00C004C8">
        <w:t xml:space="preserve"> </w:t>
      </w:r>
      <w:r>
        <w:t>dag reglerade ventilationskontrollen – OVK (</w:t>
      </w:r>
      <w:r w:rsidR="00C004C8">
        <w:t>o</w:t>
      </w:r>
      <w:r>
        <w:t xml:space="preserve">bligatorisk </w:t>
      </w:r>
      <w:r w:rsidR="00C004C8">
        <w:t>v</w:t>
      </w:r>
      <w:r>
        <w:t>entilationskontroll).</w:t>
      </w:r>
    </w:p>
    <w:sdt>
      <w:sdtPr>
        <w:alias w:val="CC_Underskrifter"/>
        <w:tag w:val="CC_Underskrifter"/>
        <w:id w:val="583496634"/>
        <w:lock w:val="sdtContentLocked"/>
        <w:placeholder>
          <w:docPart w:val="D0A0064D51F84F57B385A7F29EC3C301"/>
        </w:placeholder>
      </w:sdtPr>
      <w:sdtEndPr/>
      <w:sdtContent>
        <w:p w:rsidR="000458EF" w:rsidP="000458EF" w:rsidRDefault="000458EF" w14:paraId="14FFC8DC" w14:textId="77777777"/>
        <w:p w:rsidRPr="008E0FE2" w:rsidR="004801AC" w:rsidP="000458EF" w:rsidRDefault="006173AF" w14:paraId="33C956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</w:tr>
    </w:tbl>
    <w:p w:rsidR="00357216" w:rsidRDefault="00357216" w14:paraId="48E621F2" w14:textId="77777777">
      <w:bookmarkStart w:name="_GoBack" w:id="1"/>
      <w:bookmarkEnd w:id="1"/>
    </w:p>
    <w:sectPr w:rsidR="003572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14EFB" w14:textId="77777777" w:rsidR="002000FE" w:rsidRDefault="002000FE" w:rsidP="000C1CAD">
      <w:pPr>
        <w:spacing w:line="240" w:lineRule="auto"/>
      </w:pPr>
      <w:r>
        <w:separator/>
      </w:r>
    </w:p>
  </w:endnote>
  <w:endnote w:type="continuationSeparator" w:id="0">
    <w:p w14:paraId="73864693" w14:textId="77777777" w:rsidR="002000FE" w:rsidRDefault="002000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A48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23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58E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05F6" w14:textId="77777777" w:rsidR="00262EA3" w:rsidRPr="000458EF" w:rsidRDefault="00262EA3" w:rsidP="000458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0E485" w14:textId="77777777" w:rsidR="002000FE" w:rsidRDefault="002000FE" w:rsidP="000C1CAD">
      <w:pPr>
        <w:spacing w:line="240" w:lineRule="auto"/>
      </w:pPr>
      <w:r>
        <w:separator/>
      </w:r>
    </w:p>
  </w:footnote>
  <w:footnote w:type="continuationSeparator" w:id="0">
    <w:p w14:paraId="0E8873C3" w14:textId="77777777" w:rsidR="002000FE" w:rsidRDefault="002000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364A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F076CF" wp14:anchorId="4962A8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73AF" w14:paraId="383385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BE6FC8FBA243A4ADE235A84DFF91CC"/>
                              </w:placeholder>
                              <w:text/>
                            </w:sdtPr>
                            <w:sdtEndPr/>
                            <w:sdtContent>
                              <w:r w:rsidR="000A22C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4E510A17FC450CBF3F647900D426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62A8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73AF" w14:paraId="383385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BE6FC8FBA243A4ADE235A84DFF91CC"/>
                        </w:placeholder>
                        <w:text/>
                      </w:sdtPr>
                      <w:sdtEndPr/>
                      <w:sdtContent>
                        <w:r w:rsidR="000A22C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4E510A17FC450CBF3F647900D426E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DDA4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E6F04C" w14:textId="77777777">
    <w:pPr>
      <w:jc w:val="right"/>
    </w:pPr>
  </w:p>
  <w:p w:rsidR="00262EA3" w:rsidP="00776B74" w:rsidRDefault="00262EA3" w14:paraId="019D7E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73AF" w14:paraId="1B8632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1C569C" wp14:anchorId="6C0AD1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73AF" w14:paraId="0654E8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22C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173AF" w14:paraId="026B5B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73AF" w14:paraId="6BB129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:916</w:t>
        </w:r>
      </w:sdtContent>
    </w:sdt>
  </w:p>
  <w:p w:rsidR="00262EA3" w:rsidP="00E03A3D" w:rsidRDefault="006173AF" w14:paraId="069C52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och Helena Lindahl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2930" w14:paraId="361B59E3" w14:textId="77777777">
        <w:pPr>
          <w:pStyle w:val="FSHRub2"/>
        </w:pPr>
        <w:r>
          <w:t>Bättre kontroll av nödbelysning i allmänna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541A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7B0789E"/>
    <w:multiLevelType w:val="hybridMultilevel"/>
    <w:tmpl w:val="B77224D4"/>
    <w:lvl w:ilvl="0" w:tplc="A5EE342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2DB"/>
    <w:multiLevelType w:val="hybridMultilevel"/>
    <w:tmpl w:val="05CEF6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A22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58EF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2CE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0FE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54D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16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8EF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5FB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203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3AF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072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4AB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930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3AE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47F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016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4C8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96C7CB"/>
  <w15:chartTrackingRefBased/>
  <w15:docId w15:val="{C83774BA-3409-473A-84AE-86278F74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B456053B1B46C78902A4A93CE76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F3A56-AC1F-4800-B021-D87726C9646E}"/>
      </w:docPartPr>
      <w:docPartBody>
        <w:p w:rsidR="00B73254" w:rsidRDefault="00A27D19">
          <w:pPr>
            <w:pStyle w:val="D4B456053B1B46C78902A4A93CE762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E9250A97AB4059A49728DD2A607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B1F3C-B19F-4258-9931-F7C3BD3835D3}"/>
      </w:docPartPr>
      <w:docPartBody>
        <w:p w:rsidR="00B73254" w:rsidRDefault="00A27D19">
          <w:pPr>
            <w:pStyle w:val="1CE9250A97AB4059A49728DD2A6079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BE6FC8FBA243A4ADE235A84DFF9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98093-31B9-4646-932F-76CBF246CE07}"/>
      </w:docPartPr>
      <w:docPartBody>
        <w:p w:rsidR="00B73254" w:rsidRDefault="00A27D19">
          <w:pPr>
            <w:pStyle w:val="C2BE6FC8FBA243A4ADE235A84DFF91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4E510A17FC450CBF3F647900D42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E94F5-B118-471E-ACB9-39908CC8267F}"/>
      </w:docPartPr>
      <w:docPartBody>
        <w:p w:rsidR="00B73254" w:rsidRDefault="00A27D19">
          <w:pPr>
            <w:pStyle w:val="794E510A17FC450CBF3F647900D426E2"/>
          </w:pPr>
          <w:r>
            <w:t xml:space="preserve"> </w:t>
          </w:r>
        </w:p>
      </w:docPartBody>
    </w:docPart>
    <w:docPart>
      <w:docPartPr>
        <w:name w:val="D0A0064D51F84F57B385A7F29EC3C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5C079-0758-4C5E-959F-C5502F8EDAAE}"/>
      </w:docPartPr>
      <w:docPartBody>
        <w:p w:rsidR="003E0FD9" w:rsidRDefault="003E0F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19"/>
    <w:rsid w:val="003E0FD9"/>
    <w:rsid w:val="00A27D19"/>
    <w:rsid w:val="00B44B42"/>
    <w:rsid w:val="00B7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B456053B1B46C78902A4A93CE76266">
    <w:name w:val="D4B456053B1B46C78902A4A93CE76266"/>
  </w:style>
  <w:style w:type="paragraph" w:customStyle="1" w:styleId="DDDDFAE86D834741B64D8797AD80CFCF">
    <w:name w:val="DDDDFAE86D834741B64D8797AD80CF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9044D9DF64041CABC61FAB6E4678251">
    <w:name w:val="E9044D9DF64041CABC61FAB6E4678251"/>
  </w:style>
  <w:style w:type="paragraph" w:customStyle="1" w:styleId="1CE9250A97AB4059A49728DD2A607908">
    <w:name w:val="1CE9250A97AB4059A49728DD2A607908"/>
  </w:style>
  <w:style w:type="paragraph" w:customStyle="1" w:styleId="43DF20A19C524404BE77336F2D123AD3">
    <w:name w:val="43DF20A19C524404BE77336F2D123AD3"/>
  </w:style>
  <w:style w:type="paragraph" w:customStyle="1" w:styleId="7A59053A044C4089A640FA3F823646AC">
    <w:name w:val="7A59053A044C4089A640FA3F823646AC"/>
  </w:style>
  <w:style w:type="paragraph" w:customStyle="1" w:styleId="C2BE6FC8FBA243A4ADE235A84DFF91CC">
    <w:name w:val="C2BE6FC8FBA243A4ADE235A84DFF91CC"/>
  </w:style>
  <w:style w:type="paragraph" w:customStyle="1" w:styleId="794E510A17FC450CBF3F647900D426E2">
    <w:name w:val="794E510A17FC450CBF3F647900D42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2307F-E6F4-425D-B377-BDEE1B347043}"/>
</file>

<file path=customXml/itemProps2.xml><?xml version="1.0" encoding="utf-8"?>
<ds:datastoreItem xmlns:ds="http://schemas.openxmlformats.org/officeDocument/2006/customXml" ds:itemID="{69545019-43DD-4115-B4B7-3DD2660C86EB}"/>
</file>

<file path=customXml/itemProps3.xml><?xml version="1.0" encoding="utf-8"?>
<ds:datastoreItem xmlns:ds="http://schemas.openxmlformats.org/officeDocument/2006/customXml" ds:itemID="{D352CEF7-24C5-4B1E-8928-9AFD59261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2038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Bättre kontroll av nödbelysning i allmänna lokaler</vt:lpstr>
      <vt:lpstr>
      </vt:lpstr>
    </vt:vector>
  </TitlesOfParts>
  <Company>Sveriges riksdag</Company>
  <LinksUpToDate>false</LinksUpToDate>
  <CharactersWithSpaces>2352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