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9A060D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C827A8">
              <w:rPr>
                <w:b/>
              </w:rPr>
              <w:t>4</w:t>
            </w:r>
            <w:r w:rsidR="00C33FA3">
              <w:rPr>
                <w:b/>
              </w:rPr>
              <w:t>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C33FA3">
              <w:t>06-05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C33FA3">
            <w:pPr>
              <w:ind w:right="-269"/>
            </w:pPr>
            <w:r>
              <w:t xml:space="preserve">kl. </w:t>
            </w:r>
            <w:r w:rsidR="00C33FA3">
              <w:t>9.30-9.32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C33FA3" w:rsidRDefault="00C33FA3" w:rsidP="0096348C">
      <w:pPr>
        <w:tabs>
          <w:tab w:val="left" w:pos="1701"/>
        </w:tabs>
        <w:rPr>
          <w:snapToGrid w:val="0"/>
          <w:color w:val="000000"/>
        </w:rPr>
      </w:pPr>
    </w:p>
    <w:p w:rsidR="00C33FA3" w:rsidRDefault="00C33FA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E4CAC" w:rsidTr="008035C8">
        <w:tc>
          <w:tcPr>
            <w:tcW w:w="567" w:type="dxa"/>
          </w:tcPr>
          <w:p w:rsidR="002E4CAC" w:rsidRDefault="002E4CA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FA3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2E4CAC" w:rsidRDefault="002E4CAC" w:rsidP="002E4CAC">
            <w:pPr>
              <w:widowControl/>
              <w:rPr>
                <w:szCs w:val="24"/>
              </w:rPr>
            </w:pPr>
            <w:r w:rsidRPr="002E4CAC">
              <w:rPr>
                <w:b/>
                <w:szCs w:val="24"/>
              </w:rPr>
              <w:t>Sammanträde vid arbetsplenum</w:t>
            </w:r>
            <w:r>
              <w:rPr>
                <w:b/>
                <w:szCs w:val="24"/>
              </w:rPr>
              <w:br/>
            </w:r>
            <w:r w:rsidR="00F201C3">
              <w:t>Utskottet beslutade att</w:t>
            </w:r>
            <w:r w:rsidR="00C33FA3">
              <w:t xml:space="preserve"> sammanträda under arbetsplenum</w:t>
            </w:r>
            <w:r w:rsidR="00F201C3">
              <w:t xml:space="preserve"> den 1</w:t>
            </w:r>
            <w:bookmarkStart w:id="0" w:name="_GoBack"/>
            <w:bookmarkEnd w:id="0"/>
            <w:r w:rsidR="00F201C3">
              <w:t>3 juni</w:t>
            </w:r>
            <w:r w:rsidR="00C33FA3">
              <w:t>.</w:t>
            </w:r>
            <w:r>
              <w:rPr>
                <w:szCs w:val="24"/>
              </w:rPr>
              <w:t xml:space="preserve"> </w:t>
            </w:r>
          </w:p>
          <w:p w:rsidR="002E4CAC" w:rsidRPr="00E01B18" w:rsidRDefault="002E4CAC" w:rsidP="002E4CAC">
            <w:pPr>
              <w:widowControl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FA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6440FE" w:rsidRPr="006440FE" w:rsidRDefault="006440F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440FE">
              <w:rPr>
                <w:color w:val="000000"/>
                <w:szCs w:val="24"/>
              </w:rPr>
              <w:t>Utskottet justerade</w:t>
            </w:r>
            <w:r>
              <w:rPr>
                <w:color w:val="000000"/>
                <w:szCs w:val="24"/>
              </w:rPr>
              <w:t xml:space="preserve"> protokoll nr</w:t>
            </w:r>
            <w:r w:rsidR="00907195">
              <w:rPr>
                <w:color w:val="000000"/>
                <w:szCs w:val="24"/>
              </w:rPr>
              <w:t xml:space="preserve"> 2018/19:47</w:t>
            </w:r>
            <w:r w:rsidR="00C33FA3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6440FE" w:rsidTr="00D12ED4">
        <w:trPr>
          <w:trHeight w:val="707"/>
        </w:trPr>
        <w:tc>
          <w:tcPr>
            <w:tcW w:w="567" w:type="dxa"/>
          </w:tcPr>
          <w:p w:rsidR="006440FE" w:rsidRDefault="00FA78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FA3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FA78FE" w:rsidRDefault="00907195" w:rsidP="00907195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Utvärdering av penningpolitiken för perioden 2016-2018 (FiU24)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90719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utvärdering av penningpolitiken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907195" w:rsidRDefault="00907195" w:rsidP="00907195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07195" w:rsidRDefault="00907195" w:rsidP="00907195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2018/19:FiU24.</w:t>
            </w:r>
          </w:p>
          <w:p w:rsidR="00907195" w:rsidRDefault="00907195" w:rsidP="00907195">
            <w:pPr>
              <w:widowControl/>
              <w:tabs>
                <w:tab w:val="left" w:pos="1701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FA3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01B18" w:rsidRPr="00E01B18" w:rsidRDefault="00C33FA3" w:rsidP="00C33FA3">
            <w:pPr>
              <w:outlineLvl w:val="0"/>
              <w:rPr>
                <w:bCs/>
              </w:rPr>
            </w:pPr>
            <w:r>
              <w:rPr>
                <w:bCs/>
              </w:rPr>
              <w:t>Tisdag</w:t>
            </w:r>
            <w:r w:rsidR="00097F35">
              <w:rPr>
                <w:bCs/>
              </w:rPr>
              <w:t xml:space="preserve"> </w:t>
            </w:r>
            <w:r>
              <w:rPr>
                <w:bCs/>
              </w:rPr>
              <w:t>11</w:t>
            </w:r>
            <w:r w:rsidR="00E01B18" w:rsidRPr="00E01B18">
              <w:rPr>
                <w:bCs/>
              </w:rPr>
              <w:t xml:space="preserve"> juni kl. </w:t>
            </w:r>
            <w:r>
              <w:rPr>
                <w:bCs/>
              </w:rPr>
              <w:t>11.00</w:t>
            </w:r>
            <w:r w:rsidR="00F201C3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E4CAC" w:rsidRDefault="002E4CAC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B6D9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C33FA3">
        <w:rPr>
          <w:sz w:val="22"/>
          <w:szCs w:val="22"/>
        </w:rPr>
        <w:t>48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C33FA3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2E4CA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E4CA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C33FA3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D037BA">
              <w:rPr>
                <w:snapToGrid w:val="0"/>
                <w:sz w:val="22"/>
                <w:szCs w:val="22"/>
              </w:rPr>
              <w:t>Edward Riedl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E4CA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33FA3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33FA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 Ericson </w:t>
            </w:r>
            <w:r w:rsidR="00035F71">
              <w:rPr>
                <w:snapToGrid w:val="0"/>
                <w:sz w:val="22"/>
                <w:szCs w:val="22"/>
              </w:rPr>
              <w:t>(M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C33FA3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C33FA3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2E4CA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CAC" w:rsidRPr="000E151F" w:rsidRDefault="002E4CAC" w:rsidP="002E4CAC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33FA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2E4CA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33FA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33FA3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BC2"/>
    <w:multiLevelType w:val="hybridMultilevel"/>
    <w:tmpl w:val="36886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51318"/>
    <w:multiLevelType w:val="hybridMultilevel"/>
    <w:tmpl w:val="B2145698"/>
    <w:lvl w:ilvl="0" w:tplc="24622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473B5"/>
    <w:multiLevelType w:val="hybridMultilevel"/>
    <w:tmpl w:val="0E121E72"/>
    <w:lvl w:ilvl="0" w:tplc="7E54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7F3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49E0"/>
    <w:rsid w:val="002D7BA8"/>
    <w:rsid w:val="002E4CAC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648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40FE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07195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060D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3FA3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7A8"/>
    <w:rsid w:val="00C82D0B"/>
    <w:rsid w:val="00C8766C"/>
    <w:rsid w:val="00C93236"/>
    <w:rsid w:val="00CA58BF"/>
    <w:rsid w:val="00CB01C5"/>
    <w:rsid w:val="00CB50C7"/>
    <w:rsid w:val="00CB6D96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1B18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01C3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78FE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37ACA71F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2E4CAC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2E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0F4E-518F-45AB-81B8-E646F455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278</Words>
  <Characters>2294</Characters>
  <Application>Microsoft Office Word</Application>
  <DocSecurity>0</DocSecurity>
  <Lines>1147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2019-06-05T12:31:00Z</cp:lastPrinted>
  <dcterms:created xsi:type="dcterms:W3CDTF">2019-06-05T08:31:00Z</dcterms:created>
  <dcterms:modified xsi:type="dcterms:W3CDTF">2019-06-05T12:44:00Z</dcterms:modified>
</cp:coreProperties>
</file>