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30A34" w:rsidTr="00A70584">
        <w:tc>
          <w:tcPr>
            <w:tcW w:w="2268" w:type="dxa"/>
          </w:tcPr>
          <w:p w:rsidR="00630A34" w:rsidRDefault="00630A34"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30A34" w:rsidRPr="00277AC9" w:rsidRDefault="00630A34"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630A34" w:rsidTr="00A70584">
        <w:tc>
          <w:tcPr>
            <w:tcW w:w="5267" w:type="dxa"/>
            <w:gridSpan w:val="3"/>
          </w:tcPr>
          <w:p w:rsidR="00630A34" w:rsidRDefault="00630A3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30A34" w:rsidTr="00A70584">
        <w:tc>
          <w:tcPr>
            <w:tcW w:w="3402" w:type="dxa"/>
            <w:gridSpan w:val="2"/>
          </w:tcPr>
          <w:p w:rsidR="00630A34" w:rsidRDefault="00630A34" w:rsidP="007242A3">
            <w:pPr>
              <w:framePr w:w="5035" w:h="1644" w:wrap="notBeside" w:vAnchor="page" w:hAnchor="page" w:x="6573" w:y="721"/>
            </w:pPr>
          </w:p>
        </w:tc>
        <w:tc>
          <w:tcPr>
            <w:tcW w:w="1865" w:type="dxa"/>
          </w:tcPr>
          <w:p w:rsidR="00630A34" w:rsidRDefault="00630A34" w:rsidP="007242A3">
            <w:pPr>
              <w:framePr w:w="5035" w:h="1644" w:wrap="notBeside" w:vAnchor="page" w:hAnchor="page" w:x="6573" w:y="721"/>
            </w:pPr>
          </w:p>
        </w:tc>
      </w:tr>
      <w:tr w:rsidR="00630A34" w:rsidTr="00A70584">
        <w:tc>
          <w:tcPr>
            <w:tcW w:w="2268" w:type="dxa"/>
          </w:tcPr>
          <w:p w:rsidR="00630A34" w:rsidRDefault="00630A34" w:rsidP="007242A3">
            <w:pPr>
              <w:framePr w:w="5035" w:h="1644" w:wrap="notBeside" w:vAnchor="page" w:hAnchor="page" w:x="6573" w:y="721"/>
            </w:pPr>
            <w:r>
              <w:t>2013-02-07</w:t>
            </w:r>
          </w:p>
        </w:tc>
        <w:tc>
          <w:tcPr>
            <w:tcW w:w="2999" w:type="dxa"/>
            <w:gridSpan w:val="2"/>
          </w:tcPr>
          <w:p w:rsidR="00630A34" w:rsidRPr="00ED583F" w:rsidRDefault="00630A34" w:rsidP="007242A3">
            <w:pPr>
              <w:framePr w:w="5035" w:h="1644" w:wrap="notBeside" w:vAnchor="page" w:hAnchor="page" w:x="6573" w:y="721"/>
              <w:rPr>
                <w:sz w:val="20"/>
              </w:rPr>
            </w:pPr>
          </w:p>
        </w:tc>
      </w:tr>
      <w:tr w:rsidR="00630A34" w:rsidTr="00A70584">
        <w:tc>
          <w:tcPr>
            <w:tcW w:w="2268" w:type="dxa"/>
          </w:tcPr>
          <w:p w:rsidR="00630A34" w:rsidRDefault="00630A34" w:rsidP="007242A3">
            <w:pPr>
              <w:framePr w:w="5035" w:h="1644" w:wrap="notBeside" w:vAnchor="page" w:hAnchor="page" w:x="6573" w:y="721"/>
            </w:pPr>
          </w:p>
        </w:tc>
        <w:tc>
          <w:tcPr>
            <w:tcW w:w="2999" w:type="dxa"/>
            <w:gridSpan w:val="2"/>
          </w:tcPr>
          <w:p w:rsidR="00630A34" w:rsidRDefault="00630A34" w:rsidP="007242A3">
            <w:pPr>
              <w:framePr w:w="5035" w:h="1644" w:wrap="notBeside" w:vAnchor="page" w:hAnchor="page" w:x="6573" w:y="721"/>
            </w:pPr>
          </w:p>
        </w:tc>
      </w:tr>
    </w:tbl>
    <w:tbl>
      <w:tblPr>
        <w:tblW w:w="0" w:type="auto"/>
        <w:tblLayout w:type="fixed"/>
        <w:tblLook w:val="0000"/>
      </w:tblPr>
      <w:tblGrid>
        <w:gridCol w:w="4911"/>
      </w:tblGrid>
      <w:tr w:rsidR="00630A34">
        <w:trPr>
          <w:trHeight w:val="284"/>
        </w:trPr>
        <w:tc>
          <w:tcPr>
            <w:tcW w:w="4911" w:type="dxa"/>
          </w:tcPr>
          <w:p w:rsidR="00630A34" w:rsidRDefault="00630A34">
            <w:pPr>
              <w:pStyle w:val="Avsndare"/>
              <w:framePr w:h="2483" w:wrap="notBeside" w:x="1504"/>
              <w:rPr>
                <w:b/>
                <w:i w:val="0"/>
                <w:sz w:val="22"/>
              </w:rPr>
            </w:pPr>
            <w:r>
              <w:rPr>
                <w:b/>
                <w:i w:val="0"/>
                <w:sz w:val="22"/>
              </w:rPr>
              <w:t>Miljödepartementet</w:t>
            </w:r>
          </w:p>
        </w:tc>
      </w:tr>
      <w:tr w:rsidR="00630A34">
        <w:trPr>
          <w:trHeight w:val="284"/>
        </w:trPr>
        <w:tc>
          <w:tcPr>
            <w:tcW w:w="4911" w:type="dxa"/>
          </w:tcPr>
          <w:p w:rsidR="00630A34" w:rsidRDefault="00630A34">
            <w:pPr>
              <w:pStyle w:val="Avsndare"/>
              <w:framePr w:h="2483" w:wrap="notBeside" w:x="1504"/>
              <w:rPr>
                <w:bCs/>
                <w:iCs/>
              </w:rPr>
            </w:pPr>
          </w:p>
        </w:tc>
      </w:tr>
      <w:tr w:rsidR="00630A34">
        <w:trPr>
          <w:trHeight w:val="284"/>
        </w:trPr>
        <w:tc>
          <w:tcPr>
            <w:tcW w:w="4911" w:type="dxa"/>
          </w:tcPr>
          <w:p w:rsidR="00630A34" w:rsidRDefault="00630A34">
            <w:pPr>
              <w:pStyle w:val="Avsndare"/>
              <w:framePr w:h="2483" w:wrap="notBeside" w:x="1504"/>
              <w:rPr>
                <w:bCs/>
                <w:iCs/>
              </w:rPr>
            </w:pPr>
            <w:r>
              <w:rPr>
                <w:bCs/>
                <w:iCs/>
              </w:rPr>
              <w:t>Kemikalieenheten</w:t>
            </w:r>
          </w:p>
        </w:tc>
      </w:tr>
      <w:tr w:rsidR="00630A34">
        <w:trPr>
          <w:trHeight w:val="284"/>
        </w:trPr>
        <w:tc>
          <w:tcPr>
            <w:tcW w:w="4911" w:type="dxa"/>
          </w:tcPr>
          <w:p w:rsidR="00630A34" w:rsidRDefault="00630A34">
            <w:pPr>
              <w:pStyle w:val="Avsndare"/>
              <w:framePr w:h="2483" w:wrap="notBeside" w:x="1504"/>
              <w:rPr>
                <w:bCs/>
                <w:iCs/>
              </w:rPr>
            </w:pPr>
          </w:p>
        </w:tc>
      </w:tr>
      <w:tr w:rsidR="00630A34">
        <w:trPr>
          <w:trHeight w:val="284"/>
        </w:trPr>
        <w:tc>
          <w:tcPr>
            <w:tcW w:w="4911" w:type="dxa"/>
          </w:tcPr>
          <w:p w:rsidR="00630A34" w:rsidRDefault="00630A34">
            <w:pPr>
              <w:pStyle w:val="Avsndare"/>
              <w:framePr w:h="2483" w:wrap="notBeside" w:x="1504"/>
              <w:rPr>
                <w:bCs/>
                <w:iCs/>
              </w:rPr>
            </w:pPr>
          </w:p>
        </w:tc>
      </w:tr>
      <w:tr w:rsidR="00630A34">
        <w:trPr>
          <w:trHeight w:val="284"/>
        </w:trPr>
        <w:tc>
          <w:tcPr>
            <w:tcW w:w="4911" w:type="dxa"/>
          </w:tcPr>
          <w:p w:rsidR="00630A34" w:rsidRDefault="00630A34">
            <w:pPr>
              <w:pStyle w:val="Avsndare"/>
              <w:framePr w:h="2483" w:wrap="notBeside" w:x="1504"/>
              <w:rPr>
                <w:bCs/>
                <w:iCs/>
              </w:rPr>
            </w:pPr>
          </w:p>
        </w:tc>
      </w:tr>
      <w:tr w:rsidR="00630A34">
        <w:trPr>
          <w:trHeight w:val="284"/>
        </w:trPr>
        <w:tc>
          <w:tcPr>
            <w:tcW w:w="4911" w:type="dxa"/>
          </w:tcPr>
          <w:p w:rsidR="00630A34" w:rsidRDefault="00630A34">
            <w:pPr>
              <w:pStyle w:val="Avsndare"/>
              <w:framePr w:h="2483" w:wrap="notBeside" w:x="1504"/>
              <w:rPr>
                <w:bCs/>
                <w:iCs/>
              </w:rPr>
            </w:pPr>
          </w:p>
        </w:tc>
      </w:tr>
      <w:tr w:rsidR="00630A34">
        <w:trPr>
          <w:trHeight w:val="284"/>
        </w:trPr>
        <w:tc>
          <w:tcPr>
            <w:tcW w:w="4911" w:type="dxa"/>
          </w:tcPr>
          <w:p w:rsidR="00630A34" w:rsidRDefault="00630A34">
            <w:pPr>
              <w:pStyle w:val="Avsndare"/>
              <w:framePr w:h="2483" w:wrap="notBeside" w:x="1504"/>
              <w:rPr>
                <w:bCs/>
                <w:iCs/>
              </w:rPr>
            </w:pPr>
          </w:p>
        </w:tc>
      </w:tr>
      <w:tr w:rsidR="00630A34">
        <w:trPr>
          <w:trHeight w:val="284"/>
        </w:trPr>
        <w:tc>
          <w:tcPr>
            <w:tcW w:w="4911" w:type="dxa"/>
          </w:tcPr>
          <w:p w:rsidR="00630A34" w:rsidRDefault="00630A34">
            <w:pPr>
              <w:pStyle w:val="Avsndare"/>
              <w:framePr w:h="2483" w:wrap="notBeside" w:x="1504"/>
              <w:rPr>
                <w:bCs/>
                <w:iCs/>
              </w:rPr>
            </w:pPr>
          </w:p>
        </w:tc>
      </w:tr>
    </w:tbl>
    <w:p w:rsidR="00630A34" w:rsidRPr="00A70584" w:rsidRDefault="00630A34">
      <w:pPr>
        <w:framePr w:w="4400" w:h="2523" w:wrap="notBeside" w:vAnchor="page" w:hAnchor="page" w:x="6453" w:y="2445"/>
        <w:ind w:left="142"/>
        <w:rPr>
          <w:b/>
        </w:rPr>
      </w:pPr>
    </w:p>
    <w:p w:rsidR="00630A34" w:rsidRDefault="00630A34">
      <w:pPr>
        <w:pStyle w:val="RKrubrik"/>
        <w:pBdr>
          <w:bottom w:val="single" w:sz="6" w:space="1" w:color="auto"/>
        </w:pBdr>
      </w:pPr>
      <w:bookmarkStart w:id="1" w:name="bRubrik"/>
      <w:bookmarkEnd w:id="1"/>
      <w:r>
        <w:t>Konkurrenskraftsrådet den 19 februari 2013</w:t>
      </w:r>
    </w:p>
    <w:p w:rsidR="00630A34" w:rsidRDefault="00630A34">
      <w:pPr>
        <w:pStyle w:val="RKnormal"/>
      </w:pPr>
    </w:p>
    <w:p w:rsidR="00630A34" w:rsidRDefault="00630A34">
      <w:pPr>
        <w:pStyle w:val="RKnormal"/>
      </w:pPr>
      <w:r>
        <w:t>Dagordningspunkt 8 c)</w:t>
      </w:r>
    </w:p>
    <w:p w:rsidR="00630A34" w:rsidRDefault="00630A34">
      <w:pPr>
        <w:pStyle w:val="RKnormal"/>
      </w:pPr>
    </w:p>
    <w:p w:rsidR="00630A34" w:rsidRDefault="00630A34">
      <w:pPr>
        <w:pStyle w:val="RKnormal"/>
      </w:pPr>
      <w:r>
        <w:t>Rubrik: Kommissionens förslag till Roadmap/färdplan för analys och identifiering av särskilt farliga ämnen samt genomförande av riskhanteringsåtgärder inom Reach fram till år 2020.</w:t>
      </w:r>
    </w:p>
    <w:p w:rsidR="00630A34" w:rsidRDefault="00630A34" w:rsidP="00A70584">
      <w:pPr>
        <w:pStyle w:val="RKnormal"/>
      </w:pPr>
    </w:p>
    <w:p w:rsidR="00630A34" w:rsidRDefault="00630A34" w:rsidP="00A70584">
      <w:pPr>
        <w:pStyle w:val="RKnormal"/>
      </w:pPr>
      <w:r>
        <w:t>Dokument:</w:t>
      </w:r>
      <w:r w:rsidRPr="00A70584">
        <w:t xml:space="preserve"> </w:t>
      </w:r>
      <w:r>
        <w:t>5867/13</w:t>
      </w:r>
    </w:p>
    <w:p w:rsidR="00630A34" w:rsidRDefault="00630A34">
      <w:pPr>
        <w:pStyle w:val="RKnormal"/>
      </w:pPr>
    </w:p>
    <w:p w:rsidR="00630A34" w:rsidRDefault="00630A34">
      <w:pPr>
        <w:pStyle w:val="RKnormal"/>
      </w:pPr>
      <w:r>
        <w:t>Tidigare dokument: Ej tillämpligt</w:t>
      </w:r>
    </w:p>
    <w:p w:rsidR="00630A34" w:rsidRDefault="00630A34">
      <w:pPr>
        <w:pStyle w:val="RKnormal"/>
      </w:pPr>
    </w:p>
    <w:p w:rsidR="00630A34" w:rsidRDefault="00630A34" w:rsidP="002D4689">
      <w:pPr>
        <w:pStyle w:val="RKnormal"/>
      </w:pPr>
      <w:r>
        <w:t>Tidigare behandlad vid samråd med EU-nämnden: Förslaget har inte behandlats tidigare i EU-nämnden</w:t>
      </w:r>
    </w:p>
    <w:p w:rsidR="00630A34" w:rsidRDefault="00630A34">
      <w:pPr>
        <w:pStyle w:val="RKrubrik"/>
      </w:pPr>
      <w:r>
        <w:t>Bakgrund</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Reach innebär en ökad ambitionsnivå i kemikalie</w:t>
      </w:r>
      <w:r>
        <w:rPr>
          <w:rFonts w:ascii="OrigGarmnd BT" w:hAnsi="OrigGarmnd BT"/>
          <w:b w:val="0"/>
          <w:sz w:val="26"/>
          <w:szCs w:val="26"/>
        </w:rPr>
        <w:t xml:space="preserve">säkerhetsarbetet inom EU. </w:t>
      </w:r>
      <w:r w:rsidRPr="00B871B4">
        <w:rPr>
          <w:rFonts w:ascii="OrigGarmnd BT" w:hAnsi="OrigGarmnd BT"/>
          <w:b w:val="0"/>
          <w:sz w:val="26"/>
          <w:szCs w:val="26"/>
        </w:rPr>
        <w:t xml:space="preserve">Ett ökat ansvar läggs på företagen samtidigt som uppgifterna ökar för medlemsstaternas behöriga myndigheter. Tillståndsprövning av användning av särskilt farliga ämnen innebär ett nytt verktyg för riskhantering. Syftet med prövningen är (art 55) ”..att sörja för en väl fungerande inre marknad, samtidigt som det garanteras att de risker som ämnen som inger mycket stora betänkligheter ger upphov till kontrolleras på ett adekvat sätt och att dessa ämnen gradvis ersätts med lämpliga alternativa ämne eller tekniker, när det är ekonomiskt och tekniskt genomförbart.” Processen har följande steg: </w:t>
      </w:r>
    </w:p>
    <w:p w:rsidR="00630A34" w:rsidRDefault="00630A34" w:rsidP="00B871B4">
      <w:pPr>
        <w:pStyle w:val="RKrubrik"/>
        <w:rPr>
          <w:rFonts w:ascii="OrigGarmnd BT" w:hAnsi="OrigGarmnd BT"/>
          <w:b w:val="0"/>
          <w:sz w:val="26"/>
          <w:szCs w:val="26"/>
        </w:rPr>
      </w:pPr>
      <w:r w:rsidRPr="00B871B4">
        <w:rPr>
          <w:rFonts w:ascii="OrigGarmnd BT" w:hAnsi="OrigGarmnd BT"/>
          <w:b w:val="0"/>
          <w:sz w:val="26"/>
          <w:szCs w:val="26"/>
        </w:rPr>
        <w:t>1.</w:t>
      </w:r>
      <w:r w:rsidRPr="00B871B4">
        <w:rPr>
          <w:rFonts w:ascii="OrigGarmnd BT" w:hAnsi="OrigGarmnd BT"/>
          <w:b w:val="0"/>
          <w:sz w:val="26"/>
          <w:szCs w:val="26"/>
        </w:rPr>
        <w:tab/>
        <w:t>MS eller KOM/</w:t>
      </w:r>
      <w:r>
        <w:rPr>
          <w:rFonts w:ascii="OrigGarmnd BT" w:hAnsi="OrigGarmnd BT"/>
          <w:b w:val="0"/>
          <w:sz w:val="26"/>
          <w:szCs w:val="26"/>
        </w:rPr>
        <w:t>Europeiska kemikaliemyndigheten (Echa)</w:t>
      </w:r>
      <w:r w:rsidRPr="00B871B4">
        <w:rPr>
          <w:rFonts w:ascii="OrigGarmnd BT" w:hAnsi="OrigGarmnd BT"/>
          <w:b w:val="0"/>
          <w:sz w:val="26"/>
          <w:szCs w:val="26"/>
        </w:rPr>
        <w:t xml:space="preserve"> identifierar kandidatämne</w:t>
      </w:r>
      <w:r>
        <w:rPr>
          <w:rFonts w:ascii="OrigGarmnd BT" w:hAnsi="OrigGarmnd BT"/>
          <w:b w:val="0"/>
          <w:sz w:val="26"/>
          <w:szCs w:val="26"/>
        </w:rPr>
        <w:t>n genom framtagande av dossier.</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2.</w:t>
      </w:r>
      <w:r w:rsidRPr="00B871B4">
        <w:rPr>
          <w:rFonts w:ascii="OrigGarmnd BT" w:hAnsi="OrigGarmnd BT"/>
          <w:b w:val="0"/>
          <w:sz w:val="26"/>
          <w:szCs w:val="26"/>
        </w:rPr>
        <w:tab/>
      </w:r>
      <w:r>
        <w:rPr>
          <w:rFonts w:ascii="OrigGarmnd BT" w:hAnsi="OrigGarmnd BT"/>
          <w:b w:val="0"/>
          <w:sz w:val="26"/>
          <w:szCs w:val="26"/>
        </w:rPr>
        <w:t>Echa</w:t>
      </w:r>
      <w:r w:rsidRPr="00B871B4">
        <w:rPr>
          <w:rFonts w:ascii="OrigGarmnd BT" w:hAnsi="OrigGarmnd BT"/>
          <w:b w:val="0"/>
          <w:sz w:val="26"/>
          <w:szCs w:val="26"/>
        </w:rPr>
        <w:t xml:space="preserve"> tar upp ämnena på kandidatlistan om det inte förs fram invändningar (2 ggr per år).</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3.</w:t>
      </w:r>
      <w:r w:rsidRPr="00B871B4">
        <w:rPr>
          <w:rFonts w:ascii="OrigGarmnd BT" w:hAnsi="OrigGarmnd BT"/>
          <w:b w:val="0"/>
          <w:sz w:val="26"/>
          <w:szCs w:val="26"/>
        </w:rPr>
        <w:tab/>
      </w:r>
      <w:r>
        <w:rPr>
          <w:rFonts w:ascii="OrigGarmnd BT" w:hAnsi="OrigGarmnd BT"/>
          <w:b w:val="0"/>
          <w:sz w:val="26"/>
          <w:szCs w:val="26"/>
        </w:rPr>
        <w:t>Echa</w:t>
      </w:r>
      <w:r w:rsidRPr="00B871B4">
        <w:rPr>
          <w:rFonts w:ascii="OrigGarmnd BT" w:hAnsi="OrigGarmnd BT"/>
          <w:b w:val="0"/>
          <w:sz w:val="26"/>
          <w:szCs w:val="26"/>
        </w:rPr>
        <w:t xml:space="preserve"> rekommenderar ämnen på kandidatlistan för tillståndsprövning.</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4.</w:t>
      </w:r>
      <w:r w:rsidRPr="00B871B4">
        <w:rPr>
          <w:rFonts w:ascii="OrigGarmnd BT" w:hAnsi="OrigGarmnd BT"/>
          <w:b w:val="0"/>
          <w:sz w:val="26"/>
          <w:szCs w:val="26"/>
        </w:rPr>
        <w:tab/>
        <w:t xml:space="preserve">Den föreskrivande kommittén beslutar om upptag på Bilaga XIV. Beslutet preciserar vilken användning som omfattas och anger en tidsfrist för att komma in med ansökan. </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5.</w:t>
      </w:r>
      <w:r w:rsidRPr="00B871B4">
        <w:rPr>
          <w:rFonts w:ascii="OrigGarmnd BT" w:hAnsi="OrigGarmnd BT"/>
          <w:b w:val="0"/>
          <w:sz w:val="26"/>
          <w:szCs w:val="26"/>
        </w:rPr>
        <w:tab/>
        <w:t xml:space="preserve">Företagen kommer in med ansökningar. Tredje parter ges möjlighet att lämna information. </w:t>
      </w:r>
    </w:p>
    <w:p w:rsidR="00630A34" w:rsidRPr="00B871B4" w:rsidRDefault="00630A34" w:rsidP="00B871B4">
      <w:pPr>
        <w:pStyle w:val="RKrubrik"/>
        <w:rPr>
          <w:rFonts w:ascii="OrigGarmnd BT" w:hAnsi="OrigGarmnd BT"/>
          <w:b w:val="0"/>
          <w:sz w:val="26"/>
          <w:szCs w:val="26"/>
        </w:rPr>
      </w:pPr>
      <w:r>
        <w:rPr>
          <w:rFonts w:ascii="OrigGarmnd BT" w:hAnsi="OrigGarmnd BT"/>
          <w:b w:val="0"/>
          <w:sz w:val="26"/>
          <w:szCs w:val="26"/>
        </w:rPr>
        <w:t>6.</w:t>
      </w:r>
      <w:r>
        <w:rPr>
          <w:rFonts w:ascii="OrigGarmnd BT" w:hAnsi="OrigGarmnd BT"/>
          <w:b w:val="0"/>
          <w:sz w:val="26"/>
          <w:szCs w:val="26"/>
        </w:rPr>
        <w:tab/>
        <w:t>Echa</w:t>
      </w:r>
      <w:r w:rsidRPr="00B871B4">
        <w:rPr>
          <w:rFonts w:ascii="OrigGarmnd BT" w:hAnsi="OrigGarmnd BT"/>
          <w:b w:val="0"/>
          <w:sz w:val="26"/>
          <w:szCs w:val="26"/>
        </w:rPr>
        <w:t>s kommittéer för riskbedömning och socioekonomisk</w:t>
      </w:r>
      <w:r>
        <w:rPr>
          <w:rFonts w:ascii="OrigGarmnd BT" w:hAnsi="OrigGarmnd BT"/>
          <w:b w:val="0"/>
          <w:sz w:val="26"/>
          <w:szCs w:val="26"/>
        </w:rPr>
        <w:t>a analyser avger yttranden. Echa</w:t>
      </w:r>
      <w:r w:rsidRPr="00B871B4">
        <w:rPr>
          <w:rFonts w:ascii="OrigGarmnd BT" w:hAnsi="OrigGarmnd BT"/>
          <w:b w:val="0"/>
          <w:sz w:val="26"/>
          <w:szCs w:val="26"/>
        </w:rPr>
        <w:t xml:space="preserve"> vidarebefordrar yttrandena till KOM.</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7.</w:t>
      </w:r>
      <w:r w:rsidRPr="00B871B4">
        <w:rPr>
          <w:rFonts w:ascii="OrigGarmnd BT" w:hAnsi="OrigGarmnd BT"/>
          <w:b w:val="0"/>
          <w:sz w:val="26"/>
          <w:szCs w:val="26"/>
        </w:rPr>
        <w:tab/>
        <w:t xml:space="preserve">KOM utarbetar förslag till beslut. Slutgiltigt beslut om tillstånd eller avslag fattas av den föreskrivande kommittén. </w:t>
      </w:r>
    </w:p>
    <w:p w:rsidR="00630A34" w:rsidRDefault="00630A34" w:rsidP="00B871B4">
      <w:pPr>
        <w:pStyle w:val="RKrubrik"/>
        <w:rPr>
          <w:rFonts w:ascii="OrigGarmnd BT" w:hAnsi="OrigGarmnd BT"/>
          <w:b w:val="0"/>
          <w:sz w:val="26"/>
          <w:szCs w:val="26"/>
        </w:rPr>
      </w:pPr>
    </w:p>
    <w:p w:rsidR="00630A34" w:rsidRPr="00B871B4" w:rsidRDefault="00630A34" w:rsidP="00B871B4">
      <w:pPr>
        <w:pStyle w:val="RKnormal"/>
      </w:pPr>
    </w:p>
    <w:p w:rsidR="00630A34" w:rsidRDefault="00630A34" w:rsidP="00B871B4">
      <w:pPr>
        <w:pStyle w:val="RKrubrik"/>
        <w:rPr>
          <w:rFonts w:ascii="OrigGarmnd BT" w:hAnsi="OrigGarmnd BT"/>
          <w:b w:val="0"/>
          <w:i/>
          <w:sz w:val="26"/>
          <w:szCs w:val="26"/>
        </w:rPr>
      </w:pPr>
      <w:r>
        <w:rPr>
          <w:rFonts w:ascii="OrigGarmnd BT" w:hAnsi="OrigGarmnd BT"/>
          <w:b w:val="0"/>
          <w:i/>
          <w:sz w:val="26"/>
          <w:szCs w:val="26"/>
        </w:rPr>
        <w:t>Kandidatlistan</w:t>
      </w:r>
    </w:p>
    <w:p w:rsidR="00630A34" w:rsidRPr="00BC5EEF" w:rsidRDefault="00630A34" w:rsidP="00B871B4">
      <w:pPr>
        <w:pStyle w:val="RKrubrik"/>
        <w:rPr>
          <w:rFonts w:ascii="OrigGarmnd BT" w:hAnsi="OrigGarmnd BT"/>
          <w:b w:val="0"/>
          <w:i/>
          <w:sz w:val="26"/>
          <w:szCs w:val="26"/>
        </w:rPr>
      </w:pPr>
      <w:r w:rsidRPr="00B871B4">
        <w:rPr>
          <w:rFonts w:ascii="OrigGarmnd BT" w:hAnsi="OrigGarmnd BT"/>
          <w:b w:val="0"/>
          <w:sz w:val="26"/>
          <w:szCs w:val="26"/>
        </w:rPr>
        <w:t>I oktober 2008 publicerade</w:t>
      </w:r>
      <w:r>
        <w:rPr>
          <w:rFonts w:ascii="OrigGarmnd BT" w:hAnsi="OrigGarmnd BT"/>
          <w:b w:val="0"/>
          <w:sz w:val="26"/>
          <w:szCs w:val="26"/>
        </w:rPr>
        <w:t xml:space="preserve"> den europeiska kemikaliemyndig</w:t>
      </w:r>
      <w:r w:rsidRPr="00B871B4">
        <w:rPr>
          <w:rFonts w:ascii="OrigGarmnd BT" w:hAnsi="OrigGarmnd BT"/>
          <w:b w:val="0"/>
          <w:sz w:val="26"/>
          <w:szCs w:val="26"/>
        </w:rPr>
        <w:t>heten Echa den första kandidatlistan m</w:t>
      </w:r>
      <w:r>
        <w:rPr>
          <w:rFonts w:ascii="OrigGarmnd BT" w:hAnsi="OrigGarmnd BT"/>
          <w:b w:val="0"/>
          <w:sz w:val="26"/>
          <w:szCs w:val="26"/>
        </w:rPr>
        <w:t>ed särskilt farliga ämnen. Iden</w:t>
      </w:r>
      <w:r w:rsidRPr="00B871B4">
        <w:rPr>
          <w:rFonts w:ascii="OrigGarmnd BT" w:hAnsi="OrigGarmnd BT"/>
          <w:b w:val="0"/>
          <w:sz w:val="26"/>
          <w:szCs w:val="26"/>
        </w:rPr>
        <w:t>tifieringen av ämnen som kan komma att tas upp i kandidatlistan är en kontinuerlig process, vilket innebär att nya ämnen förs upp på listan successivt. Ämnen som kan föreslås till kandidatförteckningen är ämnen som har egenskaper som kan medföra allvarliga och bestående effekter på människors hälsa och i miljön, så kallade särskilt farliga ämnen (C</w:t>
      </w:r>
      <w:r>
        <w:rPr>
          <w:rFonts w:ascii="OrigGarmnd BT" w:hAnsi="OrigGarmnd BT"/>
          <w:b w:val="0"/>
          <w:sz w:val="26"/>
          <w:szCs w:val="26"/>
        </w:rPr>
        <w:t>ancerogena eller fortplantningsstörande ämnen samt ämnen som påverkar arvsmassan - C</w:t>
      </w:r>
      <w:r w:rsidRPr="00B871B4">
        <w:rPr>
          <w:rFonts w:ascii="OrigGarmnd BT" w:hAnsi="OrigGarmnd BT"/>
          <w:b w:val="0"/>
          <w:sz w:val="26"/>
          <w:szCs w:val="26"/>
        </w:rPr>
        <w:t xml:space="preserve">MR, </w:t>
      </w:r>
      <w:r>
        <w:rPr>
          <w:rFonts w:ascii="OrigGarmnd BT" w:hAnsi="OrigGarmnd BT"/>
          <w:b w:val="0"/>
          <w:sz w:val="26"/>
          <w:szCs w:val="26"/>
        </w:rPr>
        <w:t xml:space="preserve">Svårnedbrytbara miljögifter - </w:t>
      </w:r>
      <w:r w:rsidRPr="00B871B4">
        <w:rPr>
          <w:rFonts w:ascii="OrigGarmnd BT" w:hAnsi="OrigGarmnd BT"/>
          <w:b w:val="0"/>
          <w:sz w:val="26"/>
          <w:szCs w:val="26"/>
        </w:rPr>
        <w:t xml:space="preserve">PBT, vPvB </w:t>
      </w:r>
      <w:r>
        <w:rPr>
          <w:rFonts w:ascii="OrigGarmnd BT" w:hAnsi="OrigGarmnd BT"/>
          <w:b w:val="0"/>
          <w:sz w:val="26"/>
          <w:szCs w:val="26"/>
        </w:rPr>
        <w:t xml:space="preserve">- </w:t>
      </w:r>
      <w:r w:rsidRPr="00B871B4">
        <w:rPr>
          <w:rFonts w:ascii="OrigGarmnd BT" w:hAnsi="OrigGarmnd BT"/>
          <w:b w:val="0"/>
          <w:sz w:val="26"/>
          <w:szCs w:val="26"/>
        </w:rPr>
        <w:t>eller andra allvarliga egenskaper, t.ex. hormonstörande eller allergiframkallande ämnen)</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 xml:space="preserve">Kommissionen har i brev till medlemsländernas miljöministrar och behöriga myndigheter i juli 2010 och augusti 2012 visat att man har en hög ambition i implementeringen av Reach, bl.a. genom målsättningen att kandidatlistan i slutet av 2012 ska innehålla 136 ämnen och att man har tänkt sig att under hösten 2012 tillsammans med ECHA och medlemsländerna ta fram en plan/roadmap för hur man ska kunna sätta upp alla relevanta SVHC-ämnen på kandidatlistan till 2020. Kommissionen har också uppmanat medlemsländerna att ta en aktiv del i arbetet att nå dessa mål. Hittills har 138 ämnen tagit upp på kandidatlistan. EU-kommissionens mål om 136 ämnen på kandidatlistan innan slutet på 2012 har därmed uppnåtts. </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Parallellt med att medlemsländerna har arbetat med att ta fram SVHC-dossiers har arbete också pågått för att utveckla ett samarbete och former för att harmonisera underlagen och synen på vilka riskbegränsande åtgärder som bör vidtas för olika ämnen. Det har också pågått en diskussion om vilka ämnen som bör sättas upp på kandidatlistan, dvs. vilka ämnen är relevanta SVHC-ämnen. Trots att kriterierna för kandidatlistan är farobaserade och relativt enkla finns idag ingen gemensam syn bland medlemsländerna på vilka ämnen som är mest relevanta att sätta på listan. Vissa medlemsländer anser att endast ämnen som är lämpliga för tillståndssystemet ska listas, medan andra länders behöriga myndigheter</w:t>
      </w:r>
      <w:r>
        <w:rPr>
          <w:rFonts w:ascii="OrigGarmnd BT" w:hAnsi="OrigGarmnd BT"/>
          <w:b w:val="0"/>
          <w:sz w:val="26"/>
          <w:szCs w:val="26"/>
        </w:rPr>
        <w:t xml:space="preserve">, däribland svenska Kemikalieinspektionen, </w:t>
      </w:r>
      <w:r w:rsidRPr="00B871B4">
        <w:rPr>
          <w:rFonts w:ascii="OrigGarmnd BT" w:hAnsi="OrigGarmnd BT"/>
          <w:b w:val="0"/>
          <w:sz w:val="26"/>
          <w:szCs w:val="26"/>
        </w:rPr>
        <w:t xml:space="preserve">anser att kandidatlistan kan ha flera olika syften, t ex de följande: </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w:t>
      </w:r>
      <w:r w:rsidRPr="00B871B4">
        <w:rPr>
          <w:rFonts w:ascii="OrigGarmnd BT" w:hAnsi="OrigGarmnd BT"/>
          <w:b w:val="0"/>
          <w:sz w:val="26"/>
          <w:szCs w:val="26"/>
        </w:rPr>
        <w:tab/>
        <w:t xml:space="preserve">Det är en lista över ämnen som är lämpliga att föras vidare till begränsning och/eller tillståndsprövning. </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w:t>
      </w:r>
      <w:r w:rsidRPr="00B871B4">
        <w:rPr>
          <w:rFonts w:ascii="OrigGarmnd BT" w:hAnsi="OrigGarmnd BT"/>
          <w:b w:val="0"/>
          <w:sz w:val="26"/>
          <w:szCs w:val="26"/>
        </w:rPr>
        <w:tab/>
        <w:t>Den är ett verktyg för att förebygga en ökad tillverkning och användning genom att förekomsten av ett ämne på kandidatlistan i sig utgör ett incitament för substitution och användning av mindre farliga ämnen eller tekniker.</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w:t>
      </w:r>
      <w:r w:rsidRPr="00B871B4">
        <w:rPr>
          <w:rFonts w:ascii="OrigGarmnd BT" w:hAnsi="OrigGarmnd BT"/>
          <w:b w:val="0"/>
          <w:sz w:val="26"/>
          <w:szCs w:val="26"/>
        </w:rPr>
        <w:tab/>
        <w:t>Att företagen måste informera om ämnet i varor (artikel 33).</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w:t>
      </w:r>
      <w:r w:rsidRPr="00B871B4">
        <w:rPr>
          <w:rFonts w:ascii="OrigGarmnd BT" w:hAnsi="OrigGarmnd BT"/>
          <w:b w:val="0"/>
          <w:sz w:val="26"/>
          <w:szCs w:val="26"/>
        </w:rPr>
        <w:tab/>
        <w:t xml:space="preserve">Att varje producent </w:t>
      </w:r>
      <w:r>
        <w:rPr>
          <w:rFonts w:ascii="OrigGarmnd BT" w:hAnsi="OrigGarmnd BT"/>
          <w:b w:val="0"/>
          <w:sz w:val="26"/>
          <w:szCs w:val="26"/>
        </w:rPr>
        <w:t>eller importör anmäler till Echa</w:t>
      </w:r>
      <w:r w:rsidRPr="00B871B4">
        <w:rPr>
          <w:rFonts w:ascii="OrigGarmnd BT" w:hAnsi="OrigGarmnd BT"/>
          <w:b w:val="0"/>
          <w:sz w:val="26"/>
          <w:szCs w:val="26"/>
        </w:rPr>
        <w:t xml:space="preserve"> de varor som innehåller ett särskilt farligt ämne i sammanlagt över ett ton och i en koncentration i varan som överstiger 0,1% så att vi får ökad kunskap om användning (artikel 7).</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w:t>
      </w:r>
      <w:r w:rsidRPr="00B871B4">
        <w:rPr>
          <w:rFonts w:ascii="OrigGarmnd BT" w:hAnsi="OrigGarmnd BT"/>
          <w:b w:val="0"/>
          <w:sz w:val="26"/>
          <w:szCs w:val="26"/>
        </w:rPr>
        <w:tab/>
        <w:t>Att formellt identifiera ämnen som PBT/vPvB eller som ämnen som leder till motsvarande betänkligheter (t ex hormonstörande ämnen)</w:t>
      </w:r>
      <w:r>
        <w:rPr>
          <w:rFonts w:ascii="OrigGarmnd BT" w:hAnsi="OrigGarmnd BT"/>
          <w:b w:val="0"/>
          <w:sz w:val="26"/>
          <w:szCs w:val="26"/>
        </w:rPr>
        <w:t xml:space="preserve"> i frånvaron av klassificeringskriterier</w:t>
      </w:r>
      <w:r w:rsidRPr="00B871B4">
        <w:rPr>
          <w:rFonts w:ascii="OrigGarmnd BT" w:hAnsi="OrigGarmnd BT"/>
          <w:b w:val="0"/>
          <w:sz w:val="26"/>
          <w:szCs w:val="26"/>
        </w:rPr>
        <w:t>.</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 xml:space="preserve">På ett möte med medlemsländernas kompetenta myndigheter för Reach och </w:t>
      </w:r>
      <w:r>
        <w:rPr>
          <w:rFonts w:ascii="OrigGarmnd BT" w:hAnsi="OrigGarmnd BT"/>
          <w:b w:val="0"/>
          <w:sz w:val="26"/>
          <w:szCs w:val="26"/>
        </w:rPr>
        <w:t>förordningen om klassificering, märkning och förpackning (</w:t>
      </w:r>
      <w:r w:rsidRPr="00B871B4">
        <w:rPr>
          <w:rFonts w:ascii="OrigGarmnd BT" w:hAnsi="OrigGarmnd BT"/>
          <w:b w:val="0"/>
          <w:sz w:val="26"/>
          <w:szCs w:val="26"/>
        </w:rPr>
        <w:t>CLP</w:t>
      </w:r>
      <w:r>
        <w:rPr>
          <w:rFonts w:ascii="OrigGarmnd BT" w:hAnsi="OrigGarmnd BT"/>
          <w:b w:val="0"/>
          <w:sz w:val="26"/>
          <w:szCs w:val="26"/>
        </w:rPr>
        <w:t>)</w:t>
      </w:r>
      <w:r w:rsidRPr="00B871B4">
        <w:rPr>
          <w:rFonts w:ascii="OrigGarmnd BT" w:hAnsi="OrigGarmnd BT"/>
          <w:b w:val="0"/>
          <w:sz w:val="26"/>
          <w:szCs w:val="26"/>
        </w:rPr>
        <w:t xml:space="preserve"> 28-29 november 2012 presenterade kommissionen ett förslag till Roadmap for SVHC assessment and identification and implementation of Reach risk management measures from now to 2020. I förslaget från kommissionen finns bl.a. kriterier 1-4 för att avgöra vilka ämnen som är relevant/som bör prioriteras för inkludering på kandidatlistan. Kemikalieinspektionen är behörig myndighet för Reach och CLP och deltog i mötet. Flera MS hade invändningar bl.a. mot föreslagna kriterier för relevans/prioritering. KemI invände särskilt mot ett kriterium om att inte ta upp ämnen på kandidatlistan om någon användning av ämnet medför oacceptabel risk. Kommissionen och ett antal MS menar att man vid identifiering av oacceptabel risk först bör ta fram ett förslag till begränsning. Kemikalieinspektionen framförde vid mötet att det föreslagna kriteriet i förening med denna syn kan medföra en rad allvarliga konsekvenser för Reachförordningens effektivitet i att hantera risker för människa och miljö från särskilt farliga ämnen. </w:t>
      </w:r>
    </w:p>
    <w:p w:rsidR="00630A34" w:rsidRPr="00B871B4" w:rsidRDefault="00630A34" w:rsidP="00B871B4">
      <w:pPr>
        <w:pStyle w:val="RKrubrik"/>
        <w:rPr>
          <w:rFonts w:ascii="OrigGarmnd BT" w:hAnsi="OrigGarmnd BT"/>
          <w:b w:val="0"/>
          <w:sz w:val="26"/>
          <w:szCs w:val="26"/>
        </w:rPr>
      </w:pPr>
      <w:r w:rsidRPr="00B871B4">
        <w:rPr>
          <w:rFonts w:ascii="OrigGarmnd BT" w:hAnsi="OrigGarmnd BT"/>
          <w:b w:val="0"/>
          <w:sz w:val="26"/>
          <w:szCs w:val="26"/>
        </w:rPr>
        <w:t>Flera MS framhöll att MS måste kunna ta egna initiativ/välja andra ämnen än dem som prioriteras genom kriterierna i kommissionens roadmap.</w:t>
      </w:r>
    </w:p>
    <w:p w:rsidR="00630A34" w:rsidRDefault="00630A34" w:rsidP="00B871B4">
      <w:pPr>
        <w:pStyle w:val="RKrubrik"/>
        <w:rPr>
          <w:rFonts w:ascii="OrigGarmnd BT" w:hAnsi="OrigGarmnd BT"/>
          <w:b w:val="0"/>
          <w:sz w:val="26"/>
          <w:szCs w:val="26"/>
        </w:rPr>
      </w:pPr>
      <w:r w:rsidRPr="00B871B4">
        <w:rPr>
          <w:rFonts w:ascii="OrigGarmnd BT" w:hAnsi="OrigGarmnd BT"/>
          <w:b w:val="0"/>
          <w:sz w:val="26"/>
          <w:szCs w:val="26"/>
        </w:rPr>
        <w:t xml:space="preserve">Kommissionen föreslår i roadmap att medlemsländernas riskhanteringsanalys (ska delas med andra medlemsländer och Echa/kommissionen innan beslut fattas av det enskilda medlemslandet att föreslå att ett ämne tas upp på kandidatlistan. Kommissionen framför även att kraven på innehållet i RMO-analyser </w:t>
      </w:r>
      <w:r>
        <w:rPr>
          <w:rFonts w:ascii="OrigGarmnd BT" w:hAnsi="OrigGarmnd BT"/>
          <w:b w:val="0"/>
          <w:sz w:val="26"/>
          <w:szCs w:val="26"/>
        </w:rPr>
        <w:t xml:space="preserve">(se förklaring nedan) </w:t>
      </w:r>
      <w:r w:rsidRPr="00B871B4">
        <w:rPr>
          <w:rFonts w:ascii="OrigGarmnd BT" w:hAnsi="OrigGarmnd BT"/>
          <w:b w:val="0"/>
          <w:sz w:val="26"/>
          <w:szCs w:val="26"/>
        </w:rPr>
        <w:t xml:space="preserve">bör skärpas, t.ex. att riskbedömning bör vara en del av analysen. </w:t>
      </w:r>
    </w:p>
    <w:p w:rsidR="00630A34" w:rsidRDefault="00630A34" w:rsidP="00313522">
      <w:pPr>
        <w:pStyle w:val="RKnormal"/>
      </w:pPr>
    </w:p>
    <w:p w:rsidR="00630A34" w:rsidRPr="00313522" w:rsidRDefault="00630A34" w:rsidP="00313522">
      <w:pPr>
        <w:pStyle w:val="RKnormal"/>
        <w:rPr>
          <w:i/>
        </w:rPr>
      </w:pPr>
      <w:r w:rsidRPr="00313522">
        <w:rPr>
          <w:i/>
        </w:rPr>
        <w:t>Andra MS position</w:t>
      </w:r>
    </w:p>
    <w:p w:rsidR="00630A34" w:rsidRDefault="00630A34" w:rsidP="00313522">
      <w:pPr>
        <w:pStyle w:val="RKnormal"/>
      </w:pPr>
      <w:r>
        <w:t>NL vänder sig liksom SE mot risk som uteslutningskriterium och mot att välja begränsning istället för tillståndsprövning.</w:t>
      </w:r>
    </w:p>
    <w:p w:rsidR="00630A34" w:rsidRDefault="00630A34" w:rsidP="00313522">
      <w:pPr>
        <w:pStyle w:val="RKnormal"/>
      </w:pPr>
      <w:r>
        <w:t xml:space="preserve">DE, AT, BE och HU framhåller liksom SE att RMOA bör bibehållas informell. </w:t>
      </w:r>
    </w:p>
    <w:p w:rsidR="00630A34" w:rsidRDefault="00630A34" w:rsidP="00313522">
      <w:pPr>
        <w:pStyle w:val="RKnormal"/>
      </w:pPr>
      <w:r>
        <w:t>BE kan ge SE stöd i kritiken av kriterium 3 och behovet av kompletterande prioritering.</w:t>
      </w:r>
    </w:p>
    <w:p w:rsidR="00630A34" w:rsidRDefault="00630A34" w:rsidP="00313522">
      <w:pPr>
        <w:pStyle w:val="RKnormal"/>
      </w:pPr>
      <w:r>
        <w:t>NO talar om kandidatlistan som medel för att få till stånd substitution och om värdet av bl.a. art. 33 (info om SVHC i varor)</w:t>
      </w:r>
    </w:p>
    <w:p w:rsidR="00630A34" w:rsidRDefault="00630A34" w:rsidP="00313522">
      <w:pPr>
        <w:pStyle w:val="RKnormal"/>
      </w:pPr>
      <w:r>
        <w:t xml:space="preserve">DK position är mer oklar, men är inte helt i linje med föreslagen svensk handlingslinje. </w:t>
      </w:r>
    </w:p>
    <w:p w:rsidR="00630A34" w:rsidRDefault="00630A34" w:rsidP="00313522">
      <w:pPr>
        <w:pStyle w:val="RKnormal"/>
      </w:pPr>
      <w:r>
        <w:t xml:space="preserve">FI, IE  och GR vill på tvärs mot många andra formalisera RMOA via lagstiftning. </w:t>
      </w:r>
    </w:p>
    <w:p w:rsidR="00630A34" w:rsidRPr="00313522" w:rsidRDefault="00630A34" w:rsidP="00313522">
      <w:pPr>
        <w:pStyle w:val="RKnormal"/>
      </w:pPr>
      <w:r>
        <w:t>IE vill dessutom att bara ämnen där bästa RMO är tillståndsprövning ska listas.</w:t>
      </w:r>
    </w:p>
    <w:p w:rsidR="00630A34" w:rsidRDefault="00630A34" w:rsidP="00B871B4">
      <w:pPr>
        <w:pStyle w:val="RKrubrik"/>
      </w:pPr>
      <w:r>
        <w:t>Rättslig grund och beslutsförfarande</w:t>
      </w:r>
    </w:p>
    <w:p w:rsidR="00630A34" w:rsidRDefault="00630A34" w:rsidP="009F0335">
      <w:pPr>
        <w:pStyle w:val="RKrubrik"/>
        <w:rPr>
          <w:i/>
          <w:iCs/>
        </w:rPr>
      </w:pPr>
      <w:r>
        <w:rPr>
          <w:i/>
          <w:iCs/>
        </w:rPr>
        <w:t>Svensk ståndpunkt</w:t>
      </w:r>
    </w:p>
    <w:p w:rsidR="00630A34" w:rsidRPr="00D56EE0" w:rsidRDefault="00630A34" w:rsidP="00D56EE0">
      <w:pPr>
        <w:pStyle w:val="RKrubrik"/>
        <w:rPr>
          <w:rFonts w:ascii="OrigGarmnd BT" w:hAnsi="OrigGarmnd BT"/>
          <w:b w:val="0"/>
          <w:sz w:val="24"/>
        </w:rPr>
      </w:pPr>
      <w:r w:rsidRPr="00D56EE0">
        <w:rPr>
          <w:rFonts w:ascii="OrigGarmnd BT" w:hAnsi="OrigGarmnd BT"/>
          <w:b w:val="0"/>
          <w:sz w:val="24"/>
        </w:rPr>
        <w:t xml:space="preserve">Kommissionen har nu kommit med ett förslag till en så kallad färdplan för särskilt farliga ämnen fram till 2020, som innehåller förslag till samarbetsformer och kriterier för att identifiera relevanta särskilt farliga ämnen (SVHC) att </w:t>
      </w:r>
      <w:r>
        <w:rPr>
          <w:rFonts w:ascii="OrigGarmnd BT" w:hAnsi="OrigGarmnd BT"/>
          <w:b w:val="0"/>
          <w:sz w:val="24"/>
        </w:rPr>
        <w:t>ta upp på kandidatlistan i Reach</w:t>
      </w:r>
      <w:r w:rsidRPr="00D56EE0">
        <w:rPr>
          <w:rFonts w:ascii="OrigGarmnd BT" w:hAnsi="OrigGarmnd BT"/>
          <w:b w:val="0"/>
          <w:sz w:val="24"/>
        </w:rPr>
        <w:t xml:space="preserve">. Att ett ämne förs in på kandidatlistan är det första steget mot att det krävs särskilt tillstånd för att få använda ämnet, men syftar också till att informera företag och konsumenter om förekomst av särskilt farliga ämnen i varor. </w:t>
      </w:r>
    </w:p>
    <w:p w:rsidR="00630A34" w:rsidRDefault="00630A34" w:rsidP="00F374AB">
      <w:pPr>
        <w:pStyle w:val="RKrubrik"/>
        <w:rPr>
          <w:rFonts w:ascii="OrigGarmnd BT" w:hAnsi="OrigGarmnd BT"/>
          <w:b w:val="0"/>
          <w:sz w:val="24"/>
        </w:rPr>
      </w:pPr>
      <w:r w:rsidRPr="00D56EE0">
        <w:rPr>
          <w:rFonts w:ascii="OrigGarmnd BT" w:hAnsi="OrigGarmnd BT"/>
          <w:b w:val="0"/>
          <w:sz w:val="24"/>
        </w:rPr>
        <w:t>Regeringen anser att Sverige övergripande bör välkomna kommissionens förslag, men framföra att vi inte i alla delar stödjer kommissionens förslag om vilka kriterier som ska ligga till grund för att identifiera relevanta ämnen till kandidatlistan. Regeringen anser att förslaget från kommissionen riskerar att urholka tillämpningen av tillståndssystemet och informationskraven för särskilt farliga varor i Reach</w:t>
      </w:r>
      <w:r>
        <w:rPr>
          <w:rFonts w:ascii="OrigGarmnd BT" w:hAnsi="OrigGarmnd BT"/>
          <w:b w:val="0"/>
          <w:sz w:val="24"/>
        </w:rPr>
        <w:t>.</w:t>
      </w:r>
    </w:p>
    <w:p w:rsidR="00630A34" w:rsidRDefault="00630A34" w:rsidP="00F374AB">
      <w:pPr>
        <w:pStyle w:val="RKnormal"/>
      </w:pPr>
    </w:p>
    <w:p w:rsidR="00630A34" w:rsidRPr="00F374AB" w:rsidRDefault="00630A34" w:rsidP="00F374AB">
      <w:pPr>
        <w:pStyle w:val="RKnormal"/>
      </w:pPr>
      <w:r>
        <w:t>Kandidatlistan och tillståndssystemet är en central del av Reach. Syftet med tillståndssystemet, som anges i artikel 55 i Reach-förordningen, är att gradvis fasa ut användningen av särskilt farliga ämnen (SVHC-ämnen) och samtidigt främja innovation av lämpliga alternativa ämnen eller tekniker. Om Reach-systemet ska vara funktionellt så måste alla SVHC läggas in i en fortsatt hög takt, i detta anser regeringen att Sverige bör stödja kommissionens ambition. Men med kommissionens förslag till kriterier i roadmap riskerar samtidigt syftet att undergrävas genom att de viktigaste ämnena kan komma att falla ur tillståndssystemet.</w:t>
      </w:r>
    </w:p>
    <w:p w:rsidR="00630A34" w:rsidRDefault="00630A34" w:rsidP="00D56EE0">
      <w:pPr>
        <w:pStyle w:val="RKrubrik"/>
        <w:rPr>
          <w:rFonts w:ascii="OrigGarmnd BT" w:hAnsi="OrigGarmnd BT"/>
          <w:b w:val="0"/>
          <w:sz w:val="24"/>
        </w:rPr>
      </w:pPr>
      <w:r w:rsidRPr="00D56EE0">
        <w:rPr>
          <w:rFonts w:ascii="OrigGarmnd BT" w:hAnsi="OrigGarmnd BT"/>
          <w:b w:val="0"/>
          <w:sz w:val="24"/>
        </w:rPr>
        <w:t xml:space="preserve">Frågan förväntas att behandlas även på miljörådet den 21 mars och då kommer Sverige framföra mer detaljerade ståndpunkter. </w:t>
      </w:r>
    </w:p>
    <w:p w:rsidR="00630A34" w:rsidRDefault="00630A34" w:rsidP="00D56EE0">
      <w:pPr>
        <w:pStyle w:val="RKrubrik"/>
      </w:pPr>
      <w:r>
        <w:t>Europaparlamentets inställning</w:t>
      </w:r>
    </w:p>
    <w:p w:rsidR="00630A34" w:rsidRPr="00D56EE0" w:rsidRDefault="00630A34" w:rsidP="00D56EE0">
      <w:pPr>
        <w:pStyle w:val="RKnormal"/>
      </w:pPr>
      <w:r>
        <w:t>Diskussioner om roadmap för kandidatlistan har hittills ägt rum på teknisk nivå och EP har därför inte haft anledning att ta ställning i frågan.</w:t>
      </w:r>
    </w:p>
    <w:p w:rsidR="00630A34" w:rsidRDefault="00630A34" w:rsidP="003553ED">
      <w:pPr>
        <w:pStyle w:val="RKnormal"/>
      </w:pPr>
    </w:p>
    <w:p w:rsidR="00630A34" w:rsidRDefault="00630A34">
      <w:pPr>
        <w:pStyle w:val="RKrubrik"/>
        <w:rPr>
          <w:i/>
          <w:iCs/>
        </w:rPr>
      </w:pPr>
      <w:r>
        <w:rPr>
          <w:i/>
          <w:iCs/>
        </w:rPr>
        <w:t>Förslaget</w:t>
      </w:r>
    </w:p>
    <w:p w:rsidR="00630A34" w:rsidRDefault="00630A34" w:rsidP="008F3599">
      <w:pPr>
        <w:pStyle w:val="RKnormal"/>
        <w:rPr>
          <w:sz w:val="26"/>
          <w:szCs w:val="26"/>
        </w:rPr>
      </w:pPr>
      <w:r w:rsidRPr="002D4689">
        <w:rPr>
          <w:sz w:val="26"/>
          <w:szCs w:val="26"/>
        </w:rPr>
        <w:t xml:space="preserve">Kommissionen föreslår en färdplan </w:t>
      </w:r>
      <w:r>
        <w:rPr>
          <w:sz w:val="26"/>
          <w:szCs w:val="26"/>
        </w:rPr>
        <w:t xml:space="preserve">för att lista alla relevanta SVHC:s på kandidatlistan fram till 2020.  </w:t>
      </w:r>
      <w:r w:rsidRPr="00B871B4">
        <w:rPr>
          <w:sz w:val="26"/>
          <w:szCs w:val="26"/>
        </w:rPr>
        <w:t>I förslaget från kommissionen finns bl.a. kriterier 1-4 för att avgöra vilka ämnen som är relevant</w:t>
      </w:r>
      <w:r>
        <w:rPr>
          <w:sz w:val="26"/>
          <w:szCs w:val="26"/>
        </w:rPr>
        <w:t>a</w:t>
      </w:r>
      <w:r w:rsidRPr="00B871B4">
        <w:rPr>
          <w:sz w:val="26"/>
          <w:szCs w:val="26"/>
        </w:rPr>
        <w:t>/som bör prioriteras för inkludering på kandidatlistan.</w:t>
      </w:r>
      <w:r>
        <w:rPr>
          <w:sz w:val="26"/>
          <w:szCs w:val="26"/>
        </w:rPr>
        <w:t xml:space="preserve"> Kommissionen anser att det är centralt att samsyn nås vad gäller innebörden av ordet ”relevanta”. Kommission vill att färdplanen bl.a. ska tydliggöra prioriteringen av arbetet med kandidatlistan samt vara en grund för fördelning av fortsatt arbete. </w:t>
      </w:r>
    </w:p>
    <w:p w:rsidR="00630A34" w:rsidRDefault="00630A34" w:rsidP="008F3599">
      <w:pPr>
        <w:pStyle w:val="RKnormal"/>
        <w:rPr>
          <w:sz w:val="26"/>
          <w:szCs w:val="26"/>
        </w:rPr>
      </w:pPr>
    </w:p>
    <w:p w:rsidR="00630A34" w:rsidRDefault="00630A34">
      <w:pPr>
        <w:pStyle w:val="RKrubrik"/>
        <w:rPr>
          <w:i/>
          <w:iCs/>
        </w:rPr>
      </w:pPr>
      <w:r>
        <w:rPr>
          <w:i/>
          <w:iCs/>
        </w:rPr>
        <w:t>Gällande svenska regler och förslagets effekter på dessa</w:t>
      </w:r>
    </w:p>
    <w:p w:rsidR="00630A34" w:rsidRPr="00614895" w:rsidRDefault="00630A34" w:rsidP="00614895">
      <w:pPr>
        <w:pStyle w:val="RKnormal"/>
      </w:pPr>
      <w:r>
        <w:t>-</w:t>
      </w:r>
    </w:p>
    <w:p w:rsidR="00630A34" w:rsidRDefault="00630A34">
      <w:pPr>
        <w:pStyle w:val="RKnormal"/>
      </w:pPr>
    </w:p>
    <w:p w:rsidR="00630A34" w:rsidRDefault="00630A34">
      <w:pPr>
        <w:pStyle w:val="RKnormal"/>
      </w:pPr>
    </w:p>
    <w:p w:rsidR="00630A34" w:rsidRDefault="00630A34">
      <w:pPr>
        <w:pStyle w:val="RKrubrik"/>
      </w:pPr>
      <w:r>
        <w:t>Ekonomiska konsekvenser</w:t>
      </w:r>
    </w:p>
    <w:p w:rsidR="00630A34" w:rsidRPr="00614895" w:rsidRDefault="00630A34" w:rsidP="00614895">
      <w:pPr>
        <w:pStyle w:val="RKnormal"/>
      </w:pPr>
      <w:r>
        <w:t>-</w:t>
      </w:r>
    </w:p>
    <w:p w:rsidR="00630A34" w:rsidRDefault="00630A34">
      <w:pPr>
        <w:pStyle w:val="RKnormal"/>
      </w:pPr>
    </w:p>
    <w:p w:rsidR="00630A34" w:rsidRDefault="00630A34">
      <w:pPr>
        <w:pStyle w:val="RKrubrik"/>
      </w:pPr>
      <w:r>
        <w:t>Övrigt</w:t>
      </w:r>
    </w:p>
    <w:p w:rsidR="00630A34" w:rsidRPr="00614895" w:rsidRDefault="00630A34" w:rsidP="00614895">
      <w:pPr>
        <w:pStyle w:val="RKnormal"/>
      </w:pPr>
      <w:r>
        <w:t>-</w:t>
      </w:r>
    </w:p>
    <w:p w:rsidR="00630A34" w:rsidRPr="005470B7" w:rsidRDefault="00630A34" w:rsidP="005470B7"/>
    <w:p w:rsidR="00630A34" w:rsidRDefault="00630A34">
      <w:pPr>
        <w:pStyle w:val="RKnormal"/>
        <w:ind w:left="-1134"/>
      </w:pPr>
    </w:p>
    <w:p w:rsidR="00630A34" w:rsidRDefault="00630A34" w:rsidP="00D1681E">
      <w:pPr>
        <w:pStyle w:val="RKrubrik"/>
        <w:spacing w:before="0" w:after="0"/>
      </w:pPr>
      <w:r>
        <w:t>Facktermer</w:t>
      </w:r>
    </w:p>
    <w:p w:rsidR="00630A34" w:rsidRPr="00614895" w:rsidRDefault="00630A34" w:rsidP="00614895">
      <w:pPr>
        <w:pStyle w:val="RKnormal"/>
      </w:pPr>
      <w:r>
        <w:t>-</w:t>
      </w:r>
    </w:p>
    <w:p w:rsidR="00630A34" w:rsidRDefault="00630A34">
      <w:pPr>
        <w:pStyle w:val="RKnormal"/>
      </w:pPr>
    </w:p>
    <w:sectPr w:rsidR="00630A34" w:rsidSect="00BE3D8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A34" w:rsidRDefault="00630A34">
      <w:r>
        <w:separator/>
      </w:r>
    </w:p>
  </w:endnote>
  <w:endnote w:type="continuationSeparator" w:id="0">
    <w:p w:rsidR="00630A34" w:rsidRDefault="00630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A34" w:rsidRDefault="00630A34">
      <w:r>
        <w:separator/>
      </w:r>
    </w:p>
  </w:footnote>
  <w:footnote w:type="continuationSeparator" w:id="0">
    <w:p w:rsidR="00630A34" w:rsidRDefault="00630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34" w:rsidRDefault="00630A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630A34">
      <w:trPr>
        <w:cantSplit/>
      </w:trPr>
      <w:tc>
        <w:tcPr>
          <w:tcW w:w="3119" w:type="dxa"/>
        </w:tcPr>
        <w:p w:rsidR="00630A34" w:rsidRDefault="00630A34">
          <w:pPr>
            <w:pStyle w:val="Header"/>
            <w:spacing w:line="200" w:lineRule="atLeast"/>
            <w:ind w:right="357"/>
            <w:rPr>
              <w:rFonts w:ascii="TradeGothic" w:hAnsi="TradeGothic"/>
              <w:b/>
              <w:bCs/>
              <w:sz w:val="16"/>
            </w:rPr>
          </w:pPr>
        </w:p>
      </w:tc>
      <w:tc>
        <w:tcPr>
          <w:tcW w:w="4111" w:type="dxa"/>
          <w:tcMar>
            <w:left w:w="567" w:type="dxa"/>
          </w:tcMar>
        </w:tcPr>
        <w:p w:rsidR="00630A34" w:rsidRDefault="00630A34">
          <w:pPr>
            <w:pStyle w:val="Header"/>
            <w:ind w:right="360"/>
          </w:pPr>
        </w:p>
      </w:tc>
      <w:tc>
        <w:tcPr>
          <w:tcW w:w="1525" w:type="dxa"/>
        </w:tcPr>
        <w:p w:rsidR="00630A34" w:rsidRDefault="00630A34">
          <w:pPr>
            <w:pStyle w:val="Header"/>
            <w:ind w:right="360"/>
          </w:pPr>
        </w:p>
      </w:tc>
    </w:tr>
  </w:tbl>
  <w:p w:rsidR="00630A34" w:rsidRDefault="00630A3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34" w:rsidRDefault="00630A3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630A34">
      <w:trPr>
        <w:cantSplit/>
      </w:trPr>
      <w:tc>
        <w:tcPr>
          <w:tcW w:w="3119" w:type="dxa"/>
        </w:tcPr>
        <w:p w:rsidR="00630A34" w:rsidRDefault="00630A34">
          <w:pPr>
            <w:pStyle w:val="Header"/>
            <w:spacing w:line="200" w:lineRule="atLeast"/>
            <w:ind w:right="357"/>
            <w:rPr>
              <w:rFonts w:ascii="TradeGothic" w:hAnsi="TradeGothic"/>
              <w:b/>
              <w:bCs/>
              <w:sz w:val="16"/>
            </w:rPr>
          </w:pPr>
        </w:p>
      </w:tc>
      <w:tc>
        <w:tcPr>
          <w:tcW w:w="4111" w:type="dxa"/>
          <w:tcMar>
            <w:left w:w="567" w:type="dxa"/>
          </w:tcMar>
        </w:tcPr>
        <w:p w:rsidR="00630A34" w:rsidRDefault="00630A34">
          <w:pPr>
            <w:pStyle w:val="Header"/>
            <w:ind w:right="360"/>
          </w:pPr>
        </w:p>
      </w:tc>
      <w:tc>
        <w:tcPr>
          <w:tcW w:w="1525" w:type="dxa"/>
        </w:tcPr>
        <w:p w:rsidR="00630A34" w:rsidRDefault="00630A34">
          <w:pPr>
            <w:pStyle w:val="Header"/>
            <w:ind w:right="360"/>
          </w:pPr>
        </w:p>
      </w:tc>
    </w:tr>
  </w:tbl>
  <w:p w:rsidR="00630A34" w:rsidRDefault="00630A3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34" w:rsidRDefault="00630A34">
    <w:pPr>
      <w:framePr w:w="2948" w:h="1321" w:hRule="exact" w:wrap="notBeside" w:vAnchor="page" w:hAnchor="page" w:x="1362" w:y="653"/>
    </w:pPr>
    <w:r w:rsidRPr="009F63C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30A34" w:rsidRDefault="00630A34">
    <w:pPr>
      <w:pStyle w:val="RKrubrik"/>
      <w:keepNext w:val="0"/>
      <w:tabs>
        <w:tab w:val="clear" w:pos="1134"/>
        <w:tab w:val="clear" w:pos="2835"/>
      </w:tabs>
      <w:spacing w:before="0" w:after="0" w:line="320" w:lineRule="atLeast"/>
      <w:rPr>
        <w:bCs/>
      </w:rPr>
    </w:pPr>
  </w:p>
  <w:p w:rsidR="00630A34" w:rsidRDefault="00630A34">
    <w:pPr>
      <w:rPr>
        <w:rFonts w:ascii="TradeGothic" w:hAnsi="TradeGothic"/>
        <w:b/>
        <w:bCs/>
        <w:spacing w:val="12"/>
        <w:sz w:val="22"/>
      </w:rPr>
    </w:pPr>
  </w:p>
  <w:p w:rsidR="00630A34" w:rsidRDefault="00630A34">
    <w:pPr>
      <w:pStyle w:val="RKrubrik"/>
      <w:keepNext w:val="0"/>
      <w:tabs>
        <w:tab w:val="clear" w:pos="1134"/>
        <w:tab w:val="clear" w:pos="2835"/>
      </w:tabs>
      <w:spacing w:before="0" w:after="0" w:line="320" w:lineRule="atLeast"/>
      <w:rPr>
        <w:bCs/>
      </w:rPr>
    </w:pPr>
  </w:p>
  <w:p w:rsidR="00630A34" w:rsidRDefault="00630A34">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A70584"/>
    <w:rsid w:val="000F23CC"/>
    <w:rsid w:val="00147631"/>
    <w:rsid w:val="00150384"/>
    <w:rsid w:val="00160901"/>
    <w:rsid w:val="001805B7"/>
    <w:rsid w:val="001A3774"/>
    <w:rsid w:val="001B37F2"/>
    <w:rsid w:val="00220999"/>
    <w:rsid w:val="002341DF"/>
    <w:rsid w:val="00262C8C"/>
    <w:rsid w:val="00277AC9"/>
    <w:rsid w:val="00286ACB"/>
    <w:rsid w:val="0029262E"/>
    <w:rsid w:val="002D4689"/>
    <w:rsid w:val="00313522"/>
    <w:rsid w:val="00346006"/>
    <w:rsid w:val="003553ED"/>
    <w:rsid w:val="00357B3A"/>
    <w:rsid w:val="00360024"/>
    <w:rsid w:val="00367B1C"/>
    <w:rsid w:val="0039791F"/>
    <w:rsid w:val="003C5157"/>
    <w:rsid w:val="00477130"/>
    <w:rsid w:val="00490A9F"/>
    <w:rsid w:val="004A328D"/>
    <w:rsid w:val="004C7A18"/>
    <w:rsid w:val="004F4400"/>
    <w:rsid w:val="005470B7"/>
    <w:rsid w:val="00554B5F"/>
    <w:rsid w:val="00571AC1"/>
    <w:rsid w:val="0058762B"/>
    <w:rsid w:val="00614895"/>
    <w:rsid w:val="00630A34"/>
    <w:rsid w:val="006838E2"/>
    <w:rsid w:val="006D4453"/>
    <w:rsid w:val="006D6978"/>
    <w:rsid w:val="006E4E11"/>
    <w:rsid w:val="006E538C"/>
    <w:rsid w:val="007242A3"/>
    <w:rsid w:val="00745DCC"/>
    <w:rsid w:val="007A6855"/>
    <w:rsid w:val="008715AD"/>
    <w:rsid w:val="008912FE"/>
    <w:rsid w:val="008E4616"/>
    <w:rsid w:val="008F3599"/>
    <w:rsid w:val="0092027A"/>
    <w:rsid w:val="00955E31"/>
    <w:rsid w:val="00992E72"/>
    <w:rsid w:val="009D47C9"/>
    <w:rsid w:val="009F0335"/>
    <w:rsid w:val="009F63C2"/>
    <w:rsid w:val="00A70584"/>
    <w:rsid w:val="00AA7874"/>
    <w:rsid w:val="00AB5BDF"/>
    <w:rsid w:val="00AF26D1"/>
    <w:rsid w:val="00B3708E"/>
    <w:rsid w:val="00B37AE9"/>
    <w:rsid w:val="00B871B4"/>
    <w:rsid w:val="00BC5EEF"/>
    <w:rsid w:val="00BE3D8C"/>
    <w:rsid w:val="00C65521"/>
    <w:rsid w:val="00C82AFE"/>
    <w:rsid w:val="00CF23AC"/>
    <w:rsid w:val="00D1300B"/>
    <w:rsid w:val="00D133D7"/>
    <w:rsid w:val="00D1681E"/>
    <w:rsid w:val="00D56EE0"/>
    <w:rsid w:val="00D7454B"/>
    <w:rsid w:val="00DA6677"/>
    <w:rsid w:val="00E80146"/>
    <w:rsid w:val="00E904D0"/>
    <w:rsid w:val="00EC25F9"/>
    <w:rsid w:val="00EC38ED"/>
    <w:rsid w:val="00ED583F"/>
    <w:rsid w:val="00F374AB"/>
    <w:rsid w:val="00F8126F"/>
    <w:rsid w:val="00FD517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D8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E3D8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E3D8C"/>
    <w:pPr>
      <w:spacing w:before="360"/>
      <w:outlineLvl w:val="1"/>
    </w:pPr>
  </w:style>
  <w:style w:type="paragraph" w:styleId="Heading3">
    <w:name w:val="heading 3"/>
    <w:basedOn w:val="Heading2"/>
    <w:next w:val="RKnormal"/>
    <w:link w:val="Heading3Char"/>
    <w:uiPriority w:val="99"/>
    <w:qFormat/>
    <w:rsid w:val="00BE3D8C"/>
    <w:pPr>
      <w:spacing w:after="120" w:line="240" w:lineRule="atLeast"/>
      <w:outlineLvl w:val="2"/>
    </w:pPr>
    <w:rPr>
      <w:b w:val="0"/>
    </w:rPr>
  </w:style>
  <w:style w:type="paragraph" w:styleId="Heading4">
    <w:name w:val="heading 4"/>
    <w:basedOn w:val="Heading3"/>
    <w:next w:val="RKnormal"/>
    <w:link w:val="Heading4Char"/>
    <w:uiPriority w:val="99"/>
    <w:qFormat/>
    <w:rsid w:val="00BE3D8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5D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465D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465D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465D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E3D8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E3D8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465D4"/>
    <w:rPr>
      <w:rFonts w:ascii="OrigGarmnd BT" w:hAnsi="OrigGarmnd BT"/>
      <w:sz w:val="24"/>
      <w:szCs w:val="20"/>
      <w:lang w:eastAsia="en-US"/>
    </w:rPr>
  </w:style>
  <w:style w:type="paragraph" w:styleId="Header">
    <w:name w:val="header"/>
    <w:basedOn w:val="Normal"/>
    <w:link w:val="HeaderChar"/>
    <w:uiPriority w:val="99"/>
    <w:rsid w:val="00BE3D8C"/>
    <w:pPr>
      <w:tabs>
        <w:tab w:val="center" w:pos="4153"/>
        <w:tab w:val="right" w:pos="8306"/>
      </w:tabs>
    </w:pPr>
  </w:style>
  <w:style w:type="character" w:customStyle="1" w:styleId="HeaderChar">
    <w:name w:val="Header Char"/>
    <w:basedOn w:val="DefaultParagraphFont"/>
    <w:link w:val="Header"/>
    <w:uiPriority w:val="99"/>
    <w:semiHidden/>
    <w:rsid w:val="00F465D4"/>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BE3D8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E3D8C"/>
    <w:rPr>
      <w:rFonts w:cs="Times New Roman"/>
    </w:rPr>
  </w:style>
  <w:style w:type="paragraph" w:styleId="BalloonText">
    <w:name w:val="Balloon Text"/>
    <w:basedOn w:val="Normal"/>
    <w:link w:val="BalloonTextChar"/>
    <w:uiPriority w:val="99"/>
    <w:rsid w:val="00AB5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B5BDF"/>
    <w:rPr>
      <w:rFonts w:ascii="Tahoma" w:hAnsi="Tahoma" w:cs="Tahoma"/>
      <w:sz w:val="16"/>
      <w:szCs w:val="16"/>
      <w:lang w:eastAsia="en-US"/>
    </w:rPr>
  </w:style>
  <w:style w:type="character" w:customStyle="1" w:styleId="normal1">
    <w:name w:val="normal1"/>
    <w:basedOn w:val="DefaultParagraphFont"/>
    <w:uiPriority w:val="99"/>
    <w:rsid w:val="0039791F"/>
    <w:rPr>
      <w:rFonts w:ascii="Arial" w:hAnsi="Arial" w:cs="Arial"/>
      <w:color w:val="333333"/>
      <w:sz w:val="26"/>
      <w:szCs w:val="26"/>
    </w:rPr>
  </w:style>
</w:styles>
</file>

<file path=word/webSettings.xml><?xml version="1.0" encoding="utf-8"?>
<w:webSettings xmlns:r="http://schemas.openxmlformats.org/officeDocument/2006/relationships" xmlns:w="http://schemas.openxmlformats.org/wordprocessingml/2006/main">
  <w:divs>
    <w:div w:id="1322079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1442</Words>
  <Characters>8465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Åsa Norrman</dc:creator>
  <cp:keywords/>
  <dc:description/>
  <cp:lastModifiedBy>ha0808ab</cp:lastModifiedBy>
  <cp:revision>2</cp:revision>
  <cp:lastPrinted>2013-02-11T13:19:00Z</cp:lastPrinted>
  <dcterms:created xsi:type="dcterms:W3CDTF">2013-02-11T13:20:00Z</dcterms:created>
  <dcterms:modified xsi:type="dcterms:W3CDTF">2013-02-11T13:20:00Z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_dlc_DocIdItemGuid">
    <vt:lpwstr>b8892c82-5c3c-404f-a70e-ac5932ff6401</vt:lpwstr>
  </property>
  <property fmtid="{D5CDD505-2E9C-101B-9397-08002B2CF9AE}" pid="7" name="RKOrdnaClass">
    <vt:lpwstr/>
  </property>
  <property fmtid="{D5CDD505-2E9C-101B-9397-08002B2CF9AE}" pid="8" name="k46d94c0acf84ab9a79866a9d8b1905f">
    <vt:lpwstr/>
  </property>
  <property fmtid="{D5CDD505-2E9C-101B-9397-08002B2CF9AE}" pid="9" name="c9cd366cc722410295b9eacffbd73909">
    <vt:lpwstr/>
  </property>
  <property fmtid="{D5CDD505-2E9C-101B-9397-08002B2CF9AE}" pid="10" name="_dlc_DocId">
    <vt:lpwstr>W2C5EU7TYCK3-13-382</vt:lpwstr>
  </property>
  <property fmtid="{D5CDD505-2E9C-101B-9397-08002B2CF9AE}" pid="11" name="Diarienummer">
    <vt:lpwstr/>
  </property>
  <property fmtid="{D5CDD505-2E9C-101B-9397-08002B2CF9AE}" pid="12" name="TaxCatchAll">
    <vt:lpwstr/>
  </property>
  <property fmtid="{D5CDD505-2E9C-101B-9397-08002B2CF9AE}" pid="13" name="_dlc_DocIdUrl">
    <vt:lpwstr>http://rkdhs-ud/enhet/fim/29_30_maj/_layouts/DocIdRedir.aspx?ID=W2C5EU7TYCK3-13-382, W2C5EU7TYCK3-13-382</vt:lpwstr>
  </property>
  <property fmtid="{D5CDD505-2E9C-101B-9397-08002B2CF9AE}" pid="14" name="Nyckelord">
    <vt:lpwstr>Nano</vt:lpwstr>
  </property>
  <property fmtid="{D5CDD505-2E9C-101B-9397-08002B2CF9AE}" pid="15" name="RKOrdnaCheckInComment">
    <vt:lpwstr/>
  </property>
  <property fmtid="{D5CDD505-2E9C-101B-9397-08002B2CF9AE}" pid="16" name="Sekretess">
    <vt:lpwstr/>
  </property>
</Properties>
</file>