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DB15D7DF8A4E2B9151654FD2F094A7"/>
        </w:placeholder>
        <w15:appearance w15:val="hidden"/>
        <w:text/>
      </w:sdtPr>
      <w:sdtEndPr/>
      <w:sdtContent>
        <w:p w:rsidRPr="009B062B" w:rsidR="00AF30DD" w:rsidP="00DA28CE" w:rsidRDefault="00AF30DD" w14:paraId="062731D6" w14:textId="77777777">
          <w:pPr>
            <w:pStyle w:val="Rubrik1"/>
            <w:spacing w:after="300"/>
          </w:pPr>
          <w:r w:rsidRPr="009B062B">
            <w:t>Förslag till riksdagsbeslut</w:t>
          </w:r>
        </w:p>
      </w:sdtContent>
    </w:sdt>
    <w:sdt>
      <w:sdtPr>
        <w:alias w:val="Yrkande 1"/>
        <w:tag w:val="5c5fc216-2618-45d8-8f8f-31f00cb3e491"/>
        <w:id w:val="-2137628323"/>
        <w:lock w:val="sdtLocked"/>
      </w:sdtPr>
      <w:sdtEndPr/>
      <w:sdtContent>
        <w:p w:rsidR="004255D7" w:rsidRDefault="00322D58" w14:paraId="062731D7" w14:textId="2CF2C678">
          <w:pPr>
            <w:pStyle w:val="Frslagstext"/>
          </w:pPr>
          <w:r>
            <w:t xml:space="preserve">Riksdagen beslutar att avslå den del av </w:t>
          </w:r>
          <w:r w:rsidR="00131F0D">
            <w:t xml:space="preserve">förslaget till </w:t>
          </w:r>
          <w:r>
            <w:t>ny lag om tobak och liknande produkter som avser 6 kap. 1 § 2</w:t>
          </w:r>
          <w:r w:rsidR="00131F0D">
            <w:t>–</w:t>
          </w:r>
          <w:r>
            <w:t>5</w:t>
          </w:r>
          <w:r w:rsidR="00131F0D">
            <w:t xml:space="preserve"> om</w:t>
          </w:r>
          <w:r>
            <w:t xml:space="preserve"> ett utvidgat rökförbud </w:t>
          </w:r>
          <w:r w:rsidR="00131F0D">
            <w:t xml:space="preserve">för </w:t>
          </w:r>
          <w:r>
            <w:t xml:space="preserve">användning av </w:t>
          </w:r>
          <w:r w:rsidR="00131F0D">
            <w:t>bl.a.</w:t>
          </w:r>
          <w:r>
            <w:t xml:space="preserve"> elektroniska cigaretter och rökning av örtprodukter.</w:t>
          </w:r>
        </w:p>
      </w:sdtContent>
    </w:sdt>
    <w:sdt>
      <w:sdtPr>
        <w:alias w:val="Yrkande 2"/>
        <w:tag w:val="949af219-c206-4a5d-b04b-f30d0a1bd7ad"/>
        <w:id w:val="1909954567"/>
        <w:lock w:val="sdtLocked"/>
      </w:sdtPr>
      <w:sdtEndPr/>
      <w:sdtContent>
        <w:p w:rsidR="004255D7" w:rsidRDefault="00322D58" w14:paraId="062731D8" w14:textId="502D8F00">
          <w:pPr>
            <w:pStyle w:val="Frslagstext"/>
          </w:pPr>
          <w:r>
            <w:t xml:space="preserve">Riksdagen beslutar att anta regeringens förslag till ny lag om tobak och liknande produkter </w:t>
          </w:r>
          <w:r w:rsidR="00131F0D">
            <w:t>i fråga om</w:t>
          </w:r>
          <w:r>
            <w:t xml:space="preserve"> 6 kap. 2 § 5 med tillägg</w:t>
          </w:r>
          <w:r w:rsidR="00131F0D">
            <w:t>et</w:t>
          </w:r>
          <w:r>
            <w:t xml:space="preserve"> att rökning även </w:t>
          </w:r>
          <w:r w:rsidR="00131F0D">
            <w:t xml:space="preserve">i fortsättningen </w:t>
          </w:r>
          <w:r>
            <w:t>ska vara tillåten när servering sker utomhus.</w:t>
          </w:r>
        </w:p>
      </w:sdtContent>
    </w:sdt>
    <w:sdt>
      <w:sdtPr>
        <w:alias w:val="Yrkande 3"/>
        <w:tag w:val="94821130-b1a8-4f79-9b18-b0134f8bc236"/>
        <w:id w:val="-1388560640"/>
        <w:lock w:val="sdtLocked"/>
      </w:sdtPr>
      <w:sdtEndPr/>
      <w:sdtContent>
        <w:p w:rsidR="004255D7" w:rsidRDefault="00322D58" w14:paraId="062731D9" w14:textId="65C4368D">
          <w:pPr>
            <w:pStyle w:val="Frslagstext"/>
          </w:pPr>
          <w:r>
            <w:t xml:space="preserve">Riksdagen beslutar att anta regeringens förslag till ny lag om tobak och liknande produkter </w:t>
          </w:r>
          <w:r w:rsidR="00131F0D">
            <w:t>i fråga om</w:t>
          </w:r>
          <w:r>
            <w:t xml:space="preserve"> 5 kap. 13 § </w:t>
          </w:r>
          <w:r w:rsidR="00131F0D">
            <w:t xml:space="preserve">om förbud mot </w:t>
          </w:r>
          <w:r>
            <w:t>självbetjäning med tillägg</w:t>
          </w:r>
          <w:r w:rsidR="00131F0D">
            <w:t>et</w:t>
          </w:r>
          <w:r w:rsidR="00EB0A14">
            <w:t xml:space="preserve"> att </w:t>
          </w:r>
          <w:r>
            <w:t>självbetjäningsförbud</w:t>
          </w:r>
          <w:r w:rsidR="00131F0D">
            <w:t>et</w:t>
          </w:r>
          <w:r>
            <w:t xml:space="preserve"> inte ska gälla för snusprodukter.</w:t>
          </w:r>
        </w:p>
      </w:sdtContent>
    </w:sdt>
    <w:sdt>
      <w:sdtPr>
        <w:alias w:val="Yrkande 4"/>
        <w:tag w:val="bbcb027d-52c5-4d0a-9437-0b05a494a1ac"/>
        <w:id w:val="811296862"/>
        <w:lock w:val="sdtLocked"/>
      </w:sdtPr>
      <w:sdtEndPr/>
      <w:sdtContent>
        <w:p w:rsidR="004255D7" w:rsidRDefault="00322D58" w14:paraId="062731DA" w14:textId="1A36C108">
          <w:pPr>
            <w:pStyle w:val="Frslagstext"/>
          </w:pPr>
          <w:r>
            <w:t xml:space="preserve">Riksdagen ställer sig bakom det som anförs i motionen om att </w:t>
          </w:r>
          <w:r w:rsidR="00EB0A14">
            <w:t>värna</w:t>
          </w:r>
          <w:r>
            <w:t xml:space="preserve"> onlinehandel med snusprodukter och tillkännager detta för regeringen.</w:t>
          </w:r>
        </w:p>
      </w:sdtContent>
    </w:sdt>
    <w:sdt>
      <w:sdtPr>
        <w:alias w:val="Yrkande 5"/>
        <w:tag w:val="086a0a43-e100-475d-8e81-086d09169cea"/>
        <w:id w:val="643241168"/>
        <w:lock w:val="sdtLocked"/>
      </w:sdtPr>
      <w:sdtEndPr/>
      <w:sdtContent>
        <w:p w:rsidR="004255D7" w:rsidRDefault="00322D58" w14:paraId="062731DB" w14:textId="7B8B2378">
          <w:pPr>
            <w:pStyle w:val="Frslagstext"/>
          </w:pPr>
          <w:r>
            <w:t>Riksdagen beslutar att anta regeringens förslag till ny lag om tobak och liknande produkter i fråga om 4 kap. med tillägget att marknadsföring av snusprodukter ska undantas från de föreslagna förändringarna.</w:t>
          </w:r>
        </w:p>
      </w:sdtContent>
    </w:sdt>
    <w:sdt>
      <w:sdtPr>
        <w:alias w:val="Yrkande 6"/>
        <w:tag w:val="c410090c-7d7d-43e3-9b1f-4c140a9f62f3"/>
        <w:id w:val="-986782648"/>
        <w:lock w:val="sdtLocked"/>
      </w:sdtPr>
      <w:sdtEndPr/>
      <w:sdtContent>
        <w:p w:rsidR="004255D7" w:rsidRDefault="00322D58" w14:paraId="062731DC" w14:textId="395CCE4A">
          <w:pPr>
            <w:pStyle w:val="Frslagstext"/>
          </w:pPr>
          <w:r>
            <w:t>Riksdagen beslutar att avslå den del av förslaget till ny lag om tobak och liknande produkter som avser 5 kap. 14 § 3 om att portionsförpackat snus ska innehålla minst 20 portioner.</w:t>
          </w:r>
        </w:p>
      </w:sdtContent>
    </w:sdt>
    <w:bookmarkStart w:name="MotionsStart" w:displacedByCustomXml="next" w:id="0"/>
    <w:bookmarkEnd w:displacedByCustomXml="next" w:id="0"/>
    <w:sdt>
      <w:sdtPr>
        <w:alias w:val="CC_Motivering_Rubrik"/>
        <w:tag w:val="CC_Motivering_Rubrik"/>
        <w:id w:val="1433397530"/>
        <w:lock w:val="sdtLocked"/>
        <w:placeholder>
          <w:docPart w:val="56947E4CEFAB49238774BB23BE62B8D3"/>
        </w:placeholder>
        <w15:appearance w15:val="hidden"/>
        <w:text/>
      </w:sdtPr>
      <w:sdtEndPr/>
      <w:sdtContent>
        <w:p w:rsidRPr="009B062B" w:rsidR="006D79C9" w:rsidP="00333E95" w:rsidRDefault="006D79C9" w14:paraId="062731DD" w14:textId="77777777">
          <w:pPr>
            <w:pStyle w:val="Rubrik1"/>
          </w:pPr>
          <w:r>
            <w:t>Motivering</w:t>
          </w:r>
        </w:p>
      </w:sdtContent>
    </w:sdt>
    <w:p w:rsidR="008634EB" w:rsidP="008634EB" w:rsidRDefault="008634EB" w14:paraId="062731DE" w14:textId="4430156D">
      <w:pPr>
        <w:pStyle w:val="Normalutanindragellerluft"/>
      </w:pPr>
      <w:r>
        <w:t>Tobaksrök</w:t>
      </w:r>
      <w:r w:rsidR="00D84010">
        <w:t xml:space="preserve">ning är ett av världens </w:t>
      </w:r>
      <w:r w:rsidR="002A6032">
        <w:t>allvarligaste</w:t>
      </w:r>
      <w:r>
        <w:t xml:space="preserve"> folkhälsoproblem</w:t>
      </w:r>
      <w:r w:rsidR="002A6032">
        <w:t>. Det</w:t>
      </w:r>
      <w:r w:rsidR="00A13A00">
        <w:t xml:space="preserve"> </w:t>
      </w:r>
      <w:r w:rsidR="003550F6">
        <w:t>beskrivs</w:t>
      </w:r>
      <w:r w:rsidR="00A13A00">
        <w:t xml:space="preserve"> av Världshälsoorganisationen</w:t>
      </w:r>
      <w:r w:rsidR="003550F6">
        <w:t xml:space="preserve"> </w:t>
      </w:r>
      <w:r w:rsidR="00381122">
        <w:t>som</w:t>
      </w:r>
      <w:r>
        <w:t xml:space="preserve"> en </w:t>
      </w:r>
      <w:r w:rsidR="002A6032">
        <w:t>global</w:t>
      </w:r>
      <w:r w:rsidR="002839C4">
        <w:t xml:space="preserve"> epidemi som årligen orsakar</w:t>
      </w:r>
      <w:r>
        <w:t xml:space="preserve"> </w:t>
      </w:r>
      <w:r w:rsidR="00B256F1">
        <w:t xml:space="preserve">ungefär </w:t>
      </w:r>
      <w:r>
        <w:t>5,4 miljoner människor</w:t>
      </w:r>
      <w:r w:rsidR="00381122">
        <w:t>s död.</w:t>
      </w:r>
      <w:r>
        <w:t xml:space="preserve"> Tobaksbruk är den ledande påverkningsbara dödsorsaken i höginkomstländer och flera studier har visat en betydande koppling mellan </w:t>
      </w:r>
      <w:r w:rsidR="00D84010">
        <w:t>tobaks</w:t>
      </w:r>
      <w:r>
        <w:t>rökning och sjukdom.</w:t>
      </w:r>
      <w:r w:rsidR="00B256F1">
        <w:rPr>
          <w:rStyle w:val="Fotnotsreferens"/>
        </w:rPr>
        <w:footnoteReference w:id="1"/>
      </w:r>
    </w:p>
    <w:p w:rsidR="008634EB" w:rsidP="008634EB" w:rsidRDefault="008634EB" w14:paraId="062731DF" w14:textId="2773C5E9">
      <w:r>
        <w:t>Det har genomförts beräkningar av de samhällsekonomiska kostnade</w:t>
      </w:r>
      <w:r w:rsidR="002839C4">
        <w:t>rna för</w:t>
      </w:r>
      <w:r w:rsidR="00B256F1">
        <w:t xml:space="preserve"> tobaksrökning</w:t>
      </w:r>
      <w:r>
        <w:t>. Enligt studiens beräkningar uppgick de totala samhällsekonomiska kostnaderna för rökning till 31,</w:t>
      </w:r>
      <w:r w:rsidR="003550F6">
        <w:t xml:space="preserve">5 miljarder kronor 2015. </w:t>
      </w:r>
      <w:r>
        <w:t>Hjärt- och kärlsjukdom var den rökningsrelaterade sjukdomsgrupp som utgjorde</w:t>
      </w:r>
      <w:r w:rsidR="002839C4">
        <w:t xml:space="preserve"> den</w:t>
      </w:r>
      <w:r>
        <w:t xml:space="preserve"> störst</w:t>
      </w:r>
      <w:r w:rsidR="001D6E6A">
        <w:t>a</w:t>
      </w:r>
      <w:bookmarkStart w:name="_GoBack" w:id="1"/>
      <w:bookmarkEnd w:id="1"/>
      <w:r>
        <w:t xml:space="preserve"> andel</w:t>
      </w:r>
      <w:r w:rsidR="002839C4">
        <w:t>en</w:t>
      </w:r>
      <w:r>
        <w:t xml:space="preserve"> av kostnaderna och beräkn</w:t>
      </w:r>
      <w:r w:rsidR="00CB6B00">
        <w:t>ades till 7,6 miljarder kronor.</w:t>
      </w:r>
      <w:r w:rsidR="00B256F1">
        <w:rPr>
          <w:rStyle w:val="Fotnotsreferens"/>
        </w:rPr>
        <w:footnoteReference w:id="2"/>
      </w:r>
    </w:p>
    <w:p w:rsidR="008634EB" w:rsidP="008634EB" w:rsidRDefault="008634EB" w14:paraId="062731E0" w14:textId="1B3BF3C5">
      <w:r>
        <w:t>C</w:t>
      </w:r>
      <w:r w:rsidR="00D84010">
        <w:t>ancer beräknades generera ungefär</w:t>
      </w:r>
      <w:r>
        <w:t xml:space="preserve"> lika höga kostnader och svarade för 7,1 miljarder kronor. Den rökningsrelaterade </w:t>
      </w:r>
      <w:r>
        <w:lastRenderedPageBreak/>
        <w:t>sjukdom som enskilt svarade för störst andel av de totala kostnaderna var lungcancer som beräknades uppgå till 3,6 miljarder kronor. Den största kostnadsposten var bortfall i marknadsproduktion följt av sjukvårdskostnaderna. Nio av tio fall av lungcancer är relaterad</w:t>
      </w:r>
      <w:r w:rsidR="002839C4">
        <w:t>e</w:t>
      </w:r>
      <w:r>
        <w:t xml:space="preserve"> till tobaksrökning.</w:t>
      </w:r>
    </w:p>
    <w:p w:rsidR="00D679EC" w:rsidP="00E0428C" w:rsidRDefault="008634EB" w14:paraId="062731E1" w14:textId="3E82DC75">
      <w:r>
        <w:t>I regeringens ANDT-strategi för perioden 2016–</w:t>
      </w:r>
      <w:r w:rsidR="00D84010">
        <w:t>2020 ställer sig regeringen</w:t>
      </w:r>
      <w:r>
        <w:t xml:space="preserve"> bakom målet om ett rök</w:t>
      </w:r>
      <w:r w:rsidR="0006365E">
        <w:t>fritt Sverige till</w:t>
      </w:r>
      <w:r>
        <w:t xml:space="preserve"> 2025.</w:t>
      </w:r>
      <w:r w:rsidR="00B256F1">
        <w:rPr>
          <w:rStyle w:val="Fotnotsreferens"/>
        </w:rPr>
        <w:footnoteReference w:id="3"/>
      </w:r>
      <w:r>
        <w:t xml:space="preserve"> Det innebär en utfasning av </w:t>
      </w:r>
      <w:r w:rsidR="00D84010">
        <w:t>tobaks</w:t>
      </w:r>
      <w:r w:rsidR="00A27B94">
        <w:t>rökning</w:t>
      </w:r>
      <w:r>
        <w:t xml:space="preserve"> i Sverige och målet är att mindre än </w:t>
      </w:r>
      <w:r w:rsidR="0006365E">
        <w:t>5</w:t>
      </w:r>
      <w:r>
        <w:t xml:space="preserve"> procent av befolkningen då röker</w:t>
      </w:r>
      <w:r w:rsidR="00B256F1">
        <w:t>. Det är en nivå som kommer</w:t>
      </w:r>
      <w:r w:rsidR="0006365E">
        <w:t xml:space="preserve"> att</w:t>
      </w:r>
      <w:r w:rsidR="00B256F1">
        <w:t xml:space="preserve"> medföra att rökningen blir ett </w:t>
      </w:r>
      <w:r>
        <w:t xml:space="preserve">mindre dominerande folkhälsoproblem. </w:t>
      </w:r>
    </w:p>
    <w:p w:rsidR="00E0428C" w:rsidP="00E0428C" w:rsidRDefault="008634EB" w14:paraId="062731E2" w14:textId="416651DD">
      <w:r>
        <w:t>Mer än varann</w:t>
      </w:r>
      <w:r w:rsidR="00A933FE">
        <w:t xml:space="preserve">an rökare avlider till </w:t>
      </w:r>
      <w:r w:rsidR="00B256F1">
        <w:t>följd av sin to</w:t>
      </w:r>
      <w:r>
        <w:t>baksrökning och i genoms</w:t>
      </w:r>
      <w:r w:rsidR="00A27B94">
        <w:t>nitt förkortar tobaksrökning</w:t>
      </w:r>
      <w:r>
        <w:t xml:space="preserve"> var</w:t>
      </w:r>
      <w:r w:rsidR="00A27B94">
        <w:t xml:space="preserve">je rökares </w:t>
      </w:r>
      <w:r>
        <w:t>liv</w:t>
      </w:r>
      <w:r w:rsidR="00A27B94">
        <w:t xml:space="preserve"> med</w:t>
      </w:r>
      <w:r w:rsidR="003550F6">
        <w:t xml:space="preserve"> ungefär</w:t>
      </w:r>
      <w:r w:rsidR="00A27B94">
        <w:t xml:space="preserve"> tio år</w:t>
      </w:r>
      <w:r>
        <w:t>.</w:t>
      </w:r>
      <w:r w:rsidR="00E0428C">
        <w:rPr>
          <w:rStyle w:val="Fotnotsreferens"/>
        </w:rPr>
        <w:footnoteReference w:id="4"/>
      </w:r>
      <w:r>
        <w:t xml:space="preserve"> Att minska </w:t>
      </w:r>
      <w:r w:rsidR="00B256F1">
        <w:t>tobaksrökningen kommer</w:t>
      </w:r>
      <w:r w:rsidR="0006365E">
        <w:t xml:space="preserve"> att</w:t>
      </w:r>
      <w:r w:rsidR="00B256F1">
        <w:t xml:space="preserve"> leda till omfattande positiva effekter </w:t>
      </w:r>
      <w:r w:rsidR="00A933FE">
        <w:t>på individnivå och för</w:t>
      </w:r>
      <w:r w:rsidR="00B256F1">
        <w:t xml:space="preserve"> den totala folkhälsan</w:t>
      </w:r>
      <w:r>
        <w:t>.</w:t>
      </w:r>
    </w:p>
    <w:p w:rsidR="00E0428C" w:rsidP="008634EB" w:rsidRDefault="00E0428C" w14:paraId="062731E3" w14:textId="59012BF7">
      <w:r>
        <w:t xml:space="preserve">En </w:t>
      </w:r>
      <w:r w:rsidR="0044179B">
        <w:t xml:space="preserve">internationell </w:t>
      </w:r>
      <w:r>
        <w:t>analys som sammanställt</w:t>
      </w:r>
      <w:r w:rsidRPr="00E0428C">
        <w:t xml:space="preserve"> 88 genomförda studier med närmare </w:t>
      </w:r>
      <w:r>
        <w:t xml:space="preserve">6 miljoner deltagare </w:t>
      </w:r>
      <w:r w:rsidR="0006365E">
        <w:t>visar bl.a.</w:t>
      </w:r>
      <w:r w:rsidRPr="00E0428C">
        <w:t xml:space="preserve"> att rökare löper 37 procent högre risk att drabbas av diabetes typ 2. Personer som </w:t>
      </w:r>
      <w:r w:rsidR="003935C0">
        <w:t xml:space="preserve">konsekvent </w:t>
      </w:r>
      <w:r w:rsidRPr="00E0428C">
        <w:t>utsätts för passiv rökning löper 22 procent högre risk att drabbas av diabetes typ 2. Ju mer en person röker</w:t>
      </w:r>
      <w:r w:rsidR="0006365E">
        <w:t>,</w:t>
      </w:r>
      <w:r w:rsidRPr="00E0428C">
        <w:t xml:space="preserve"> desto högre risk.</w:t>
      </w:r>
      <w:r>
        <w:rPr>
          <w:rStyle w:val="Fotnotsreferens"/>
        </w:rPr>
        <w:footnoteReference w:id="5"/>
      </w:r>
    </w:p>
    <w:p w:rsidR="001B43DE" w:rsidP="008634EB" w:rsidRDefault="00B8069B" w14:paraId="062731E4" w14:textId="3737721C">
      <w:r>
        <w:lastRenderedPageBreak/>
        <w:t>Den långsiktiga u</w:t>
      </w:r>
      <w:r w:rsidRPr="00B8069B">
        <w:t>tvecklingen</w:t>
      </w:r>
      <w:r w:rsidR="003935C0">
        <w:t xml:space="preserve"> i Sverige</w:t>
      </w:r>
      <w:r w:rsidRPr="00B8069B">
        <w:t xml:space="preserve"> är att andelen dagligrökare</w:t>
      </w:r>
      <w:r w:rsidR="003935C0">
        <w:t xml:space="preserve"> </w:t>
      </w:r>
      <w:r w:rsidRPr="00B8069B">
        <w:t xml:space="preserve">minskar stadigt över tid och </w:t>
      </w:r>
      <w:r>
        <w:t xml:space="preserve">att färre unga börjar </w:t>
      </w:r>
      <w:r w:rsidR="005A5987">
        <w:t>röka</w:t>
      </w:r>
      <w:r w:rsidRPr="00B8069B">
        <w:t>.</w:t>
      </w:r>
      <w:r w:rsidR="000349C2">
        <w:t xml:space="preserve"> </w:t>
      </w:r>
      <w:r w:rsidRPr="00B8069B">
        <w:t xml:space="preserve">Det räcker emellertid inte. Fler </w:t>
      </w:r>
      <w:r w:rsidR="003935C0">
        <w:t>konkreta åtgärder krävs</w:t>
      </w:r>
      <w:r>
        <w:t xml:space="preserve"> för att motverka </w:t>
      </w:r>
      <w:r w:rsidR="005A5987">
        <w:t>att</w:t>
      </w:r>
      <w:r w:rsidR="00A434F5">
        <w:t xml:space="preserve"> </w:t>
      </w:r>
      <w:r>
        <w:t>människor</w:t>
      </w:r>
      <w:r w:rsidR="001C4E07">
        <w:t xml:space="preserve"> blir sjuka eller avlider </w:t>
      </w:r>
      <w:r w:rsidR="00A434F5">
        <w:t>a</w:t>
      </w:r>
      <w:r w:rsidR="00FA2EBF">
        <w:t>v tobaksrökning, s</w:t>
      </w:r>
      <w:r w:rsidRPr="00B8069B">
        <w:t xml:space="preserve">amtidigt </w:t>
      </w:r>
      <w:r w:rsidR="001C4E07">
        <w:t xml:space="preserve">som </w:t>
      </w:r>
      <w:r w:rsidRPr="00B8069B">
        <w:t>individ</w:t>
      </w:r>
      <w:r w:rsidR="001C4E07">
        <w:t xml:space="preserve">en själv har ett </w:t>
      </w:r>
      <w:r w:rsidRPr="00B8069B">
        <w:t>ansvar</w:t>
      </w:r>
      <w:r w:rsidR="001C4E07">
        <w:t xml:space="preserve"> för </w:t>
      </w:r>
      <w:r w:rsidRPr="00B8069B">
        <w:t>sitt beslut att röka.</w:t>
      </w:r>
    </w:p>
    <w:p w:rsidR="0086766A" w:rsidP="0086766A" w:rsidRDefault="00CA2F09" w14:paraId="062731E5" w14:textId="77777777">
      <w:r>
        <w:t>En stor</w:t>
      </w:r>
      <w:r w:rsidR="0086766A">
        <w:t xml:space="preserve"> brist i </w:t>
      </w:r>
      <w:r>
        <w:t>den nuvarande och föreslagna tobaks</w:t>
      </w:r>
      <w:r w:rsidR="0086766A">
        <w:t xml:space="preserve">lagstiftningen och </w:t>
      </w:r>
      <w:r w:rsidR="001C4E07">
        <w:t xml:space="preserve">den </w:t>
      </w:r>
      <w:r w:rsidR="0086766A">
        <w:t>gällande ANDT-strategin är emellertid att det inte dras en tydlig skiljelinje m</w:t>
      </w:r>
      <w:r w:rsidR="00C31884">
        <w:t>ellan tobaksrökning och bruk av snus. Det är viktigt att förstå</w:t>
      </w:r>
      <w:r w:rsidR="00395CC8">
        <w:t xml:space="preserve"> att tobaksrökning och bruk av snus</w:t>
      </w:r>
      <w:r w:rsidR="0086766A">
        <w:t xml:space="preserve"> inte alls går att jämställa med varandra vad avser farlighet och risker för liv och hälsa.</w:t>
      </w:r>
      <w:r>
        <w:t xml:space="preserve"> </w:t>
      </w:r>
      <w:r w:rsidRPr="00FC797A" w:rsidR="0086766A">
        <w:t xml:space="preserve">Tobaksrökning </w:t>
      </w:r>
      <w:r w:rsidR="0086766A">
        <w:t xml:space="preserve">medverkar till att </w:t>
      </w:r>
      <w:r w:rsidRPr="00FC797A" w:rsidR="0086766A">
        <w:t>omkring 12 000 människor i Sverige</w:t>
      </w:r>
      <w:r w:rsidR="0086766A">
        <w:t xml:space="preserve"> dör i onödan, varje år.</w:t>
      </w:r>
      <w:r w:rsidR="0086766A">
        <w:rPr>
          <w:rStyle w:val="Fotnotsreferens"/>
        </w:rPr>
        <w:footnoteReference w:id="6"/>
      </w:r>
    </w:p>
    <w:p w:rsidR="00E73BFD" w:rsidP="007C66C7" w:rsidRDefault="000F72B4" w14:paraId="062731E6" w14:textId="77777777">
      <w:pPr>
        <w:pStyle w:val="Rubrik2"/>
      </w:pPr>
      <w:r>
        <w:t>Ett utvidgat rökförbud</w:t>
      </w:r>
    </w:p>
    <w:p w:rsidR="008A2FC9" w:rsidP="000F72B4" w:rsidRDefault="00310CF5" w14:paraId="062731E7" w14:textId="2EA84825">
      <w:pPr>
        <w:pStyle w:val="Normalutanindragellerluft"/>
      </w:pPr>
      <w:r>
        <w:t xml:space="preserve">Ett </w:t>
      </w:r>
      <w:r w:rsidR="008A2FC9">
        <w:t>förslag om</w:t>
      </w:r>
      <w:r w:rsidR="00FA2EBF">
        <w:t xml:space="preserve"> ett</w:t>
      </w:r>
      <w:r w:rsidR="008A2FC9">
        <w:t xml:space="preserve"> </w:t>
      </w:r>
      <w:r>
        <w:t>utvidgat rökförbud ska ses mot bakgrund av det stora folkhälsoproblem so</w:t>
      </w:r>
      <w:r w:rsidR="00D416B7">
        <w:t>m tobaksrökning orsakar varje dag i många människors vardag</w:t>
      </w:r>
      <w:r w:rsidR="00FA2EBF">
        <w:t xml:space="preserve"> och mot</w:t>
      </w:r>
      <w:r>
        <w:t xml:space="preserve"> </w:t>
      </w:r>
      <w:r w:rsidR="00FA2EBF">
        <w:t xml:space="preserve">bakgrund av </w:t>
      </w:r>
      <w:r w:rsidR="00D416B7">
        <w:t>den ambiti</w:t>
      </w:r>
      <w:r w:rsidR="00FA2EBF">
        <w:t>on som finns att med bl.a.</w:t>
      </w:r>
      <w:r w:rsidR="00D416B7">
        <w:t xml:space="preserve"> </w:t>
      </w:r>
      <w:r w:rsidR="008335B1">
        <w:t xml:space="preserve">förebyggande </w:t>
      </w:r>
      <w:r w:rsidR="00D416B7">
        <w:t>insatser försöka förbättra den generella folkhälsan i Sverige.</w:t>
      </w:r>
    </w:p>
    <w:p w:rsidR="000F72B4" w:rsidP="008A2FC9" w:rsidRDefault="00975B2B" w14:paraId="062731E8" w14:textId="78899EEE">
      <w:r>
        <w:t>Vi</w:t>
      </w:r>
      <w:r w:rsidR="00310CF5">
        <w:t xml:space="preserve"> </w:t>
      </w:r>
      <w:r w:rsidR="00FA2EBF">
        <w:t>stöd</w:t>
      </w:r>
      <w:r w:rsidR="00310CF5">
        <w:t>er regeringens</w:t>
      </w:r>
      <w:r w:rsidR="00FA2EBF">
        <w:t xml:space="preserve"> förslag om ett</w:t>
      </w:r>
      <w:r w:rsidR="006745C2">
        <w:t xml:space="preserve"> </w:t>
      </w:r>
      <w:r w:rsidR="00310CF5">
        <w:t>utvidgat rökförbud som omfattar inhägnade platser avsedda för idrottsutövning</w:t>
      </w:r>
      <w:r w:rsidR="006745C2">
        <w:t xml:space="preserve">, </w:t>
      </w:r>
      <w:r w:rsidR="006745C2">
        <w:lastRenderedPageBreak/>
        <w:t>lekplatser som allmänheten har tillträde till, områden utomhus som är avsedda att användas av den som reser med färdmedel i inrikes kollektivtrafik</w:t>
      </w:r>
      <w:r w:rsidR="00D416B7">
        <w:t xml:space="preserve"> såsom busshållplatser och perronger</w:t>
      </w:r>
      <w:r w:rsidR="006745C2">
        <w:t>, entréer till rökfria lokaler och andra utrymmen som allmänheten har tillträde till.</w:t>
      </w:r>
    </w:p>
    <w:p w:rsidR="006745C2" w:rsidP="008A2FC9" w:rsidRDefault="00975B2B" w14:paraId="062731E9" w14:textId="380E82F4">
      <w:r>
        <w:t xml:space="preserve">Vi </w:t>
      </w:r>
      <w:r w:rsidR="006745C2">
        <w:t xml:space="preserve">avvisar däremot regeringens </w:t>
      </w:r>
      <w:r w:rsidR="00D416B7">
        <w:t>förslag</w:t>
      </w:r>
      <w:r w:rsidR="00FA2EBF">
        <w:t xml:space="preserve"> om</w:t>
      </w:r>
      <w:r w:rsidR="00D416B7">
        <w:t xml:space="preserve"> att utvidga rökförbude</w:t>
      </w:r>
      <w:r w:rsidR="00FA2EBF">
        <w:t>t till att omfatta produkter så</w:t>
      </w:r>
      <w:r w:rsidR="00D416B7">
        <w:t>som elektroniska cigaretter och påfyllningsbehållare, örtprodukter för rökning och njutningsmedel som till användningssättet motsvarar rökning men som inte innehåller tobak.</w:t>
      </w:r>
      <w:r w:rsidR="00BA4911">
        <w:t xml:space="preserve"> Dessa produkters farlighet gällande liv och hälsa står inte alls i proportion till tobaksrökning</w:t>
      </w:r>
      <w:r w:rsidR="0012254C">
        <w:t>ens skadeverkningar</w:t>
      </w:r>
      <w:r w:rsidR="00BA4911">
        <w:t>.</w:t>
      </w:r>
    </w:p>
    <w:p w:rsidR="00D416B7" w:rsidP="008A2FC9" w:rsidRDefault="00975B2B" w14:paraId="062731EA" w14:textId="4B9A5648">
      <w:r>
        <w:t>Vi</w:t>
      </w:r>
      <w:r w:rsidR="00D416B7">
        <w:t xml:space="preserve"> avvisar äv</w:t>
      </w:r>
      <w:r w:rsidR="009B7C75">
        <w:t>en regeringens förslag</w:t>
      </w:r>
      <w:r w:rsidR="00FA2EBF">
        <w:t xml:space="preserve"> om</w:t>
      </w:r>
      <w:r w:rsidR="009B7C75">
        <w:t xml:space="preserve"> </w:t>
      </w:r>
      <w:r w:rsidR="00D416B7">
        <w:t>att i den nya lagen om tobak och liknande</w:t>
      </w:r>
      <w:r w:rsidR="00380F2A">
        <w:t xml:space="preserve"> produkter ta bort det </w:t>
      </w:r>
      <w:r w:rsidR="00625A83">
        <w:t xml:space="preserve">undantag i den </w:t>
      </w:r>
      <w:r w:rsidR="00380F2A">
        <w:t>nuvarande lagstiftning</w:t>
      </w:r>
      <w:r w:rsidR="00625A83">
        <w:t xml:space="preserve">en som innebär </w:t>
      </w:r>
      <w:r w:rsidR="009B7C75">
        <w:t xml:space="preserve">att </w:t>
      </w:r>
      <w:r w:rsidR="00D416B7">
        <w:t>rökning</w:t>
      </w:r>
      <w:r w:rsidR="009B7C75">
        <w:t xml:space="preserve"> är tillåten</w:t>
      </w:r>
      <w:r w:rsidR="00D416B7">
        <w:t xml:space="preserve"> </w:t>
      </w:r>
      <w:r w:rsidR="009B7C75">
        <w:t>när servering sker utomhus</w:t>
      </w:r>
      <w:r w:rsidR="00D416B7">
        <w:t>.</w:t>
      </w:r>
      <w:r w:rsidR="009B7C75">
        <w:t xml:space="preserve"> </w:t>
      </w:r>
      <w:r w:rsidR="00395CC8">
        <w:t>Vi anser inte att det finns tillräckligt tungt vägande skäl att med lagstiftning tvinga restauranger att förbjuda sina gäster att kunna röka vid servering utomhus.</w:t>
      </w:r>
      <w:r w:rsidR="0068752F">
        <w:t xml:space="preserve"> Det handlar inte minst om de svårigheter som kan uppstå vad gäller upprätthållandet av ett förbud i en miljö som både är svår att avgränsa och där många – inte sällan berusade – människor vistas samtidigt, vilket också Lagrådet påpekar. </w:t>
      </w:r>
      <w:r w:rsidR="00380F2A">
        <w:t>Vi se</w:t>
      </w:r>
      <w:r w:rsidR="00395CC8">
        <w:t xml:space="preserve">r emellertid </w:t>
      </w:r>
      <w:r w:rsidR="00380F2A">
        <w:t xml:space="preserve">gärna </w:t>
      </w:r>
      <w:r w:rsidR="0012254C">
        <w:t xml:space="preserve">fortsatta </w:t>
      </w:r>
      <w:r w:rsidR="008335B1">
        <w:t xml:space="preserve">frivilliga </w:t>
      </w:r>
      <w:r w:rsidR="00395CC8">
        <w:t>lösningar kring hur re</w:t>
      </w:r>
      <w:r w:rsidR="00380F2A">
        <w:t xml:space="preserve">stauranger </w:t>
      </w:r>
      <w:r w:rsidR="008335B1">
        <w:t xml:space="preserve">också </w:t>
      </w:r>
      <w:r w:rsidR="00395CC8">
        <w:t>ska kunna erbjuda si</w:t>
      </w:r>
      <w:r w:rsidR="008335B1">
        <w:t xml:space="preserve">na gäster rökfria miljöer </w:t>
      </w:r>
      <w:r w:rsidR="00395CC8">
        <w:t>utomhus.</w:t>
      </w:r>
    </w:p>
    <w:p w:rsidR="001D75B0" w:rsidP="000F72B4" w:rsidRDefault="00395CC8" w14:paraId="062731EB" w14:textId="1307B44D">
      <w:r>
        <w:lastRenderedPageBreak/>
        <w:t>Frågan om</w:t>
      </w:r>
      <w:r w:rsidR="00625A83">
        <w:t xml:space="preserve"> ett</w:t>
      </w:r>
      <w:r>
        <w:t xml:space="preserve"> utvidgat rökförbud måste ses i ett bredare sammanhang. Tobaksrökning är </w:t>
      </w:r>
      <w:r w:rsidR="00F60325">
        <w:t>oerhört</w:t>
      </w:r>
      <w:r w:rsidR="00380F2A">
        <w:t xml:space="preserve"> </w:t>
      </w:r>
      <w:r>
        <w:t>skadligt. Vi ins</w:t>
      </w:r>
      <w:r w:rsidR="00625A83">
        <w:t>er vikten av att med bl.a.</w:t>
      </w:r>
      <w:r>
        <w:t xml:space="preserve"> normer, regler och lagar påverka </w:t>
      </w:r>
      <w:r w:rsidR="001F112C">
        <w:t>framför</w:t>
      </w:r>
      <w:r w:rsidR="00625A83">
        <w:t xml:space="preserve"> </w:t>
      </w:r>
      <w:r w:rsidR="001F112C">
        <w:t xml:space="preserve">allt </w:t>
      </w:r>
      <w:r>
        <w:t>framtida generationers b</w:t>
      </w:r>
      <w:r w:rsidR="001C3A15">
        <w:t xml:space="preserve">eteende avseende tobaksrökning. </w:t>
      </w:r>
      <w:r>
        <w:t>Vi anser</w:t>
      </w:r>
      <w:r w:rsidR="001F112C">
        <w:t xml:space="preserve"> </w:t>
      </w:r>
      <w:r w:rsidR="001C3A15">
        <w:t xml:space="preserve">samtidigt </w:t>
      </w:r>
      <w:r>
        <w:t>att det är st</w:t>
      </w:r>
      <w:r w:rsidR="00F60325">
        <w:t>or skillnad mellan ett undantag för rökning vid uteserveringar</w:t>
      </w:r>
      <w:r w:rsidR="00380F2A">
        <w:t xml:space="preserve"> i jämförelse med </w:t>
      </w:r>
      <w:r w:rsidR="008335B1">
        <w:t>l</w:t>
      </w:r>
      <w:r>
        <w:t>ekplatser och inhägnade områden avsedda för idrottsutövning.</w:t>
      </w:r>
      <w:r w:rsidR="00F60325">
        <w:t xml:space="preserve"> Barn vistas naturligt hela tiden i och omkring lekplatser och utövar idrott vid idrottsplatser. </w:t>
      </w:r>
      <w:r w:rsidRPr="001D75B0" w:rsidR="001D75B0">
        <w:t>Däremot är krog</w:t>
      </w:r>
      <w:r w:rsidR="001D75B0">
        <w:t xml:space="preserve">- och restaurangmiljöer inte en lika naturlig plats </w:t>
      </w:r>
      <w:r w:rsidRPr="001D75B0" w:rsidR="001D75B0">
        <w:t>för barn att vistas i. Därutöver ska barn inte befinna sig nattetid i dessa miljöer</w:t>
      </w:r>
      <w:r w:rsidR="008A081B">
        <w:t xml:space="preserve">. </w:t>
      </w:r>
    </w:p>
    <w:p w:rsidR="000F72B4" w:rsidP="000F72B4" w:rsidRDefault="0012254C" w14:paraId="062731EC" w14:textId="7B9212B3">
      <w:r>
        <w:t>Ett flertal remissinstanser påpekar att det finns betydande gränsdragningsproblem gällande ett utvidgat rökförbud.</w:t>
      </w:r>
      <w:r w:rsidR="005A007B">
        <w:rPr>
          <w:rStyle w:val="Fotnotsreferens"/>
        </w:rPr>
        <w:footnoteReference w:id="7"/>
      </w:r>
      <w:r>
        <w:t xml:space="preserve"> Vi delar den uppfattningen. Regeringen behöve</w:t>
      </w:r>
      <w:r w:rsidR="00625A83">
        <w:t>r beakta och väga in bl.a.</w:t>
      </w:r>
      <w:r>
        <w:t xml:space="preserve"> Folkhälsomyndigheten, Kammarrätten i Stockholm och Lagrådets synpunkter om att gränsdragningen avseende rökförbud vid entréer till rökfria lokaler samt lekplatser inte är tillräckligt precisa för att kunna genomföras på ett korrekt sätt. </w:t>
      </w:r>
      <w:r w:rsidR="000356F0">
        <w:t xml:space="preserve"> </w:t>
      </w:r>
    </w:p>
    <w:p w:rsidR="000F72B4" w:rsidP="000F72B4" w:rsidRDefault="00C15082" w14:paraId="062731ED" w14:textId="44F13267">
      <w:r>
        <w:t>Samtidigt ger</w:t>
      </w:r>
      <w:r w:rsidR="0012254C">
        <w:t xml:space="preserve"> en internationell utblick </w:t>
      </w:r>
      <w:r w:rsidR="00625A83">
        <w:t>vid handen att rökförbud vid</w:t>
      </w:r>
      <w:r>
        <w:t xml:space="preserve"> allmänna platser går att genomföra. I New York är exempe</w:t>
      </w:r>
      <w:r w:rsidR="00625A83">
        <w:t>lvis tobaksrökning förbjuden i</w:t>
      </w:r>
      <w:r>
        <w:t xml:space="preserve"> flera offentliga miljöer såsom parker och badstränder. Likaledes gäller detta i Los </w:t>
      </w:r>
      <w:r>
        <w:lastRenderedPageBreak/>
        <w:t>Angeles. I Lettland måste rökare släcka sina cigaretter när de blir tillsagda.</w:t>
      </w:r>
    </w:p>
    <w:p w:rsidR="00C15082" w:rsidP="000F72B4" w:rsidRDefault="00C15082" w14:paraId="062731EE" w14:textId="1D054946">
      <w:r>
        <w:t>Vi kan även konstatera att efterlevnaden av rökförbudet avseende restau</w:t>
      </w:r>
      <w:r w:rsidR="00625A83">
        <w:t>ranger i Sverige och förbudet mot att</w:t>
      </w:r>
      <w:r>
        <w:t xml:space="preserve"> röka i lokaler avsedda för barnomsorg, skolverksamhet eller hälso- och sjukvård normalt respekteras på ett bra sätt. Det finns alltid undantag och när dessa uppstår går det nästan alltid att hantera på ett smidigt sätt.</w:t>
      </w:r>
    </w:p>
    <w:p w:rsidR="00C15082" w:rsidP="000F72B4" w:rsidRDefault="00C15082" w14:paraId="062731EF" w14:textId="22CB1FD8">
      <w:r>
        <w:t xml:space="preserve">Lagrådet </w:t>
      </w:r>
      <w:r w:rsidR="007670CA">
        <w:t xml:space="preserve">har </w:t>
      </w:r>
      <w:r w:rsidR="00FA2D19">
        <w:t xml:space="preserve">därtill framfört </w:t>
      </w:r>
      <w:r>
        <w:t>synpunkter</w:t>
      </w:r>
      <w:r w:rsidR="007670CA">
        <w:t xml:space="preserve"> gällande efterlevnaden av ett utvidgat rökförbud</w:t>
      </w:r>
      <w:r w:rsidR="00625A83">
        <w:t>, s</w:t>
      </w:r>
      <w:r>
        <w:t>om vi dock anser minskar betydligt i värde om regeringen följer vårt förslag att bibehålla undantaget med att tillåta rök</w:t>
      </w:r>
      <w:r w:rsidR="00625A83">
        <w:t xml:space="preserve">ning vid servering utomhus. </w:t>
      </w:r>
      <w:r>
        <w:t xml:space="preserve">Lagrådet anser att där det främst finns risk att det uppstår svårigheter att upprätthålla efterlevnaden av rökförbudet rör situationer som kan uppstå kvälls- och nattetid </w:t>
      </w:r>
      <w:r w:rsidR="0008359E">
        <w:t xml:space="preserve">på gator och trottoarer i närheten av entréer till </w:t>
      </w:r>
      <w:r w:rsidR="00625A83">
        <w:t>bl.a.</w:t>
      </w:r>
      <w:r w:rsidR="001D75B0">
        <w:t xml:space="preserve"> </w:t>
      </w:r>
      <w:r w:rsidR="0008359E">
        <w:t>restauranger och krogar.</w:t>
      </w:r>
    </w:p>
    <w:p w:rsidR="000F72B4" w:rsidP="000F72B4" w:rsidRDefault="000F72B4" w14:paraId="062731F0" w14:textId="77777777">
      <w:pPr>
        <w:pStyle w:val="Rubrik2"/>
      </w:pPr>
      <w:r>
        <w:t>Tydlig åtskillnad m</w:t>
      </w:r>
      <w:r w:rsidR="00395CC8">
        <w:t>ellan tobaksrökning och bruk av snus</w:t>
      </w:r>
    </w:p>
    <w:p w:rsidR="006A0459" w:rsidP="000F72B4" w:rsidRDefault="007670CA" w14:paraId="062731F1" w14:textId="77777777">
      <w:pPr>
        <w:pStyle w:val="Normalutanindragellerluft"/>
      </w:pPr>
      <w:r>
        <w:t xml:space="preserve">Det krävs ett </w:t>
      </w:r>
      <w:r w:rsidR="001F61D3">
        <w:t xml:space="preserve">tydligt </w:t>
      </w:r>
      <w:r>
        <w:t>skifte i</w:t>
      </w:r>
      <w:r w:rsidR="001F61D3">
        <w:t>nom</w:t>
      </w:r>
      <w:r>
        <w:t xml:space="preserve"> </w:t>
      </w:r>
      <w:r w:rsidR="006A0459">
        <w:t xml:space="preserve">nuvarande </w:t>
      </w:r>
      <w:r>
        <w:t xml:space="preserve">svensk tobakspolitik. </w:t>
      </w:r>
      <w:r w:rsidR="001F61D3">
        <w:t>Såväl n</w:t>
      </w:r>
      <w:r w:rsidR="006A0459">
        <w:t>u gällande tobakslagstiftning som förslag till</w:t>
      </w:r>
      <w:r w:rsidR="001F61D3">
        <w:t xml:space="preserve"> ny tobakslagstiftning samt gällande ANDT-strategi gör ingen </w:t>
      </w:r>
      <w:r w:rsidR="006A0459">
        <w:t>åt</w:t>
      </w:r>
      <w:r w:rsidR="001F61D3">
        <w:t xml:space="preserve">skillnad mellan tobaksrökning och bruk av snus. Detta är inte en rimlig hållning. </w:t>
      </w:r>
    </w:p>
    <w:p w:rsidR="007A61A4" w:rsidP="006A0459" w:rsidRDefault="006A0459" w14:paraId="062731F2" w14:textId="74D3CC85">
      <w:r>
        <w:lastRenderedPageBreak/>
        <w:t>Regeringens förslag till ny tobakslag som bl</w:t>
      </w:r>
      <w:r w:rsidR="00625A83">
        <w:t>.</w:t>
      </w:r>
      <w:r>
        <w:t>a</w:t>
      </w:r>
      <w:r w:rsidR="00625A83">
        <w:t>.</w:t>
      </w:r>
      <w:r>
        <w:t xml:space="preserve"> syftar till att försvåra tillgängligheten av snus är obegriplig satt i relation till dels tobaksrökningens skadeverkningar, dels att många tobaksrökare medvetet väljer att försöka sluta röka genom att i</w:t>
      </w:r>
      <w:r w:rsidR="00625A83">
        <w:t xml:space="preserve"> </w:t>
      </w:r>
      <w:r>
        <w:t>stället använda snus som ett sätt att klara avvänjningen av tobaksrökning.</w:t>
      </w:r>
    </w:p>
    <w:p w:rsidR="006A0459" w:rsidP="006A0459" w:rsidRDefault="006A0459" w14:paraId="062731F3" w14:textId="77777777">
      <w:r>
        <w:t>Det råder inga tvivel om att snus inte är en hälsoprodukt. Det är alldeles självklart bäst för den personliga hälsan att avstå från såväl tobaksrökning som bruk av snus. Men det finns inga vetenskapliga belägg för att snus orsakar cancer. I kontrast till detta är däremot nio av tio lungcancerfall relaterade till tobaksrökning</w:t>
      </w:r>
      <w:r w:rsidR="00C73AEE">
        <w:t>.</w:t>
      </w:r>
      <w:r w:rsidR="00C73AEE">
        <w:rPr>
          <w:rStyle w:val="Fotnotsreferens"/>
        </w:rPr>
        <w:footnoteReference w:id="8"/>
      </w:r>
    </w:p>
    <w:p w:rsidR="00C73AEE" w:rsidP="00C73AEE" w:rsidRDefault="00C73AEE" w14:paraId="062731F4" w14:textId="1D5C3E74">
      <w:r>
        <w:t>Sverige har den lägsta tobaksr</w:t>
      </w:r>
      <w:r w:rsidR="00625A83">
        <w:t>elaterade dödligheten inom E</w:t>
      </w:r>
      <w:r>
        <w:t xml:space="preserve">uropeiska unionen. Det beror till stor del på att vi har lägst andel tobaksrökare av alla länder inom </w:t>
      </w:r>
      <w:r w:rsidR="00625A83">
        <w:t>E</w:t>
      </w:r>
      <w:r>
        <w:t>uropeiska unionen. Det i sin tur är bl</w:t>
      </w:r>
      <w:r w:rsidR="00625A83">
        <w:t>.</w:t>
      </w:r>
      <w:r>
        <w:t>a</w:t>
      </w:r>
      <w:r w:rsidR="00625A83">
        <w:t>.</w:t>
      </w:r>
      <w:r>
        <w:t xml:space="preserve"> en följd av att de flesta svenskar som brukar tobak föredrar snus framför cigaretter, cigarr, cigarill och pipa.</w:t>
      </w:r>
      <w:r w:rsidR="00625A83">
        <w:t xml:space="preserve"> Över 1</w:t>
      </w:r>
      <w:r w:rsidR="00FD69D7">
        <w:t xml:space="preserve"> miljon svenskar snusar dagligen, drygt 800 000 röker varje dag.</w:t>
      </w:r>
    </w:p>
    <w:p w:rsidR="00C73AEE" w:rsidP="00C73AEE" w:rsidRDefault="005A007B" w14:paraId="062731F5" w14:textId="794B8FB7">
      <w:r>
        <w:t>Det är viktigt att se att Sverige samtidigt som vi har läg</w:t>
      </w:r>
      <w:r w:rsidR="00924277">
        <w:t>st andel tobaksrökare inom E</w:t>
      </w:r>
      <w:r>
        <w:t>uropeiska unionen har högst andel personer som har rökt tobak</w:t>
      </w:r>
      <w:r w:rsidR="000B3BE6">
        <w:t xml:space="preserve"> men som</w:t>
      </w:r>
      <w:r w:rsidR="00FA2D19">
        <w:t xml:space="preserve"> har</w:t>
      </w:r>
      <w:r w:rsidR="000B3BE6">
        <w:t xml:space="preserve"> lyckats sluta</w:t>
      </w:r>
      <w:r w:rsidR="00FA2D19">
        <w:t xml:space="preserve"> att röka</w:t>
      </w:r>
      <w:r w:rsidR="00924277">
        <w:t>,</w:t>
      </w:r>
      <w:r>
        <w:rPr>
          <w:rStyle w:val="Fotnotsreferens"/>
        </w:rPr>
        <w:footnoteReference w:id="9"/>
      </w:r>
      <w:r>
        <w:t xml:space="preserve"> </w:t>
      </w:r>
      <w:r w:rsidR="00924277">
        <w:t>i</w:t>
      </w:r>
      <w:r w:rsidR="00FA2D19">
        <w:t xml:space="preserve"> många fall beroende på att man övergått till att snusa </w:t>
      </w:r>
      <w:r w:rsidR="00FA2D19">
        <w:lastRenderedPageBreak/>
        <w:t>i</w:t>
      </w:r>
      <w:r w:rsidR="00924277">
        <w:t xml:space="preserve"> </w:t>
      </w:r>
      <w:r w:rsidR="00FA2D19">
        <w:t xml:space="preserve">stället. Norge är </w:t>
      </w:r>
      <w:r w:rsidR="00924277">
        <w:t>ett intressant exempel som stöd</w:t>
      </w:r>
      <w:r w:rsidR="00FA2D19">
        <w:t>er tesen att ett ökat bruk av snus samtidigt leder till lägre andel tobaksrökare.</w:t>
      </w:r>
      <w:r w:rsidR="00FA2D19">
        <w:rPr>
          <w:rStyle w:val="Fotnotsreferens"/>
        </w:rPr>
        <w:footnoteReference w:id="10"/>
      </w:r>
      <w:r w:rsidR="00FA2D19">
        <w:t xml:space="preserve"> Andelen tobaksrökare minskade i Norge från 16 procent </w:t>
      </w:r>
      <w:r w:rsidR="00924277">
        <w:t>2010 till 6</w:t>
      </w:r>
      <w:r w:rsidR="00FA2D19">
        <w:t xml:space="preserve"> procent 20</w:t>
      </w:r>
      <w:r w:rsidR="00BB1870">
        <w:t>17 samtidigt som andelen</w:t>
      </w:r>
      <w:r w:rsidR="00975B2B">
        <w:t xml:space="preserve"> personer</w:t>
      </w:r>
      <w:r w:rsidR="00BB1870">
        <w:t xml:space="preserve"> som snusar</w:t>
      </w:r>
      <w:r w:rsidR="00FA2D19">
        <w:t xml:space="preserve"> ökade från 13 procent till 21 procent.</w:t>
      </w:r>
    </w:p>
    <w:p w:rsidR="00D4445D" w:rsidP="00D4445D" w:rsidRDefault="00D4445D" w14:paraId="062731F6" w14:textId="77777777">
      <w:pPr>
        <w:pStyle w:val="Rubrik3"/>
      </w:pPr>
      <w:r>
        <w:t>Värna Sveriges bestämmanderätt över snuset</w:t>
      </w:r>
    </w:p>
    <w:p w:rsidR="00BB1870" w:rsidP="00D4445D" w:rsidRDefault="0034691E" w14:paraId="062731F7" w14:textId="04BBB1D5">
      <w:pPr>
        <w:pStyle w:val="Normalutanindragellerluft"/>
      </w:pPr>
      <w:r>
        <w:t>Vi</w:t>
      </w:r>
      <w:r w:rsidR="00BB1870">
        <w:t xml:space="preserve"> </w:t>
      </w:r>
      <w:r w:rsidRPr="00D07FC8" w:rsidR="00BB1870">
        <w:t>vill tydligt värna Sveriges bestämmanderätt över reglering av snus</w:t>
      </w:r>
      <w:r w:rsidR="006C3BCD">
        <w:t>, d</w:t>
      </w:r>
      <w:r w:rsidR="00BB1870">
        <w:t xml:space="preserve">et </w:t>
      </w:r>
      <w:r w:rsidRPr="00D07FC8" w:rsidR="00BB1870">
        <w:t xml:space="preserve">som fastslogs i anslutningsakten i samband med </w:t>
      </w:r>
      <w:r w:rsidR="00BB1870">
        <w:t xml:space="preserve">det svenska medlemskapet i </w:t>
      </w:r>
      <w:r w:rsidR="006C3BCD">
        <w:t>E</w:t>
      </w:r>
      <w:r w:rsidRPr="00D07FC8" w:rsidR="00BB1870">
        <w:t>uropeiska unionen.</w:t>
      </w:r>
      <w:r w:rsidR="00BB1870">
        <w:t xml:space="preserve"> Den borgerliga regeringen drev i</w:t>
      </w:r>
      <w:r w:rsidRPr="00D07FC8" w:rsidR="00BB1870">
        <w:t xml:space="preserve"> medl</w:t>
      </w:r>
      <w:r w:rsidR="00BB1870">
        <w:t xml:space="preserve">emskapsförhandlingarna </w:t>
      </w:r>
      <w:r w:rsidRPr="00D07FC8" w:rsidR="00BB1870">
        <w:t>igenom ett undantag gällande försäljni</w:t>
      </w:r>
      <w:r w:rsidR="00BB1870">
        <w:t xml:space="preserve">ng av snus i Sverige. Det är nu </w:t>
      </w:r>
      <w:r w:rsidRPr="00D07FC8" w:rsidR="00BB1870">
        <w:t xml:space="preserve">upp till </w:t>
      </w:r>
      <w:r w:rsidR="00BB1870">
        <w:t>riksdag</w:t>
      </w:r>
      <w:r w:rsidR="006C3BCD">
        <w:t>en</w:t>
      </w:r>
      <w:r w:rsidR="00BB1870">
        <w:t xml:space="preserve"> och regering</w:t>
      </w:r>
      <w:r w:rsidR="006C3BCD">
        <w:t>en</w:t>
      </w:r>
      <w:r w:rsidR="00BB1870">
        <w:t xml:space="preserve"> att se till att </w:t>
      </w:r>
      <w:r w:rsidRPr="00D07FC8" w:rsidR="00BB1870">
        <w:t>bestämmanderätten över reglering</w:t>
      </w:r>
      <w:r w:rsidR="00BB1870">
        <w:t xml:space="preserve"> och hantering av snus fortsatt äger rum i Sverige och sker på ett förnuftigt sätt</w:t>
      </w:r>
      <w:r w:rsidRPr="00D07FC8" w:rsidR="00BB1870">
        <w:t>.</w:t>
      </w:r>
    </w:p>
    <w:p w:rsidR="00BB1870" w:rsidP="00C936B1" w:rsidRDefault="00BB1870" w14:paraId="062731F8" w14:textId="77777777">
      <w:r>
        <w:t>Detta måste också få konsekvenser i nästa framtagande av den vik</w:t>
      </w:r>
      <w:r w:rsidR="00177146">
        <w:t>tiga ANDT-strategin.</w:t>
      </w:r>
      <w:r w:rsidR="00F57898">
        <w:t xml:space="preserve"> </w:t>
      </w:r>
      <w:r w:rsidR="00177146">
        <w:t>Vi</w:t>
      </w:r>
      <w:r>
        <w:t xml:space="preserve"> anser att det bör framgå såväl i kommande tobakslag som i</w:t>
      </w:r>
      <w:r w:rsidR="00806AC8">
        <w:t xml:space="preserve"> den</w:t>
      </w:r>
      <w:r>
        <w:t xml:space="preserve"> kommande ANDT-strategin att det är en väsentlig skillnad i farlighet mellan tobaksrökning och bruk av snus, samt att där så är tillämpligt ersätta begreppet tobaksvaror i lagtexten i den nya tobakslagen med orden ”to</w:t>
      </w:r>
      <w:r>
        <w:lastRenderedPageBreak/>
        <w:t>baksvaror avsedda för rökning” eller ”varor avsedda för tobaksrökning”. Det måste i praktisk verklighet och i lagstiftning göras en tydlig åtskillnad</w:t>
      </w:r>
      <w:r w:rsidR="00C936B1">
        <w:t xml:space="preserve"> mellan tobaksrökning och</w:t>
      </w:r>
      <w:r>
        <w:t xml:space="preserve"> bruk av snus.</w:t>
      </w:r>
    </w:p>
    <w:p w:rsidRPr="00EE75CC" w:rsidR="00EE75CC" w:rsidP="00EE75CC" w:rsidRDefault="00D4445D" w14:paraId="062731F9" w14:textId="77777777">
      <w:pPr>
        <w:pStyle w:val="Rubrik3"/>
      </w:pPr>
      <w:r>
        <w:t xml:space="preserve">Inget </w:t>
      </w:r>
      <w:r w:rsidR="00EE75CC">
        <w:t>självbetjäningsförbud för snusprodukter</w:t>
      </w:r>
    </w:p>
    <w:p w:rsidR="00080416" w:rsidP="00EE75CC" w:rsidRDefault="00352C5A" w14:paraId="062731FA" w14:textId="0185D776">
      <w:pPr>
        <w:pStyle w:val="Normalutanindragellerluft"/>
      </w:pPr>
      <w:r>
        <w:t>Att undanta ett självbetjäningsförbud för snus</w:t>
      </w:r>
      <w:r w:rsidR="00080416">
        <w:t xml:space="preserve"> kan </w:t>
      </w:r>
      <w:r w:rsidR="00A20A2B">
        <w:t xml:space="preserve">exempelvis </w:t>
      </w:r>
      <w:r w:rsidR="00080416">
        <w:t>lösas genom att i</w:t>
      </w:r>
      <w:r w:rsidR="006C3BCD">
        <w:t xml:space="preserve"> en</w:t>
      </w:r>
      <w:r w:rsidR="00080416">
        <w:t xml:space="preserve"> ny lag om tobak och liknande produkter i ett tillägg</w:t>
      </w:r>
      <w:r w:rsidR="00AC4743">
        <w:t xml:space="preserve"> i lagtexten avseende 5 </w:t>
      </w:r>
      <w:r w:rsidR="006C3BCD">
        <w:t>kap.</w:t>
      </w:r>
      <w:r w:rsidR="00AC4743">
        <w:t xml:space="preserve"> 13 §</w:t>
      </w:r>
      <w:r w:rsidR="00080416">
        <w:t xml:space="preserve"> slå fast att snus ska betraktas som en specialbutik.</w:t>
      </w:r>
      <w:r w:rsidR="00A20A2B">
        <w:t xml:space="preserve"> Eller att förbud mot självbetjäning av tobaksvaror inte gäller specialbutiker och inte heller snusprodukter.</w:t>
      </w:r>
      <w:r w:rsidR="00080416">
        <w:t xml:space="preserve"> Regeringens</w:t>
      </w:r>
      <w:r w:rsidR="00EE75CC">
        <w:t xml:space="preserve"> </w:t>
      </w:r>
      <w:r w:rsidR="00080416">
        <w:t>självbetjäningsförbud</w:t>
      </w:r>
      <w:r w:rsidR="00EE75CC">
        <w:t xml:space="preserve"> innebär</w:t>
      </w:r>
      <w:r w:rsidR="00080416">
        <w:t xml:space="preserve"> att många handlare inte minst på landsbygden tvingas bygga om sina butiker för att kunna flytta snuskylen bakom kassan så att kunderna inte kan plocka sin snusdosa själv. Vad är den stora fördelen för folkhälsan att krångla till </w:t>
      </w:r>
      <w:r w:rsidR="0034691E">
        <w:t xml:space="preserve">det </w:t>
      </w:r>
      <w:r w:rsidR="00080416">
        <w:t>för vanliga människor att handla</w:t>
      </w:r>
      <w:r w:rsidR="00EE75CC">
        <w:t xml:space="preserve"> snus</w:t>
      </w:r>
      <w:r w:rsidR="00080416">
        <w:t xml:space="preserve"> i sin lokala affär?</w:t>
      </w:r>
    </w:p>
    <w:p w:rsidR="00EE75CC" w:rsidP="00EE75CC" w:rsidRDefault="00AC4743" w14:paraId="062731FB" w14:textId="1B8D1322">
      <w:pPr>
        <w:pStyle w:val="Rubrik3"/>
      </w:pPr>
      <w:r>
        <w:t>Försvåra inte online</w:t>
      </w:r>
      <w:r w:rsidR="00EE75CC">
        <w:t xml:space="preserve">handel av snusprodukter </w:t>
      </w:r>
    </w:p>
    <w:p w:rsidR="00352C5A" w:rsidP="00EE75CC" w:rsidRDefault="005016A8" w14:paraId="062731FC" w14:textId="137D8083">
      <w:pPr>
        <w:pStyle w:val="Normalutanindragellerluft"/>
      </w:pPr>
      <w:r>
        <w:t xml:space="preserve">Det är inte ett </w:t>
      </w:r>
      <w:r w:rsidR="000A65B0">
        <w:t xml:space="preserve">rimligt förhållningssätt </w:t>
      </w:r>
      <w:r w:rsidR="00352C5A">
        <w:t xml:space="preserve">att försvåra tillgängligheten av snus </w:t>
      </w:r>
      <w:r w:rsidR="000A65B0">
        <w:t>betraktat utifrån vetenskap och beprövad erfarenhet</w:t>
      </w:r>
      <w:r>
        <w:t xml:space="preserve"> av farlighet och risk med att röka tobak jämfört med bruk av snus</w:t>
      </w:r>
      <w:r w:rsidR="000A65B0">
        <w:t>.</w:t>
      </w:r>
      <w:r w:rsidR="00352C5A">
        <w:t xml:space="preserve"> </w:t>
      </w:r>
      <w:r w:rsidR="00A67F4F">
        <w:t>Vi vill inte försvåra</w:t>
      </w:r>
      <w:r w:rsidR="00AC4743">
        <w:t xml:space="preserve"> online</w:t>
      </w:r>
      <w:r w:rsidR="00B74880">
        <w:t>handel</w:t>
      </w:r>
      <w:r w:rsidR="004A09DE">
        <w:t xml:space="preserve"> med snusp</w:t>
      </w:r>
      <w:r w:rsidR="00B74880">
        <w:t>rodukter som</w:t>
      </w:r>
      <w:r w:rsidR="00080416">
        <w:t xml:space="preserve"> i</w:t>
      </w:r>
      <w:r w:rsidR="00AC4743">
        <w:t xml:space="preserve"> </w:t>
      </w:r>
      <w:r w:rsidR="00080416">
        <w:t>dag</w:t>
      </w:r>
      <w:r w:rsidR="00A67F4F">
        <w:t xml:space="preserve"> är </w:t>
      </w:r>
      <w:r w:rsidR="00080416">
        <w:t>ett</w:t>
      </w:r>
      <w:r w:rsidR="00A83BFE">
        <w:t xml:space="preserve"> självklar</w:t>
      </w:r>
      <w:r w:rsidR="00080416">
        <w:t>t sätt</w:t>
      </w:r>
      <w:r w:rsidR="00A83BFE">
        <w:t xml:space="preserve"> för många konsumenter att handla på</w:t>
      </w:r>
      <w:r w:rsidR="00B74880">
        <w:t xml:space="preserve">. </w:t>
      </w:r>
    </w:p>
    <w:p w:rsidR="00EE75CC" w:rsidP="00EE75CC" w:rsidRDefault="00EE75CC" w14:paraId="062731FD" w14:textId="77777777">
      <w:pPr>
        <w:pStyle w:val="Rubrik3"/>
      </w:pPr>
      <w:r>
        <w:lastRenderedPageBreak/>
        <w:t>Tillåt marknadsföring av snus</w:t>
      </w:r>
      <w:r w:rsidR="00D4445D">
        <w:t>produkter</w:t>
      </w:r>
      <w:r>
        <w:t xml:space="preserve"> och ingen detaljstyrning </w:t>
      </w:r>
    </w:p>
    <w:p w:rsidRPr="00AC4743" w:rsidR="00EB0A14" w:rsidP="00AC4743" w:rsidRDefault="00EB0A14" w14:paraId="06CB66E8" w14:textId="5058B4CC">
      <w:pPr>
        <w:pStyle w:val="Normalutanindragellerluft"/>
      </w:pPr>
      <w:r w:rsidRPr="00AC4743">
        <w:t>Vi motsätter oss regeringens förslag att ta bort möjligheterna att marknadsföra</w:t>
      </w:r>
      <w:r w:rsidRPr="00AC4743" w:rsidR="00AC4743">
        <w:t xml:space="preserve"> tobaksvaror genom</w:t>
      </w:r>
      <w:r w:rsidRPr="00AC4743">
        <w:t xml:space="preserve"> kommersiella meddelanden på försäljningsställen vad avser snusprodukter. Däremot stöder vi i övrigt denna begränsning. Det innebär att den </w:t>
      </w:r>
      <w:r w:rsidRPr="00AC4743" w:rsidR="00AC4743">
        <w:t>föreslagna lydelsen av 4 kap. 2 </w:t>
      </w:r>
      <w:r w:rsidRPr="00AC4743">
        <w:t>§ lag om tobak och liknande produkter bör inbegripa ett undantag</w:t>
      </w:r>
      <w:r w:rsidRPr="00AC4743" w:rsidR="00AC4743">
        <w:t xml:space="preserve"> motsvarande det som finns i 14 § andra stycket</w:t>
      </w:r>
      <w:r w:rsidRPr="00AC4743">
        <w:t xml:space="preserve"> 3 (kommersiella meddelanden inne på försäljningsställen som inte är påträngande, uppsökande eller uppmanar till bruk av tobak) men begränsat till att endast avse snus. Ett sådant undantag kan antingen införas som en egen punkt eller knytas till den föreslagna punkt 3. </w:t>
      </w:r>
    </w:p>
    <w:p w:rsidR="00EB0A14" w:rsidP="00EB0A14" w:rsidRDefault="00EB0A14" w14:paraId="2C8E01C8" w14:textId="6FCBA876">
      <w:pPr>
        <w:rPr>
          <w:rFonts w:ascii="Times New Roman" w:hAnsi="Times New Roman" w:cs="Times New Roman"/>
        </w:rPr>
      </w:pPr>
      <w:r>
        <w:rPr>
          <w:rFonts w:ascii="Times New Roman" w:hAnsi="Times New Roman" w:cs="Times New Roman"/>
        </w:rPr>
        <w:t>Det påpekande som görs i författningskommentaren ti</w:t>
      </w:r>
      <w:r w:rsidR="00AC4743">
        <w:rPr>
          <w:rFonts w:ascii="Times New Roman" w:hAnsi="Times New Roman" w:cs="Times New Roman"/>
        </w:rPr>
        <w:t>ll den föreslagna lydelsen av 4 </w:t>
      </w:r>
      <w:r w:rsidR="009051F1">
        <w:rPr>
          <w:rFonts w:ascii="Times New Roman" w:hAnsi="Times New Roman" w:cs="Times New Roman"/>
        </w:rPr>
        <w:t>kap. 2 </w:t>
      </w:r>
      <w:r w:rsidR="00AC4743">
        <w:rPr>
          <w:rFonts w:ascii="Times New Roman" w:hAnsi="Times New Roman" w:cs="Times New Roman"/>
        </w:rPr>
        <w:t>§ andra stycket</w:t>
      </w:r>
      <w:r>
        <w:rPr>
          <w:rFonts w:ascii="Times New Roman" w:hAnsi="Times New Roman" w:cs="Times New Roman"/>
        </w:rPr>
        <w:t xml:space="preserve"> 3 lag om tobak och liknande produkter om att undantaget endast gäller inne på försäljningsställen och därför inte omfattar webbsidor där tobaksvaror säljs förefaller innebära en annan tolkning än nu gällande formulering. Såvitt avser försäljning av snus bör ingen förändring i tillämpning ske i förhållande till nu gällande bestämmelse, vilket bör framgå av utskottets ställningstagande. </w:t>
      </w:r>
    </w:p>
    <w:p w:rsidR="00EB0A14" w:rsidP="00EB0A14" w:rsidRDefault="009051F1" w14:paraId="3777F82C" w14:textId="51D95280">
      <w:pPr>
        <w:rPr>
          <w:rFonts w:ascii="Times New Roman" w:hAnsi="Times New Roman" w:cs="Times New Roman"/>
        </w:rPr>
      </w:pPr>
      <w:r>
        <w:rPr>
          <w:rFonts w:ascii="Times New Roman" w:hAnsi="Times New Roman" w:cs="Times New Roman"/>
        </w:rPr>
        <w:t>Den föreslagna lydelsen av 4 kap. 2 </w:t>
      </w:r>
      <w:r w:rsidR="00EB0A14">
        <w:rPr>
          <w:rFonts w:ascii="Times New Roman" w:hAnsi="Times New Roman" w:cs="Times New Roman"/>
        </w:rPr>
        <w:t xml:space="preserve">§ tredje stycket lag om tobak och liknande produkter bör inte förändras enligt regeringens förslag såvitt avser snus. Det bör av bestämmelsen således </w:t>
      </w:r>
      <w:r w:rsidR="00EB0A14">
        <w:rPr>
          <w:rFonts w:ascii="Times New Roman" w:hAnsi="Times New Roman" w:cs="Times New Roman"/>
        </w:rPr>
        <w:lastRenderedPageBreak/>
        <w:t>framgå att vad avser snus gäller att kommersiella meddelanden inne på försäljningsställen (jfr ova</w:t>
      </w:r>
      <w:r>
        <w:rPr>
          <w:rFonts w:ascii="Times New Roman" w:hAnsi="Times New Roman" w:cs="Times New Roman"/>
        </w:rPr>
        <w:t>n angående 14 § andra stycket</w:t>
      </w:r>
      <w:r w:rsidR="00EB0A14">
        <w:rPr>
          <w:rFonts w:ascii="Times New Roman" w:hAnsi="Times New Roman" w:cs="Times New Roman"/>
        </w:rPr>
        <w:t xml:space="preserve"> 3 tobakslagen) ska i den omfattning det är möjligt placeras så att de inte är synliga från utsidan av försäljningsstället.</w:t>
      </w:r>
    </w:p>
    <w:p w:rsidRPr="00EB0A14" w:rsidR="00CC21FB" w:rsidP="00EB0A14" w:rsidRDefault="00712A80" w14:paraId="062731FE" w14:textId="192ACAD4">
      <w:pPr>
        <w:rPr>
          <w:rFonts w:ascii="Times New Roman" w:hAnsi="Times New Roman" w:cs="Times New Roman"/>
        </w:rPr>
      </w:pPr>
      <w:r>
        <w:t>Vi motsätter oss ock</w:t>
      </w:r>
      <w:r w:rsidR="009051F1">
        <w:t>så regeringens förslag att</w:t>
      </w:r>
      <w:r>
        <w:t xml:space="preserve"> detaljstyra och detaljreglera försäljningen av snus</w:t>
      </w:r>
      <w:r w:rsidR="00CC21FB">
        <w:t xml:space="preserve"> genom att portionsförpackat snus ska innehålla minst 20 portioner. </w:t>
      </w:r>
      <w:r w:rsidR="00352C5A">
        <w:t>Tillgängligheten av snus ska inte försvåras</w:t>
      </w:r>
      <w:r w:rsidR="009051F1">
        <w:t>,</w:t>
      </w:r>
      <w:r w:rsidR="00C23EDA">
        <w:t xml:space="preserve"> inte minst på grund av att </w:t>
      </w:r>
      <w:r w:rsidR="00352C5A">
        <w:t xml:space="preserve">många människor tar sig ur ett långvarigt tobaksrökande med hjälp av snus. </w:t>
      </w:r>
    </w:p>
    <w:p w:rsidR="0067118F" w:rsidP="00A83BFE" w:rsidRDefault="00C936B1" w14:paraId="062731FF" w14:textId="77777777">
      <w:r>
        <w:t xml:space="preserve">Den framåtsyftande </w:t>
      </w:r>
      <w:r w:rsidR="0067118F">
        <w:t>inriktnin</w:t>
      </w:r>
      <w:r w:rsidR="00C23EDA">
        <w:t xml:space="preserve">gen av tobakspolitiken </w:t>
      </w:r>
      <w:r w:rsidR="0067118F">
        <w:t xml:space="preserve">ska göra </w:t>
      </w:r>
      <w:r w:rsidR="00080416">
        <w:t xml:space="preserve">en </w:t>
      </w:r>
      <w:r w:rsidR="0067118F">
        <w:t xml:space="preserve">tydlig åtskillnad mellan tobaksrökning och bruk av snus. Den ska göra rimliga avvägningar och bedömningar av risk för liv och hälsa mellan olika tobaksprodukter. Den ska inte likställa produkter avsedda för tobaksrökning med produkter avsedda för bruk av snus. </w:t>
      </w:r>
    </w:p>
    <w:p w:rsidR="00C936B1" w:rsidP="00A83BFE" w:rsidRDefault="0067118F" w14:paraId="06273200" w14:textId="77777777">
      <w:r>
        <w:t>Socialstyrelsens nationella riktlinjer gällande förebyggande arbete a</w:t>
      </w:r>
      <w:r w:rsidR="00EE75CC">
        <w:t>vseende risk för sjukdomar ska</w:t>
      </w:r>
      <w:r>
        <w:t xml:space="preserve"> vägas in i kommande ANDT-strategin och beaktas </w:t>
      </w:r>
      <w:r w:rsidR="00EE75CC">
        <w:t>v</w:t>
      </w:r>
      <w:r>
        <w:t>i</w:t>
      </w:r>
      <w:r w:rsidR="00EE75CC">
        <w:t>d</w:t>
      </w:r>
      <w:r>
        <w:t xml:space="preserve"> framtida justeringar av tobakslagstiftni</w:t>
      </w:r>
      <w:r w:rsidR="00EE75CC">
        <w:t>ngen. Socialstyrelsens</w:t>
      </w:r>
      <w:r>
        <w:t xml:space="preserve"> riktlinjer för prevention och behandling vid ohälsosamma levnadsvano</w:t>
      </w:r>
      <w:r w:rsidR="00EE75CC">
        <w:t>r visar att myndigheten</w:t>
      </w:r>
      <w:r>
        <w:t xml:space="preserve"> bedömer dagligt bruk av snus som betydligt mindre riskfyllt jämfört med tobaksrökning, riskbruk av alkohol, ohälsosam kosthållning och otillräcklig fysisk aktivitet.</w:t>
      </w:r>
    </w:p>
    <w:p w:rsidRPr="00881181" w:rsidR="00422B9E" w:rsidP="00881181" w:rsidRDefault="00422B9E" w14:paraId="06273203" w14:textId="77777777"/>
    <w:sdt>
      <w:sdtPr>
        <w:alias w:val="CC_Underskrifter"/>
        <w:tag w:val="CC_Underskrifter"/>
        <w:id w:val="583496634"/>
        <w:lock w:val="sdtContentLocked"/>
        <w:placeholder>
          <w:docPart w:val="C943942C7DC7486480D61AA3A056396E"/>
        </w:placeholder>
        <w15:appearance w15:val="hidden"/>
      </w:sdtPr>
      <w:sdtEndPr/>
      <w:sdtContent>
        <w:p w:rsidR="004801AC" w:rsidP="006365F3" w:rsidRDefault="001D6E6A" w14:paraId="062732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Anders W Jonsson (C)</w:t>
            </w:r>
          </w:p>
        </w:tc>
      </w:tr>
    </w:tbl>
    <w:p w:rsidR="000D5740" w:rsidRDefault="000D5740" w14:paraId="06273208" w14:textId="77777777"/>
    <w:sectPr w:rsidR="000D57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7320A" w14:textId="77777777" w:rsidR="00177ABA" w:rsidRDefault="00177ABA" w:rsidP="000C1CAD">
      <w:pPr>
        <w:spacing w:line="240" w:lineRule="auto"/>
      </w:pPr>
      <w:r>
        <w:separator/>
      </w:r>
    </w:p>
  </w:endnote>
  <w:endnote w:type="continuationSeparator" w:id="0">
    <w:p w14:paraId="0627320B" w14:textId="77777777" w:rsidR="00177ABA" w:rsidRDefault="00177A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7321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73211" w14:textId="19EE9E3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6E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73208" w14:textId="77777777" w:rsidR="00177ABA" w:rsidRDefault="00177ABA" w:rsidP="000C1CAD">
      <w:pPr>
        <w:spacing w:line="240" w:lineRule="auto"/>
      </w:pPr>
      <w:r>
        <w:separator/>
      </w:r>
    </w:p>
  </w:footnote>
  <w:footnote w:type="continuationSeparator" w:id="0">
    <w:p w14:paraId="06273209" w14:textId="77777777" w:rsidR="00177ABA" w:rsidRDefault="00177ABA" w:rsidP="000C1CAD">
      <w:pPr>
        <w:spacing w:line="240" w:lineRule="auto"/>
      </w:pPr>
      <w:r>
        <w:continuationSeparator/>
      </w:r>
    </w:p>
  </w:footnote>
  <w:footnote w:id="1">
    <w:p w14:paraId="0627321C" w14:textId="77777777" w:rsidR="00B256F1" w:rsidRDefault="00B256F1">
      <w:pPr>
        <w:pStyle w:val="Fotnotstext"/>
      </w:pPr>
      <w:r>
        <w:rPr>
          <w:rStyle w:val="Fotnotsreferens"/>
        </w:rPr>
        <w:footnoteRef/>
      </w:r>
      <w:r>
        <w:t xml:space="preserve"> Källa: Världshälsoorganisationen, WHO.</w:t>
      </w:r>
    </w:p>
  </w:footnote>
  <w:footnote w:id="2">
    <w:p w14:paraId="0627321D" w14:textId="77777777" w:rsidR="00B256F1" w:rsidRDefault="00B256F1">
      <w:pPr>
        <w:pStyle w:val="Fotnotstext"/>
      </w:pPr>
      <w:r>
        <w:rPr>
          <w:rStyle w:val="Fotnotsreferens"/>
        </w:rPr>
        <w:footnoteRef/>
      </w:r>
      <w:r>
        <w:t xml:space="preserve"> Källa: Samhällskostnaden för rökningsrelaterad sjuklighet i Sverige, Institutet för Hälso- och Sjukvårdsekonomi (IHE) Rapport 2017:4.</w:t>
      </w:r>
    </w:p>
  </w:footnote>
  <w:footnote w:id="3">
    <w:p w14:paraId="0627321E" w14:textId="77777777" w:rsidR="00B256F1" w:rsidRDefault="00B256F1">
      <w:pPr>
        <w:pStyle w:val="Fotnotstext"/>
      </w:pPr>
      <w:r>
        <w:rPr>
          <w:rStyle w:val="Fotnotsreferens"/>
        </w:rPr>
        <w:footnoteRef/>
      </w:r>
      <w:r>
        <w:t xml:space="preserve"> Källa: Regeringens ANDT-strategi.</w:t>
      </w:r>
    </w:p>
  </w:footnote>
  <w:footnote w:id="4">
    <w:p w14:paraId="0627321F" w14:textId="3ED49FD4" w:rsidR="00E0428C" w:rsidRDefault="00E0428C">
      <w:pPr>
        <w:pStyle w:val="Fotnotstext"/>
      </w:pPr>
      <w:r>
        <w:rPr>
          <w:rStyle w:val="Fotnotsreferens"/>
        </w:rPr>
        <w:footnoteRef/>
      </w:r>
      <w:r w:rsidR="0006365E">
        <w:t xml:space="preserve"> Källa: Regeringens l</w:t>
      </w:r>
      <w:r>
        <w:t>agrådsremiss, Lag om tobak och liknande produkter.</w:t>
      </w:r>
    </w:p>
  </w:footnote>
  <w:footnote w:id="5">
    <w:p w14:paraId="06273220" w14:textId="77777777" w:rsidR="00E0428C" w:rsidRDefault="00E0428C">
      <w:pPr>
        <w:pStyle w:val="Fotnotstext"/>
      </w:pPr>
      <w:r>
        <w:rPr>
          <w:rStyle w:val="Fotnotsreferens"/>
        </w:rPr>
        <w:footnoteRef/>
      </w:r>
      <w:r>
        <w:t xml:space="preserve"> Källa: </w:t>
      </w:r>
      <w:r w:rsidR="0086766A">
        <w:t xml:space="preserve">Publicerad i vetenskapstidningen </w:t>
      </w:r>
      <w:r>
        <w:t>The Lancet.</w:t>
      </w:r>
    </w:p>
  </w:footnote>
  <w:footnote w:id="6">
    <w:p w14:paraId="06273221" w14:textId="77777777" w:rsidR="0086766A" w:rsidRDefault="0086766A" w:rsidP="0086766A">
      <w:pPr>
        <w:pStyle w:val="Fotnotstext"/>
      </w:pPr>
      <w:r>
        <w:rPr>
          <w:rStyle w:val="Fotnotsreferens"/>
        </w:rPr>
        <w:footnoteRef/>
      </w:r>
      <w:r>
        <w:t xml:space="preserve"> Källa: </w:t>
      </w:r>
      <w:r w:rsidRPr="00FC797A">
        <w:t>Socialstyrelsens rapport, Registeruppgifter om tobaksrökningens skadeverkningar</w:t>
      </w:r>
      <w:r>
        <w:t>.</w:t>
      </w:r>
    </w:p>
  </w:footnote>
  <w:footnote w:id="7">
    <w:p w14:paraId="06273222" w14:textId="77777777" w:rsidR="005A007B" w:rsidRDefault="005A007B">
      <w:pPr>
        <w:pStyle w:val="Fotnotstext"/>
      </w:pPr>
      <w:r>
        <w:rPr>
          <w:rStyle w:val="Fotnotsreferens"/>
        </w:rPr>
        <w:footnoteRef/>
      </w:r>
      <w:r>
        <w:t xml:space="preserve"> Källa: Lagrådets yttrande samt Folkhälsomyndigheten och Kammarrätten i Stockholms remissvar.</w:t>
      </w:r>
    </w:p>
  </w:footnote>
  <w:footnote w:id="8">
    <w:p w14:paraId="06273223" w14:textId="77777777" w:rsidR="00C73AEE" w:rsidRDefault="00C73AEE">
      <w:pPr>
        <w:pStyle w:val="Fotnotstext"/>
      </w:pPr>
      <w:r>
        <w:rPr>
          <w:rStyle w:val="Fotnotsreferens"/>
        </w:rPr>
        <w:footnoteRef/>
      </w:r>
      <w:r>
        <w:t xml:space="preserve"> Källa: Cancerfondsrapporten 2017.</w:t>
      </w:r>
    </w:p>
  </w:footnote>
  <w:footnote w:id="9">
    <w:p w14:paraId="06273224" w14:textId="77777777" w:rsidR="005A007B" w:rsidRDefault="005A007B">
      <w:pPr>
        <w:pStyle w:val="Fotnotstext"/>
      </w:pPr>
      <w:r>
        <w:rPr>
          <w:rStyle w:val="Fotnotsreferens"/>
        </w:rPr>
        <w:footnoteRef/>
      </w:r>
      <w:r>
        <w:t xml:space="preserve"> Källa: Eurobarometer 458, maj 2017.</w:t>
      </w:r>
    </w:p>
  </w:footnote>
  <w:footnote w:id="10">
    <w:p w14:paraId="06273225" w14:textId="77777777" w:rsidR="00FA2D19" w:rsidRDefault="00FA2D19">
      <w:pPr>
        <w:pStyle w:val="Fotnotstext"/>
      </w:pPr>
      <w:r>
        <w:rPr>
          <w:rStyle w:val="Fotnotsreferens"/>
        </w:rPr>
        <w:footnoteRef/>
      </w:r>
      <w:r>
        <w:t xml:space="preserve"> Källa: Stati</w:t>
      </w:r>
      <w:r w:rsidR="00BB1870">
        <w:t>stik från Norges Helsedirektoratet</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2732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27321B" wp14:anchorId="062732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D6E6A" w14:paraId="06273226" w14:textId="77777777">
                          <w:pPr>
                            <w:jc w:val="right"/>
                          </w:pPr>
                          <w:sdt>
                            <w:sdtPr>
                              <w:alias w:val="CC_Noformat_Partikod"/>
                              <w:tag w:val="CC_Noformat_Partikod"/>
                              <w:id w:val="-53464382"/>
                              <w:placeholder>
                                <w:docPart w:val="EE6B99612D3A4C2E82AD9E08D3D79A8E"/>
                              </w:placeholder>
                              <w:text/>
                            </w:sdtPr>
                            <w:sdtEndPr/>
                            <w:sdtContent>
                              <w:r w:rsidR="00177ABA">
                                <w:t>M</w:t>
                              </w:r>
                            </w:sdtContent>
                          </w:sdt>
                          <w:sdt>
                            <w:sdtPr>
                              <w:alias w:val="CC_Noformat_Partinummer"/>
                              <w:tag w:val="CC_Noformat_Partinummer"/>
                              <w:id w:val="-1709555926"/>
                              <w:placeholder>
                                <w:docPart w:val="DA7DA86953984150A5DE9B82196F01EC"/>
                              </w:placeholder>
                              <w:text/>
                            </w:sdtPr>
                            <w:sdtEndPr/>
                            <w:sdtContent>
                              <w:r w:rsidR="00FC2E23">
                                <w:t>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2732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D6E6A" w14:paraId="06273226" w14:textId="77777777">
                    <w:pPr>
                      <w:jc w:val="right"/>
                    </w:pPr>
                    <w:sdt>
                      <w:sdtPr>
                        <w:alias w:val="CC_Noformat_Partikod"/>
                        <w:tag w:val="CC_Noformat_Partikod"/>
                        <w:id w:val="-53464382"/>
                        <w:placeholder>
                          <w:docPart w:val="EE6B99612D3A4C2E82AD9E08D3D79A8E"/>
                        </w:placeholder>
                        <w:text/>
                      </w:sdtPr>
                      <w:sdtEndPr/>
                      <w:sdtContent>
                        <w:r w:rsidR="00177ABA">
                          <w:t>M</w:t>
                        </w:r>
                      </w:sdtContent>
                    </w:sdt>
                    <w:sdt>
                      <w:sdtPr>
                        <w:alias w:val="CC_Noformat_Partinummer"/>
                        <w:tag w:val="CC_Noformat_Partinummer"/>
                        <w:id w:val="-1709555926"/>
                        <w:placeholder>
                          <w:docPart w:val="DA7DA86953984150A5DE9B82196F01EC"/>
                        </w:placeholder>
                        <w:text/>
                      </w:sdtPr>
                      <w:sdtEndPr/>
                      <w:sdtContent>
                        <w:r w:rsidR="00FC2E23">
                          <w:t>158</w:t>
                        </w:r>
                      </w:sdtContent>
                    </w:sdt>
                  </w:p>
                </w:txbxContent>
              </v:textbox>
              <w10:wrap anchorx="page"/>
            </v:shape>
          </w:pict>
        </mc:Fallback>
      </mc:AlternateContent>
    </w:r>
  </w:p>
  <w:p w:rsidRPr="00293C4F" w:rsidR="004F35FE" w:rsidP="00776B74" w:rsidRDefault="004F35FE" w14:paraId="062732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6E6A" w14:paraId="0627320E" w14:textId="77777777">
    <w:pPr>
      <w:jc w:val="right"/>
    </w:pPr>
    <w:sdt>
      <w:sdtPr>
        <w:alias w:val="CC_Noformat_Partikod"/>
        <w:tag w:val="CC_Noformat_Partikod"/>
        <w:id w:val="559911109"/>
        <w:placeholder>
          <w:docPart w:val="EE6B99612D3A4C2E82AD9E08D3D79A8E"/>
        </w:placeholder>
        <w:text/>
      </w:sdtPr>
      <w:sdtEndPr/>
      <w:sdtContent>
        <w:r w:rsidR="00177ABA">
          <w:t>M</w:t>
        </w:r>
      </w:sdtContent>
    </w:sdt>
    <w:sdt>
      <w:sdtPr>
        <w:alias w:val="CC_Noformat_Partinummer"/>
        <w:tag w:val="CC_Noformat_Partinummer"/>
        <w:id w:val="1197820850"/>
        <w:placeholder>
          <w:docPart w:val="DA7DA86953984150A5DE9B82196F01EC"/>
        </w:placeholder>
        <w:text/>
      </w:sdtPr>
      <w:sdtEndPr/>
      <w:sdtContent>
        <w:r w:rsidR="00FC2E23">
          <w:t>158</w:t>
        </w:r>
      </w:sdtContent>
    </w:sdt>
  </w:p>
  <w:p w:rsidR="004F35FE" w:rsidP="00776B74" w:rsidRDefault="004F35FE" w14:paraId="062732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6E6A" w14:paraId="06273212" w14:textId="77777777">
    <w:pPr>
      <w:jc w:val="right"/>
    </w:pPr>
    <w:sdt>
      <w:sdtPr>
        <w:alias w:val="CC_Noformat_Partikod"/>
        <w:tag w:val="CC_Noformat_Partikod"/>
        <w:id w:val="1471015553"/>
        <w:text/>
      </w:sdtPr>
      <w:sdtEndPr/>
      <w:sdtContent>
        <w:r w:rsidR="00177ABA">
          <w:t>M</w:t>
        </w:r>
      </w:sdtContent>
    </w:sdt>
    <w:sdt>
      <w:sdtPr>
        <w:alias w:val="CC_Noformat_Partinummer"/>
        <w:tag w:val="CC_Noformat_Partinummer"/>
        <w:id w:val="-2014525982"/>
        <w:text/>
      </w:sdtPr>
      <w:sdtEndPr/>
      <w:sdtContent>
        <w:r w:rsidR="00FC2E23">
          <w:t>158</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1D6E6A" w14:paraId="0627321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D6E6A" w14:paraId="0627321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D6E6A" w14:paraId="062732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:4016</w:t>
        </w:r>
      </w:sdtContent>
    </w:sdt>
  </w:p>
  <w:p w:rsidR="004F35FE" w:rsidP="00E03A3D" w:rsidRDefault="001D6E6A" w14:paraId="06273216" w14:textId="77777777">
    <w:pPr>
      <w:pStyle w:val="Motionr"/>
    </w:pPr>
    <w:sdt>
      <w:sdtPr>
        <w:alias w:val="CC_Noformat_Avtext"/>
        <w:tag w:val="CC_Noformat_Avtext"/>
        <w:id w:val="-2020768203"/>
        <w:lock w:val="sdtContentLocked"/>
        <w15:appearance w15:val="hidden"/>
        <w:text/>
      </w:sdtPr>
      <w:sdtEndPr/>
      <w:sdtContent>
        <w:r>
          <w:t>av Camilla Waltersson Grönvall och Anders W Jonsson (M, C)</w:t>
        </w:r>
      </w:sdtContent>
    </w:sdt>
  </w:p>
  <w:sdt>
    <w:sdtPr>
      <w:alias w:val="CC_Noformat_Rubtext"/>
      <w:tag w:val="CC_Noformat_Rubtext"/>
      <w:id w:val="-218060500"/>
      <w:lock w:val="sdtLocked"/>
      <w15:appearance w15:val="hidden"/>
      <w:text/>
    </w:sdtPr>
    <w:sdtEndPr/>
    <w:sdtContent>
      <w:p w:rsidR="004F35FE" w:rsidP="00283E0F" w:rsidRDefault="00131F0D" w14:paraId="06273217" w14:textId="1969410C">
        <w:pPr>
          <w:pStyle w:val="FSHRub2"/>
        </w:pPr>
        <w:r>
          <w:t>med anledning av prop. 2017/18:156 Ny lag om tobak och liknande produkter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062732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177ABA"/>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49C2"/>
    <w:rsid w:val="000356A2"/>
    <w:rsid w:val="000356F0"/>
    <w:rsid w:val="00035BF0"/>
    <w:rsid w:val="00036A17"/>
    <w:rsid w:val="00036E88"/>
    <w:rsid w:val="00040E0A"/>
    <w:rsid w:val="00040F34"/>
    <w:rsid w:val="00040F89"/>
    <w:rsid w:val="00041BE8"/>
    <w:rsid w:val="00042A9E"/>
    <w:rsid w:val="00043AA9"/>
    <w:rsid w:val="00043F2E"/>
    <w:rsid w:val="0004587D"/>
    <w:rsid w:val="000466E4"/>
    <w:rsid w:val="00046B18"/>
    <w:rsid w:val="00046BE8"/>
    <w:rsid w:val="00047CB1"/>
    <w:rsid w:val="00050A98"/>
    <w:rsid w:val="00050DBC"/>
    <w:rsid w:val="0005184F"/>
    <w:rsid w:val="00051929"/>
    <w:rsid w:val="0005206D"/>
    <w:rsid w:val="000542C8"/>
    <w:rsid w:val="0005468B"/>
    <w:rsid w:val="000577E2"/>
    <w:rsid w:val="0006032F"/>
    <w:rsid w:val="0006039A"/>
    <w:rsid w:val="000603DC"/>
    <w:rsid w:val="0006043F"/>
    <w:rsid w:val="00061E36"/>
    <w:rsid w:val="0006339B"/>
    <w:rsid w:val="0006365E"/>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416"/>
    <w:rsid w:val="00080B5C"/>
    <w:rsid w:val="00082BEA"/>
    <w:rsid w:val="00083467"/>
    <w:rsid w:val="0008359E"/>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96B09"/>
    <w:rsid w:val="000A1014"/>
    <w:rsid w:val="000A19A5"/>
    <w:rsid w:val="000A1D1D"/>
    <w:rsid w:val="000A2547"/>
    <w:rsid w:val="000A2668"/>
    <w:rsid w:val="000A3770"/>
    <w:rsid w:val="000A3A14"/>
    <w:rsid w:val="000A4671"/>
    <w:rsid w:val="000A52B8"/>
    <w:rsid w:val="000A65B0"/>
    <w:rsid w:val="000A6935"/>
    <w:rsid w:val="000B2DAD"/>
    <w:rsid w:val="000B2E6B"/>
    <w:rsid w:val="000B3279"/>
    <w:rsid w:val="000B3BB1"/>
    <w:rsid w:val="000B3BE6"/>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5740"/>
    <w:rsid w:val="000D6584"/>
    <w:rsid w:val="000D69BA"/>
    <w:rsid w:val="000D7A5F"/>
    <w:rsid w:val="000E06CC"/>
    <w:rsid w:val="000E0ACF"/>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3CED"/>
    <w:rsid w:val="000F4411"/>
    <w:rsid w:val="000F5329"/>
    <w:rsid w:val="000F5B00"/>
    <w:rsid w:val="000F5CF0"/>
    <w:rsid w:val="000F5DE8"/>
    <w:rsid w:val="000F6943"/>
    <w:rsid w:val="000F72B4"/>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5DDC"/>
    <w:rsid w:val="00116172"/>
    <w:rsid w:val="00116EC0"/>
    <w:rsid w:val="00116EED"/>
    <w:rsid w:val="00117500"/>
    <w:rsid w:val="00117F43"/>
    <w:rsid w:val="001214B7"/>
    <w:rsid w:val="00121851"/>
    <w:rsid w:val="00121C4A"/>
    <w:rsid w:val="0012239C"/>
    <w:rsid w:val="0012254C"/>
    <w:rsid w:val="00122A01"/>
    <w:rsid w:val="00122A74"/>
    <w:rsid w:val="001247ED"/>
    <w:rsid w:val="00124ACE"/>
    <w:rsid w:val="00124ED7"/>
    <w:rsid w:val="001255AB"/>
    <w:rsid w:val="00126A7B"/>
    <w:rsid w:val="00130490"/>
    <w:rsid w:val="00130FEC"/>
    <w:rsid w:val="00131F0D"/>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146"/>
    <w:rsid w:val="0017746C"/>
    <w:rsid w:val="00177678"/>
    <w:rsid w:val="001776B8"/>
    <w:rsid w:val="00177ABA"/>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3DE"/>
    <w:rsid w:val="001B46CA"/>
    <w:rsid w:val="001B481B"/>
    <w:rsid w:val="001B5424"/>
    <w:rsid w:val="001B66CE"/>
    <w:rsid w:val="001B6716"/>
    <w:rsid w:val="001B697A"/>
    <w:rsid w:val="001B7753"/>
    <w:rsid w:val="001C2470"/>
    <w:rsid w:val="001C3A15"/>
    <w:rsid w:val="001C4E07"/>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6E6A"/>
    <w:rsid w:val="001D7002"/>
    <w:rsid w:val="001D75B0"/>
    <w:rsid w:val="001D7E6D"/>
    <w:rsid w:val="001E000C"/>
    <w:rsid w:val="001E06C1"/>
    <w:rsid w:val="001E09D5"/>
    <w:rsid w:val="001E10E8"/>
    <w:rsid w:val="001E1962"/>
    <w:rsid w:val="001E1C98"/>
    <w:rsid w:val="001E1ECB"/>
    <w:rsid w:val="001E2120"/>
    <w:rsid w:val="001E2474"/>
    <w:rsid w:val="001E25EB"/>
    <w:rsid w:val="001E4A86"/>
    <w:rsid w:val="001E6C8B"/>
    <w:rsid w:val="001E7234"/>
    <w:rsid w:val="001F1053"/>
    <w:rsid w:val="001F112C"/>
    <w:rsid w:val="001F22DC"/>
    <w:rsid w:val="001F2513"/>
    <w:rsid w:val="001F369D"/>
    <w:rsid w:val="001F3FA8"/>
    <w:rsid w:val="001F4096"/>
    <w:rsid w:val="001F4293"/>
    <w:rsid w:val="001F57F0"/>
    <w:rsid w:val="001F5A5C"/>
    <w:rsid w:val="001F61D3"/>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0A49"/>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4B3"/>
    <w:rsid w:val="00260671"/>
    <w:rsid w:val="00260A22"/>
    <w:rsid w:val="00260A58"/>
    <w:rsid w:val="00260A63"/>
    <w:rsid w:val="00260DDA"/>
    <w:rsid w:val="0026112F"/>
    <w:rsid w:val="002629DF"/>
    <w:rsid w:val="002633CE"/>
    <w:rsid w:val="00263613"/>
    <w:rsid w:val="00263A75"/>
    <w:rsid w:val="00263B31"/>
    <w:rsid w:val="00263CFF"/>
    <w:rsid w:val="002643C2"/>
    <w:rsid w:val="0026451C"/>
    <w:rsid w:val="00266609"/>
    <w:rsid w:val="00267BAD"/>
    <w:rsid w:val="00270A2E"/>
    <w:rsid w:val="00270B86"/>
    <w:rsid w:val="00270C89"/>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51F"/>
    <w:rsid w:val="002839C4"/>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4DDB"/>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032"/>
    <w:rsid w:val="002A63C7"/>
    <w:rsid w:val="002A7116"/>
    <w:rsid w:val="002A7737"/>
    <w:rsid w:val="002B0EC2"/>
    <w:rsid w:val="002B1874"/>
    <w:rsid w:val="002B2021"/>
    <w:rsid w:val="002B21B2"/>
    <w:rsid w:val="002B221E"/>
    <w:rsid w:val="002B2C9F"/>
    <w:rsid w:val="002B2EF2"/>
    <w:rsid w:val="002B375C"/>
    <w:rsid w:val="002B3B7D"/>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325"/>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3D1"/>
    <w:rsid w:val="00303C09"/>
    <w:rsid w:val="0030446D"/>
    <w:rsid w:val="003053E0"/>
    <w:rsid w:val="0030562F"/>
    <w:rsid w:val="00307246"/>
    <w:rsid w:val="00310095"/>
    <w:rsid w:val="00310241"/>
    <w:rsid w:val="00310461"/>
    <w:rsid w:val="00310CF5"/>
    <w:rsid w:val="00312BDE"/>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2D58"/>
    <w:rsid w:val="003234B5"/>
    <w:rsid w:val="00323D66"/>
    <w:rsid w:val="00323F94"/>
    <w:rsid w:val="00324864"/>
    <w:rsid w:val="00324C74"/>
    <w:rsid w:val="00324E87"/>
    <w:rsid w:val="003250F9"/>
    <w:rsid w:val="00325515"/>
    <w:rsid w:val="003258C5"/>
    <w:rsid w:val="00325E7A"/>
    <w:rsid w:val="00325EDF"/>
    <w:rsid w:val="00326AD4"/>
    <w:rsid w:val="00330C75"/>
    <w:rsid w:val="00333E95"/>
    <w:rsid w:val="00334938"/>
    <w:rsid w:val="00335FFF"/>
    <w:rsid w:val="003366FF"/>
    <w:rsid w:val="00337327"/>
    <w:rsid w:val="003373C0"/>
    <w:rsid w:val="00341459"/>
    <w:rsid w:val="00342BD2"/>
    <w:rsid w:val="003430B4"/>
    <w:rsid w:val="003430E4"/>
    <w:rsid w:val="0034691E"/>
    <w:rsid w:val="00347F27"/>
    <w:rsid w:val="0035132E"/>
    <w:rsid w:val="0035148D"/>
    <w:rsid w:val="00351B38"/>
    <w:rsid w:val="003524A9"/>
    <w:rsid w:val="00352C5A"/>
    <w:rsid w:val="00352CD3"/>
    <w:rsid w:val="00353737"/>
    <w:rsid w:val="00353F9D"/>
    <w:rsid w:val="0035416A"/>
    <w:rsid w:val="00354ADE"/>
    <w:rsid w:val="003550F6"/>
    <w:rsid w:val="00355B35"/>
    <w:rsid w:val="00357325"/>
    <w:rsid w:val="00360E21"/>
    <w:rsid w:val="0036177A"/>
    <w:rsid w:val="00361F52"/>
    <w:rsid w:val="00362C00"/>
    <w:rsid w:val="00363439"/>
    <w:rsid w:val="003641B4"/>
    <w:rsid w:val="00365CB8"/>
    <w:rsid w:val="00365ED9"/>
    <w:rsid w:val="00366306"/>
    <w:rsid w:val="003666B7"/>
    <w:rsid w:val="00370C71"/>
    <w:rsid w:val="003711D4"/>
    <w:rsid w:val="0037271B"/>
    <w:rsid w:val="00374408"/>
    <w:rsid w:val="003745D6"/>
    <w:rsid w:val="003756B0"/>
    <w:rsid w:val="0037649D"/>
    <w:rsid w:val="00376A32"/>
    <w:rsid w:val="003805D2"/>
    <w:rsid w:val="00380F2A"/>
    <w:rsid w:val="00381104"/>
    <w:rsid w:val="00381122"/>
    <w:rsid w:val="00381484"/>
    <w:rsid w:val="00381B4B"/>
    <w:rsid w:val="00383307"/>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35C0"/>
    <w:rsid w:val="00394AAE"/>
    <w:rsid w:val="00394D29"/>
    <w:rsid w:val="00395026"/>
    <w:rsid w:val="00395CC8"/>
    <w:rsid w:val="00396398"/>
    <w:rsid w:val="0039678F"/>
    <w:rsid w:val="00396C72"/>
    <w:rsid w:val="00396FA3"/>
    <w:rsid w:val="00397D42"/>
    <w:rsid w:val="003A1D3C"/>
    <w:rsid w:val="003A2BC4"/>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5D7"/>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79B"/>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09DE"/>
    <w:rsid w:val="004A1326"/>
    <w:rsid w:val="004A194F"/>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C7EC9"/>
    <w:rsid w:val="004D0B7F"/>
    <w:rsid w:val="004D0C2A"/>
    <w:rsid w:val="004D13F2"/>
    <w:rsid w:val="004D14EC"/>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16A8"/>
    <w:rsid w:val="00502512"/>
    <w:rsid w:val="00504301"/>
    <w:rsid w:val="005043A4"/>
    <w:rsid w:val="00504E10"/>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5D26"/>
    <w:rsid w:val="00586266"/>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07B"/>
    <w:rsid w:val="005A0393"/>
    <w:rsid w:val="005A19A4"/>
    <w:rsid w:val="005A1A53"/>
    <w:rsid w:val="005A1A59"/>
    <w:rsid w:val="005A3BEF"/>
    <w:rsid w:val="005A47C9"/>
    <w:rsid w:val="005A4E53"/>
    <w:rsid w:val="005A5987"/>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C7B92"/>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3E3E"/>
    <w:rsid w:val="005F425A"/>
    <w:rsid w:val="005F50A8"/>
    <w:rsid w:val="005F59DC"/>
    <w:rsid w:val="005F5ACA"/>
    <w:rsid w:val="005F5BC1"/>
    <w:rsid w:val="005F6CCB"/>
    <w:rsid w:val="00600D24"/>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A83"/>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5F3"/>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8F"/>
    <w:rsid w:val="006711A6"/>
    <w:rsid w:val="00671AA7"/>
    <w:rsid w:val="006720A5"/>
    <w:rsid w:val="00672B87"/>
    <w:rsid w:val="00673460"/>
    <w:rsid w:val="00673E89"/>
    <w:rsid w:val="006745C2"/>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8752F"/>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0459"/>
    <w:rsid w:val="006A1413"/>
    <w:rsid w:val="006A1BAD"/>
    <w:rsid w:val="006A46A8"/>
    <w:rsid w:val="006A55E1"/>
    <w:rsid w:val="006A5CAE"/>
    <w:rsid w:val="006A64C1"/>
    <w:rsid w:val="006A6BCB"/>
    <w:rsid w:val="006A6D09"/>
    <w:rsid w:val="006A6E21"/>
    <w:rsid w:val="006B2851"/>
    <w:rsid w:val="006B2ADF"/>
    <w:rsid w:val="006B35C4"/>
    <w:rsid w:val="006B3C99"/>
    <w:rsid w:val="006B3D40"/>
    <w:rsid w:val="006B4E46"/>
    <w:rsid w:val="006B6447"/>
    <w:rsid w:val="006C1088"/>
    <w:rsid w:val="006C12F9"/>
    <w:rsid w:val="006C183E"/>
    <w:rsid w:val="006C2631"/>
    <w:rsid w:val="006C2E6D"/>
    <w:rsid w:val="006C3B16"/>
    <w:rsid w:val="006C3BCD"/>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29F5"/>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2A80"/>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BE"/>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464C0"/>
    <w:rsid w:val="00746912"/>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0CA"/>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1A4"/>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66C7"/>
    <w:rsid w:val="007C780D"/>
    <w:rsid w:val="007D0597"/>
    <w:rsid w:val="007D162C"/>
    <w:rsid w:val="007D1A58"/>
    <w:rsid w:val="007D3BD0"/>
    <w:rsid w:val="007D41C8"/>
    <w:rsid w:val="007D5A70"/>
    <w:rsid w:val="007D5E2B"/>
    <w:rsid w:val="007D6916"/>
    <w:rsid w:val="007D7A75"/>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AC8"/>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35B1"/>
    <w:rsid w:val="008340E7"/>
    <w:rsid w:val="0083477E"/>
    <w:rsid w:val="00834DF9"/>
    <w:rsid w:val="0083580D"/>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4EB"/>
    <w:rsid w:val="00863B4E"/>
    <w:rsid w:val="0086434E"/>
    <w:rsid w:val="00865E70"/>
    <w:rsid w:val="00865F0E"/>
    <w:rsid w:val="00865FA2"/>
    <w:rsid w:val="0086638E"/>
    <w:rsid w:val="008665D0"/>
    <w:rsid w:val="00866FF6"/>
    <w:rsid w:val="0086766A"/>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202C"/>
    <w:rsid w:val="00894507"/>
    <w:rsid w:val="008952CB"/>
    <w:rsid w:val="00896B22"/>
    <w:rsid w:val="008A0566"/>
    <w:rsid w:val="008A07AE"/>
    <w:rsid w:val="008A081B"/>
    <w:rsid w:val="008A163E"/>
    <w:rsid w:val="008A2992"/>
    <w:rsid w:val="008A2FC9"/>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A41"/>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3A23"/>
    <w:rsid w:val="008F5117"/>
    <w:rsid w:val="008F5879"/>
    <w:rsid w:val="008F5C48"/>
    <w:rsid w:val="008F5C69"/>
    <w:rsid w:val="008F6355"/>
    <w:rsid w:val="008F7153"/>
    <w:rsid w:val="008F7BEB"/>
    <w:rsid w:val="00900DFF"/>
    <w:rsid w:val="00900EB8"/>
    <w:rsid w:val="0090172D"/>
    <w:rsid w:val="00902AB6"/>
    <w:rsid w:val="00902EE4"/>
    <w:rsid w:val="00903FEE"/>
    <w:rsid w:val="009044E4"/>
    <w:rsid w:val="00904DBD"/>
    <w:rsid w:val="009051F1"/>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0841"/>
    <w:rsid w:val="00922951"/>
    <w:rsid w:val="00923F13"/>
    <w:rsid w:val="00924152"/>
    <w:rsid w:val="00924277"/>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0B3"/>
    <w:rsid w:val="009369F5"/>
    <w:rsid w:val="00936B2D"/>
    <w:rsid w:val="00937158"/>
    <w:rsid w:val="00937358"/>
    <w:rsid w:val="00937E97"/>
    <w:rsid w:val="00940B78"/>
    <w:rsid w:val="00941044"/>
    <w:rsid w:val="00941D55"/>
    <w:rsid w:val="00942AA1"/>
    <w:rsid w:val="009433A8"/>
    <w:rsid w:val="00943898"/>
    <w:rsid w:val="00943A42"/>
    <w:rsid w:val="00943CB4"/>
    <w:rsid w:val="00945BC1"/>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B2B"/>
    <w:rsid w:val="0097703A"/>
    <w:rsid w:val="00977E01"/>
    <w:rsid w:val="009806B2"/>
    <w:rsid w:val="00980BA4"/>
    <w:rsid w:val="009818AD"/>
    <w:rsid w:val="0098267A"/>
    <w:rsid w:val="0098312F"/>
    <w:rsid w:val="009841A7"/>
    <w:rsid w:val="009855B9"/>
    <w:rsid w:val="00986368"/>
    <w:rsid w:val="00986688"/>
    <w:rsid w:val="009869DB"/>
    <w:rsid w:val="00987077"/>
    <w:rsid w:val="00987AA6"/>
    <w:rsid w:val="0099062D"/>
    <w:rsid w:val="0099089F"/>
    <w:rsid w:val="00991FA1"/>
    <w:rsid w:val="00992414"/>
    <w:rsid w:val="00992FAB"/>
    <w:rsid w:val="00994501"/>
    <w:rsid w:val="00995213"/>
    <w:rsid w:val="0099543C"/>
    <w:rsid w:val="00995820"/>
    <w:rsid w:val="00996C92"/>
    <w:rsid w:val="00997CB0"/>
    <w:rsid w:val="00997D26"/>
    <w:rsid w:val="009A03B3"/>
    <w:rsid w:val="009A095B"/>
    <w:rsid w:val="009A09DC"/>
    <w:rsid w:val="009A4199"/>
    <w:rsid w:val="009A44A0"/>
    <w:rsid w:val="009A5689"/>
    <w:rsid w:val="009A60C8"/>
    <w:rsid w:val="009A6745"/>
    <w:rsid w:val="009B040A"/>
    <w:rsid w:val="009B04E7"/>
    <w:rsid w:val="009B0556"/>
    <w:rsid w:val="009B062B"/>
    <w:rsid w:val="009B0BA1"/>
    <w:rsid w:val="009B0C68"/>
    <w:rsid w:val="009B13D9"/>
    <w:rsid w:val="009B1664"/>
    <w:rsid w:val="009B36AC"/>
    <w:rsid w:val="009B40C5"/>
    <w:rsid w:val="009B4205"/>
    <w:rsid w:val="009B42D9"/>
    <w:rsid w:val="009B5187"/>
    <w:rsid w:val="009B6208"/>
    <w:rsid w:val="009B7574"/>
    <w:rsid w:val="009B76C8"/>
    <w:rsid w:val="009B7C75"/>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A00"/>
    <w:rsid w:val="00A13B3B"/>
    <w:rsid w:val="00A148A5"/>
    <w:rsid w:val="00A14C61"/>
    <w:rsid w:val="00A157CB"/>
    <w:rsid w:val="00A15EA3"/>
    <w:rsid w:val="00A165DB"/>
    <w:rsid w:val="00A16721"/>
    <w:rsid w:val="00A1750A"/>
    <w:rsid w:val="00A17676"/>
    <w:rsid w:val="00A200AF"/>
    <w:rsid w:val="00A20A2B"/>
    <w:rsid w:val="00A21529"/>
    <w:rsid w:val="00A2153D"/>
    <w:rsid w:val="00A234BB"/>
    <w:rsid w:val="00A244BC"/>
    <w:rsid w:val="00A244C8"/>
    <w:rsid w:val="00A24E73"/>
    <w:rsid w:val="00A25917"/>
    <w:rsid w:val="00A2683A"/>
    <w:rsid w:val="00A276DA"/>
    <w:rsid w:val="00A278AA"/>
    <w:rsid w:val="00A27B94"/>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34F5"/>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AC7"/>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67F4F"/>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3BFE"/>
    <w:rsid w:val="00A846D9"/>
    <w:rsid w:val="00A84A96"/>
    <w:rsid w:val="00A85CEC"/>
    <w:rsid w:val="00A864CE"/>
    <w:rsid w:val="00A8670F"/>
    <w:rsid w:val="00A869D5"/>
    <w:rsid w:val="00A906B6"/>
    <w:rsid w:val="00A91A50"/>
    <w:rsid w:val="00A930A8"/>
    <w:rsid w:val="00A933FE"/>
    <w:rsid w:val="00A94A89"/>
    <w:rsid w:val="00A94D0C"/>
    <w:rsid w:val="00A951A5"/>
    <w:rsid w:val="00A95A03"/>
    <w:rsid w:val="00A967C9"/>
    <w:rsid w:val="00A96870"/>
    <w:rsid w:val="00A969F4"/>
    <w:rsid w:val="00A97337"/>
    <w:rsid w:val="00A974DA"/>
    <w:rsid w:val="00AA12F4"/>
    <w:rsid w:val="00AA148F"/>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743"/>
    <w:rsid w:val="00AC4BD6"/>
    <w:rsid w:val="00AC4DD2"/>
    <w:rsid w:val="00AC507D"/>
    <w:rsid w:val="00AC5082"/>
    <w:rsid w:val="00AC5512"/>
    <w:rsid w:val="00AC571A"/>
    <w:rsid w:val="00AC6549"/>
    <w:rsid w:val="00AC66A9"/>
    <w:rsid w:val="00AC74DB"/>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6478"/>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987"/>
    <w:rsid w:val="00B256F1"/>
    <w:rsid w:val="00B260A2"/>
    <w:rsid w:val="00B26797"/>
    <w:rsid w:val="00B26D9F"/>
    <w:rsid w:val="00B27E2E"/>
    <w:rsid w:val="00B30A6B"/>
    <w:rsid w:val="00B30BC9"/>
    <w:rsid w:val="00B30ED2"/>
    <w:rsid w:val="00B3163A"/>
    <w:rsid w:val="00B328E0"/>
    <w:rsid w:val="00B33304"/>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5DB"/>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6734F"/>
    <w:rsid w:val="00B70180"/>
    <w:rsid w:val="00B708DE"/>
    <w:rsid w:val="00B71138"/>
    <w:rsid w:val="00B718D2"/>
    <w:rsid w:val="00B723EA"/>
    <w:rsid w:val="00B724E0"/>
    <w:rsid w:val="00B7260A"/>
    <w:rsid w:val="00B7269C"/>
    <w:rsid w:val="00B728B6"/>
    <w:rsid w:val="00B737C6"/>
    <w:rsid w:val="00B73BAC"/>
    <w:rsid w:val="00B7457A"/>
    <w:rsid w:val="00B74597"/>
    <w:rsid w:val="00B74880"/>
    <w:rsid w:val="00B74B6A"/>
    <w:rsid w:val="00B75676"/>
    <w:rsid w:val="00B77AC6"/>
    <w:rsid w:val="00B77F3E"/>
    <w:rsid w:val="00B8069B"/>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70A"/>
    <w:rsid w:val="00B91803"/>
    <w:rsid w:val="00B9233F"/>
    <w:rsid w:val="00B931F8"/>
    <w:rsid w:val="00B941FB"/>
    <w:rsid w:val="00B9437E"/>
    <w:rsid w:val="00B944AD"/>
    <w:rsid w:val="00B96246"/>
    <w:rsid w:val="00BA0024"/>
    <w:rsid w:val="00BA09FB"/>
    <w:rsid w:val="00BA0C9A"/>
    <w:rsid w:val="00BA2619"/>
    <w:rsid w:val="00BA3DB2"/>
    <w:rsid w:val="00BA4911"/>
    <w:rsid w:val="00BA4F87"/>
    <w:rsid w:val="00BA5B8A"/>
    <w:rsid w:val="00BA5E33"/>
    <w:rsid w:val="00BA6D08"/>
    <w:rsid w:val="00BA7883"/>
    <w:rsid w:val="00BB099C"/>
    <w:rsid w:val="00BB0E3A"/>
    <w:rsid w:val="00BB10CD"/>
    <w:rsid w:val="00BB10EB"/>
    <w:rsid w:val="00BB1536"/>
    <w:rsid w:val="00BB1870"/>
    <w:rsid w:val="00BB1EB3"/>
    <w:rsid w:val="00BB36D0"/>
    <w:rsid w:val="00BB3953"/>
    <w:rsid w:val="00BB50A9"/>
    <w:rsid w:val="00BB546F"/>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3B8"/>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07BCE"/>
    <w:rsid w:val="00C102D0"/>
    <w:rsid w:val="00C11A80"/>
    <w:rsid w:val="00C13086"/>
    <w:rsid w:val="00C13168"/>
    <w:rsid w:val="00C13960"/>
    <w:rsid w:val="00C13ED0"/>
    <w:rsid w:val="00C15082"/>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DA"/>
    <w:rsid w:val="00C23F23"/>
    <w:rsid w:val="00C24844"/>
    <w:rsid w:val="00C24F36"/>
    <w:rsid w:val="00C30D70"/>
    <w:rsid w:val="00C316AE"/>
    <w:rsid w:val="00C31884"/>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AEE"/>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6B1"/>
    <w:rsid w:val="00C93DCF"/>
    <w:rsid w:val="00C94ECC"/>
    <w:rsid w:val="00C9501F"/>
    <w:rsid w:val="00C955CA"/>
    <w:rsid w:val="00C95B48"/>
    <w:rsid w:val="00C9638D"/>
    <w:rsid w:val="00C96F9D"/>
    <w:rsid w:val="00C972DE"/>
    <w:rsid w:val="00CA0D85"/>
    <w:rsid w:val="00CA0EF3"/>
    <w:rsid w:val="00CA14DD"/>
    <w:rsid w:val="00CA297D"/>
    <w:rsid w:val="00CA2F09"/>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0"/>
    <w:rsid w:val="00CB6B0C"/>
    <w:rsid w:val="00CB6C04"/>
    <w:rsid w:val="00CC11BF"/>
    <w:rsid w:val="00CC12A8"/>
    <w:rsid w:val="00CC1D33"/>
    <w:rsid w:val="00CC21FB"/>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05A5"/>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8D"/>
    <w:rsid w:val="00D05CA6"/>
    <w:rsid w:val="00D0725D"/>
    <w:rsid w:val="00D07FC8"/>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16B7"/>
    <w:rsid w:val="00D4445D"/>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9EC"/>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010"/>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50CC"/>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28C"/>
    <w:rsid w:val="00E0492C"/>
    <w:rsid w:val="00E0611B"/>
    <w:rsid w:val="00E061D2"/>
    <w:rsid w:val="00E068A1"/>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13DD"/>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6F6"/>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3BFD"/>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371A"/>
    <w:rsid w:val="00EA4493"/>
    <w:rsid w:val="00EA44EC"/>
    <w:rsid w:val="00EA54DC"/>
    <w:rsid w:val="00EA5FB0"/>
    <w:rsid w:val="00EA670C"/>
    <w:rsid w:val="00EA680E"/>
    <w:rsid w:val="00EB0549"/>
    <w:rsid w:val="00EB06F6"/>
    <w:rsid w:val="00EB0A14"/>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5CC"/>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68D"/>
    <w:rsid w:val="00F114EB"/>
    <w:rsid w:val="00F119B8"/>
    <w:rsid w:val="00F11B05"/>
    <w:rsid w:val="00F121D8"/>
    <w:rsid w:val="00F12637"/>
    <w:rsid w:val="00F1322C"/>
    <w:rsid w:val="00F15CEE"/>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214"/>
    <w:rsid w:val="00F423D5"/>
    <w:rsid w:val="00F428FA"/>
    <w:rsid w:val="00F42E8D"/>
    <w:rsid w:val="00F43544"/>
    <w:rsid w:val="00F449F0"/>
    <w:rsid w:val="00F46284"/>
    <w:rsid w:val="00F46C6E"/>
    <w:rsid w:val="00F506CD"/>
    <w:rsid w:val="00F5224A"/>
    <w:rsid w:val="00F55F38"/>
    <w:rsid w:val="00F55FA4"/>
    <w:rsid w:val="00F5648F"/>
    <w:rsid w:val="00F5773B"/>
    <w:rsid w:val="00F57898"/>
    <w:rsid w:val="00F60262"/>
    <w:rsid w:val="00F60325"/>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4161"/>
    <w:rsid w:val="00F75848"/>
    <w:rsid w:val="00F7702C"/>
    <w:rsid w:val="00F77A2D"/>
    <w:rsid w:val="00F77C89"/>
    <w:rsid w:val="00F80EE2"/>
    <w:rsid w:val="00F80FD0"/>
    <w:rsid w:val="00F83BAB"/>
    <w:rsid w:val="00F841E1"/>
    <w:rsid w:val="00F84A98"/>
    <w:rsid w:val="00F8508C"/>
    <w:rsid w:val="00F8590E"/>
    <w:rsid w:val="00F85F2A"/>
    <w:rsid w:val="00F871D1"/>
    <w:rsid w:val="00F873D0"/>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2D19"/>
    <w:rsid w:val="00FA2EBF"/>
    <w:rsid w:val="00FA30BF"/>
    <w:rsid w:val="00FA3932"/>
    <w:rsid w:val="00FA4559"/>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E23"/>
    <w:rsid w:val="00FC2FB0"/>
    <w:rsid w:val="00FC3647"/>
    <w:rsid w:val="00FC3B64"/>
    <w:rsid w:val="00FC63A5"/>
    <w:rsid w:val="00FC75D3"/>
    <w:rsid w:val="00FC797A"/>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9D7"/>
    <w:rsid w:val="00FD70AA"/>
    <w:rsid w:val="00FD7C27"/>
    <w:rsid w:val="00FE0504"/>
    <w:rsid w:val="00FE094A"/>
    <w:rsid w:val="00FE0BB9"/>
    <w:rsid w:val="00FE1094"/>
    <w:rsid w:val="00FE3142"/>
    <w:rsid w:val="00FE33BB"/>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62731D5"/>
  <w15:chartTrackingRefBased/>
  <w15:docId w15:val="{CED0DFBD-4876-4D67-A5E8-91B4FDEB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25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822635">
      <w:bodyDiv w:val="1"/>
      <w:marLeft w:val="0"/>
      <w:marRight w:val="0"/>
      <w:marTop w:val="0"/>
      <w:marBottom w:val="0"/>
      <w:divBdr>
        <w:top w:val="none" w:sz="0" w:space="0" w:color="auto"/>
        <w:left w:val="none" w:sz="0" w:space="0" w:color="auto"/>
        <w:bottom w:val="none" w:sz="0" w:space="0" w:color="auto"/>
        <w:right w:val="none" w:sz="0" w:space="0" w:color="auto"/>
      </w:divBdr>
    </w:div>
    <w:div w:id="148119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DB15D7DF8A4E2B9151654FD2F094A7"/>
        <w:category>
          <w:name w:val="Allmänt"/>
          <w:gallery w:val="placeholder"/>
        </w:category>
        <w:types>
          <w:type w:val="bbPlcHdr"/>
        </w:types>
        <w:behaviors>
          <w:behavior w:val="content"/>
        </w:behaviors>
        <w:guid w:val="{25A29BE2-DBDA-4AB8-8302-D62F611D60D9}"/>
      </w:docPartPr>
      <w:docPartBody>
        <w:p w:rsidR="00CD2624" w:rsidRDefault="00CD2624">
          <w:pPr>
            <w:pStyle w:val="F6DB15D7DF8A4E2B9151654FD2F094A7"/>
          </w:pPr>
          <w:r w:rsidRPr="005A0A93">
            <w:rPr>
              <w:rStyle w:val="Platshllartext"/>
            </w:rPr>
            <w:t>Förslag till riksdagsbeslut</w:t>
          </w:r>
        </w:p>
      </w:docPartBody>
    </w:docPart>
    <w:docPart>
      <w:docPartPr>
        <w:name w:val="56947E4CEFAB49238774BB23BE62B8D3"/>
        <w:category>
          <w:name w:val="Allmänt"/>
          <w:gallery w:val="placeholder"/>
        </w:category>
        <w:types>
          <w:type w:val="bbPlcHdr"/>
        </w:types>
        <w:behaviors>
          <w:behavior w:val="content"/>
        </w:behaviors>
        <w:guid w:val="{803450F3-A9F1-4362-9CA1-DE98F3DDE923}"/>
      </w:docPartPr>
      <w:docPartBody>
        <w:p w:rsidR="00CD2624" w:rsidRDefault="00CD2624">
          <w:pPr>
            <w:pStyle w:val="56947E4CEFAB49238774BB23BE62B8D3"/>
          </w:pPr>
          <w:r w:rsidRPr="005A0A93">
            <w:rPr>
              <w:rStyle w:val="Platshllartext"/>
            </w:rPr>
            <w:t>Motivering</w:t>
          </w:r>
        </w:p>
      </w:docPartBody>
    </w:docPart>
    <w:docPart>
      <w:docPartPr>
        <w:name w:val="C943942C7DC7486480D61AA3A056396E"/>
        <w:category>
          <w:name w:val="Allmänt"/>
          <w:gallery w:val="placeholder"/>
        </w:category>
        <w:types>
          <w:type w:val="bbPlcHdr"/>
        </w:types>
        <w:behaviors>
          <w:behavior w:val="content"/>
        </w:behaviors>
        <w:guid w:val="{572FCA28-EC33-456B-9EFE-7F98E75CDFAA}"/>
      </w:docPartPr>
      <w:docPartBody>
        <w:p w:rsidR="00CD2624" w:rsidRDefault="00CD2624">
          <w:pPr>
            <w:pStyle w:val="C943942C7DC7486480D61AA3A056396E"/>
          </w:pPr>
          <w:r w:rsidRPr="009B077E">
            <w:rPr>
              <w:rStyle w:val="Platshllartext"/>
            </w:rPr>
            <w:t>Namn på motionärer infogas/tas bort via panelen.</w:t>
          </w:r>
        </w:p>
      </w:docPartBody>
    </w:docPart>
    <w:docPart>
      <w:docPartPr>
        <w:name w:val="EE6B99612D3A4C2E82AD9E08D3D79A8E"/>
        <w:category>
          <w:name w:val="Allmänt"/>
          <w:gallery w:val="placeholder"/>
        </w:category>
        <w:types>
          <w:type w:val="bbPlcHdr"/>
        </w:types>
        <w:behaviors>
          <w:behavior w:val="content"/>
        </w:behaviors>
        <w:guid w:val="{0FA5EACF-1FB9-4376-9636-327195966585}"/>
      </w:docPartPr>
      <w:docPartBody>
        <w:p w:rsidR="00CD2624" w:rsidRDefault="00CD2624">
          <w:pPr>
            <w:pStyle w:val="EE6B99612D3A4C2E82AD9E08D3D79A8E"/>
          </w:pPr>
          <w:r>
            <w:rPr>
              <w:rStyle w:val="Platshllartext"/>
            </w:rPr>
            <w:t xml:space="preserve"> </w:t>
          </w:r>
        </w:p>
      </w:docPartBody>
    </w:docPart>
    <w:docPart>
      <w:docPartPr>
        <w:name w:val="DA7DA86953984150A5DE9B82196F01EC"/>
        <w:category>
          <w:name w:val="Allmänt"/>
          <w:gallery w:val="placeholder"/>
        </w:category>
        <w:types>
          <w:type w:val="bbPlcHdr"/>
        </w:types>
        <w:behaviors>
          <w:behavior w:val="content"/>
        </w:behaviors>
        <w:guid w:val="{F6824CCB-3182-4025-832A-53A36DC7350C}"/>
      </w:docPartPr>
      <w:docPartBody>
        <w:p w:rsidR="00CD2624" w:rsidRDefault="00CD2624">
          <w:pPr>
            <w:pStyle w:val="DA7DA86953984150A5DE9B82196F01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624"/>
    <w:rsid w:val="00CD2624"/>
    <w:rsid w:val="00CD76D7"/>
    <w:rsid w:val="00E21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76D7"/>
    <w:rPr>
      <w:color w:val="F4B083" w:themeColor="accent2" w:themeTint="99"/>
    </w:rPr>
  </w:style>
  <w:style w:type="paragraph" w:customStyle="1" w:styleId="F6DB15D7DF8A4E2B9151654FD2F094A7">
    <w:name w:val="F6DB15D7DF8A4E2B9151654FD2F094A7"/>
  </w:style>
  <w:style w:type="paragraph" w:customStyle="1" w:styleId="542C0BD5055C4CA888EE8D65FD8F8C93">
    <w:name w:val="542C0BD5055C4CA888EE8D65FD8F8C93"/>
  </w:style>
  <w:style w:type="paragraph" w:customStyle="1" w:styleId="F52C3843B9774FA5891125243C7C9685">
    <w:name w:val="F52C3843B9774FA5891125243C7C9685"/>
  </w:style>
  <w:style w:type="paragraph" w:customStyle="1" w:styleId="56947E4CEFAB49238774BB23BE62B8D3">
    <w:name w:val="56947E4CEFAB49238774BB23BE62B8D3"/>
  </w:style>
  <w:style w:type="paragraph" w:customStyle="1" w:styleId="80F1F69FC8A643DB8489ECBB99205BA8">
    <w:name w:val="80F1F69FC8A643DB8489ECBB99205BA8"/>
  </w:style>
  <w:style w:type="paragraph" w:customStyle="1" w:styleId="C943942C7DC7486480D61AA3A056396E">
    <w:name w:val="C943942C7DC7486480D61AA3A056396E"/>
  </w:style>
  <w:style w:type="paragraph" w:customStyle="1" w:styleId="EE6B99612D3A4C2E82AD9E08D3D79A8E">
    <w:name w:val="EE6B99612D3A4C2E82AD9E08D3D79A8E"/>
  </w:style>
  <w:style w:type="paragraph" w:customStyle="1" w:styleId="DA7DA86953984150A5DE9B82196F01EC">
    <w:name w:val="DA7DA86953984150A5DE9B82196F0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A09748-B826-4E80-AAB8-7AB08BCFC2DF}"/>
</file>

<file path=customXml/itemProps2.xml><?xml version="1.0" encoding="utf-8"?>
<ds:datastoreItem xmlns:ds="http://schemas.openxmlformats.org/officeDocument/2006/customXml" ds:itemID="{3972CA6C-F4F2-4BF2-A819-6EB93F1F6D09}"/>
</file>

<file path=customXml/itemProps3.xml><?xml version="1.0" encoding="utf-8"?>
<ds:datastoreItem xmlns:ds="http://schemas.openxmlformats.org/officeDocument/2006/customXml" ds:itemID="{CC3537DE-FDDC-4B5F-BC94-F7DA4FBD17F6}"/>
</file>

<file path=docProps/app.xml><?xml version="1.0" encoding="utf-8"?>
<Properties xmlns="http://schemas.openxmlformats.org/officeDocument/2006/extended-properties" xmlns:vt="http://schemas.openxmlformats.org/officeDocument/2006/docPropsVTypes">
  <Template>Normal</Template>
  <TotalTime>483</TotalTime>
  <Pages>6</Pages>
  <Words>2224</Words>
  <Characters>12746</Characters>
  <Application>Microsoft Office Word</Application>
  <DocSecurity>0</DocSecurity>
  <Lines>205</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 med anledning av proposition 2017 18 156 Ny lag om tobak och liknande produkter</vt:lpstr>
      <vt:lpstr>
      </vt:lpstr>
    </vt:vector>
  </TitlesOfParts>
  <Company>Sveriges riksdag</Company>
  <LinksUpToDate>false</LinksUpToDate>
  <CharactersWithSpaces>14914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