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9438DB" w14:textId="77777777" w:rsidTr="00CD7FE6">
        <w:tc>
          <w:tcPr>
            <w:tcW w:w="2268" w:type="dxa"/>
          </w:tcPr>
          <w:p w14:paraId="5585CACE" w14:textId="18E5C730" w:rsidR="006E4E11" w:rsidRDefault="006E4E11" w:rsidP="00343F55">
            <w:pPr>
              <w:framePr w:w="5035" w:h="1644" w:wrap="notBeside" w:vAnchor="page" w:hAnchor="page" w:x="6421" w:y="138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C22864" w14:textId="77777777" w:rsidR="006E4E11" w:rsidRDefault="006E4E11" w:rsidP="00343F55">
            <w:pPr>
              <w:framePr w:w="5035" w:h="1644" w:wrap="notBeside" w:vAnchor="page" w:hAnchor="page" w:x="6421" w:y="138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14:paraId="1AF33E16" w14:textId="77777777" w:rsidTr="00CD7FE6">
        <w:tc>
          <w:tcPr>
            <w:tcW w:w="5267" w:type="dxa"/>
            <w:gridSpan w:val="3"/>
          </w:tcPr>
          <w:p w14:paraId="2055E9B3" w14:textId="77777777" w:rsidR="00CD7FE6" w:rsidRDefault="00CD7FE6" w:rsidP="00343F55">
            <w:pPr>
              <w:framePr w:w="5035" w:h="1644" w:wrap="notBeside" w:vAnchor="page" w:hAnchor="page" w:x="6421" w:y="138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702A8F67" w14:textId="77777777" w:rsidTr="00CD7FE6">
        <w:tc>
          <w:tcPr>
            <w:tcW w:w="3402" w:type="dxa"/>
            <w:gridSpan w:val="2"/>
          </w:tcPr>
          <w:p w14:paraId="00A1A577" w14:textId="77777777" w:rsidR="006E4E11" w:rsidRDefault="006E4E11" w:rsidP="00343F55">
            <w:pPr>
              <w:framePr w:w="5035" w:h="1644" w:wrap="notBeside" w:vAnchor="page" w:hAnchor="page" w:x="6421" w:y="1381"/>
            </w:pPr>
          </w:p>
        </w:tc>
        <w:tc>
          <w:tcPr>
            <w:tcW w:w="1865" w:type="dxa"/>
          </w:tcPr>
          <w:p w14:paraId="5455870B" w14:textId="77777777" w:rsidR="006E4E11" w:rsidRDefault="006E4E11" w:rsidP="00343F55">
            <w:pPr>
              <w:framePr w:w="5035" w:h="1644" w:wrap="notBeside" w:vAnchor="page" w:hAnchor="page" w:x="6421" w:y="1381"/>
            </w:pPr>
          </w:p>
        </w:tc>
      </w:tr>
      <w:tr w:rsidR="006E4E11" w14:paraId="6B1F876B" w14:textId="77777777" w:rsidTr="00CD7FE6">
        <w:tc>
          <w:tcPr>
            <w:tcW w:w="2268" w:type="dxa"/>
          </w:tcPr>
          <w:p w14:paraId="2BCC68FE" w14:textId="7882C204" w:rsidR="006E4E11" w:rsidRDefault="00CD7FE6" w:rsidP="00343F55">
            <w:pPr>
              <w:framePr w:w="5035" w:h="1644" w:wrap="notBeside" w:vAnchor="page" w:hAnchor="page" w:x="6421" w:y="1381"/>
            </w:pPr>
            <w:r>
              <w:t>201</w:t>
            </w:r>
            <w:r w:rsidR="00AF633A">
              <w:t>6</w:t>
            </w:r>
            <w:r w:rsidR="00AC696E">
              <w:t>-</w:t>
            </w:r>
            <w:r w:rsidR="006F45B4">
              <w:t>04</w:t>
            </w:r>
            <w:r w:rsidR="00BC3FBB">
              <w:t>-</w:t>
            </w:r>
            <w:r w:rsidR="00642C3A">
              <w:t>11</w:t>
            </w:r>
          </w:p>
        </w:tc>
        <w:tc>
          <w:tcPr>
            <w:tcW w:w="2999" w:type="dxa"/>
            <w:gridSpan w:val="2"/>
          </w:tcPr>
          <w:p w14:paraId="5BE49471" w14:textId="77777777" w:rsidR="006E4E11" w:rsidRPr="00ED583F" w:rsidRDefault="006E4E11" w:rsidP="00343F55">
            <w:pPr>
              <w:framePr w:w="5035" w:h="1644" w:wrap="notBeside" w:vAnchor="page" w:hAnchor="page" w:x="6421" w:y="1381"/>
              <w:rPr>
                <w:sz w:val="20"/>
              </w:rPr>
            </w:pPr>
          </w:p>
        </w:tc>
      </w:tr>
      <w:tr w:rsidR="006E4E11" w14:paraId="73091D1F" w14:textId="77777777" w:rsidTr="00CD7FE6">
        <w:tc>
          <w:tcPr>
            <w:tcW w:w="2268" w:type="dxa"/>
          </w:tcPr>
          <w:p w14:paraId="339B01F1" w14:textId="77777777" w:rsidR="006E4E11" w:rsidRDefault="006E4E11" w:rsidP="00343F55">
            <w:pPr>
              <w:framePr w:w="5035" w:h="1644" w:wrap="notBeside" w:vAnchor="page" w:hAnchor="page" w:x="6421" w:y="1381"/>
            </w:pPr>
          </w:p>
        </w:tc>
        <w:tc>
          <w:tcPr>
            <w:tcW w:w="2999" w:type="dxa"/>
            <w:gridSpan w:val="2"/>
          </w:tcPr>
          <w:p w14:paraId="5CA64DF2" w14:textId="77777777" w:rsidR="006E4E11" w:rsidRDefault="006E4E11" w:rsidP="00343F55">
            <w:pPr>
              <w:framePr w:w="5035" w:h="1644" w:wrap="notBeside" w:vAnchor="page" w:hAnchor="page" w:x="6421" w:y="1381"/>
            </w:pPr>
          </w:p>
        </w:tc>
      </w:tr>
    </w:tbl>
    <w:p w14:paraId="3FAF10CB" w14:textId="77777777" w:rsidR="00C6013E" w:rsidRPr="00C6013E" w:rsidRDefault="00C6013E" w:rsidP="00C6013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8DF67A" w14:textId="77777777">
        <w:trPr>
          <w:trHeight w:val="284"/>
        </w:trPr>
        <w:tc>
          <w:tcPr>
            <w:tcW w:w="4911" w:type="dxa"/>
          </w:tcPr>
          <w:p w14:paraId="3A241031" w14:textId="77777777" w:rsidR="006E4E11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EEA48EF" w14:textId="77777777">
        <w:trPr>
          <w:trHeight w:val="284"/>
        </w:trPr>
        <w:tc>
          <w:tcPr>
            <w:tcW w:w="4911" w:type="dxa"/>
          </w:tcPr>
          <w:p w14:paraId="2535758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CF479C" w14:textId="77777777">
        <w:trPr>
          <w:trHeight w:val="284"/>
        </w:trPr>
        <w:tc>
          <w:tcPr>
            <w:tcW w:w="4911" w:type="dxa"/>
          </w:tcPr>
          <w:p w14:paraId="4CFCB597" w14:textId="77777777" w:rsidR="006E4E11" w:rsidRDefault="006F45B4" w:rsidP="006F45B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Polis</w:t>
            </w:r>
            <w:r w:rsidR="00CD7FE6">
              <w:rPr>
                <w:bCs/>
                <w:iCs/>
              </w:rPr>
              <w:t>enheten</w:t>
            </w:r>
          </w:p>
        </w:tc>
      </w:tr>
      <w:tr w:rsidR="006E4E11" w14:paraId="76269A3E" w14:textId="77777777">
        <w:trPr>
          <w:trHeight w:val="284"/>
        </w:trPr>
        <w:tc>
          <w:tcPr>
            <w:tcW w:w="4911" w:type="dxa"/>
          </w:tcPr>
          <w:p w14:paraId="4BFAF8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AE6CC3" w14:textId="77777777">
        <w:trPr>
          <w:trHeight w:val="284"/>
        </w:trPr>
        <w:tc>
          <w:tcPr>
            <w:tcW w:w="4911" w:type="dxa"/>
          </w:tcPr>
          <w:p w14:paraId="41F846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343F3A" w14:textId="77777777">
        <w:trPr>
          <w:trHeight w:val="284"/>
        </w:trPr>
        <w:tc>
          <w:tcPr>
            <w:tcW w:w="4911" w:type="dxa"/>
          </w:tcPr>
          <w:p w14:paraId="7A8F5EC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82C43F" w14:textId="77777777">
        <w:trPr>
          <w:trHeight w:val="284"/>
        </w:trPr>
        <w:tc>
          <w:tcPr>
            <w:tcW w:w="4911" w:type="dxa"/>
          </w:tcPr>
          <w:p w14:paraId="146A77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83C3EB" w14:textId="77777777">
        <w:trPr>
          <w:trHeight w:val="284"/>
        </w:trPr>
        <w:tc>
          <w:tcPr>
            <w:tcW w:w="4911" w:type="dxa"/>
          </w:tcPr>
          <w:p w14:paraId="5AAF77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B3515D" w14:textId="77777777">
        <w:trPr>
          <w:trHeight w:val="284"/>
        </w:trPr>
        <w:tc>
          <w:tcPr>
            <w:tcW w:w="4911" w:type="dxa"/>
          </w:tcPr>
          <w:p w14:paraId="11FFD5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452863" w14:textId="77777777" w:rsidR="006E4E11" w:rsidRPr="00CD7FE6" w:rsidRDefault="006E4E11">
      <w:pPr>
        <w:framePr w:w="4400" w:h="2523" w:wrap="notBeside" w:vAnchor="page" w:hAnchor="page" w:x="6453" w:y="2445"/>
        <w:ind w:left="142"/>
        <w:rPr>
          <w:b/>
        </w:rPr>
      </w:pPr>
      <w:bookmarkStart w:id="0" w:name="_GoBack"/>
      <w:bookmarkEnd w:id="0"/>
    </w:p>
    <w:p w14:paraId="582B425E" w14:textId="42172F9D" w:rsidR="00CD7FE6" w:rsidRDefault="004E714C">
      <w:pPr>
        <w:pStyle w:val="RKrubrik"/>
        <w:pBdr>
          <w:bottom w:val="single" w:sz="6" w:space="1" w:color="auto"/>
        </w:pBdr>
      </w:pPr>
      <w:bookmarkStart w:id="1" w:name="bRubrik"/>
      <w:bookmarkEnd w:id="1"/>
      <w:r w:rsidRPr="004E714C">
        <w:rPr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79A337E" wp14:editId="0F5BF967">
                <wp:simplePos x="0" y="0"/>
                <wp:positionH relativeFrom="column">
                  <wp:posOffset>3209925</wp:posOffset>
                </wp:positionH>
                <wp:positionV relativeFrom="paragraph">
                  <wp:posOffset>-1910715</wp:posOffset>
                </wp:positionV>
                <wp:extent cx="2381250" cy="1404620"/>
                <wp:effectExtent l="0" t="0" r="0" b="762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CB31D" w14:textId="676CC332" w:rsidR="004E714C" w:rsidRDefault="004E714C">
                            <w:r>
                              <w:t xml:space="preserve">RIF, </w:t>
                            </w:r>
                            <w:proofErr w:type="spellStart"/>
                            <w:r>
                              <w:t>dp</w:t>
                            </w:r>
                            <w:proofErr w:type="spellEnd"/>
                            <w:r>
                              <w:t>. 3</w:t>
                            </w:r>
                            <w:r>
                              <w:br/>
                              <w:t xml:space="preserve">Gemensamma kommittén, </w:t>
                            </w:r>
                            <w:proofErr w:type="spellStart"/>
                            <w:r>
                              <w:t>dp</w:t>
                            </w:r>
                            <w:proofErr w:type="spellEnd"/>
                            <w:r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A337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2.75pt;margin-top:-150.45pt;width:187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YP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" stroked="f">
                <v:textbox style="mso-fit-shape-to-text:t">
                  <w:txbxContent>
                    <w:p w14:paraId="2AECB31D" w14:textId="676CC332" w:rsidR="004E714C" w:rsidRDefault="004E714C">
                      <w:r>
                        <w:t xml:space="preserve">RIF, </w:t>
                      </w:r>
                      <w:proofErr w:type="spellStart"/>
                      <w:r>
                        <w:t>dp</w:t>
                      </w:r>
                      <w:proofErr w:type="spellEnd"/>
                      <w:r>
                        <w:t>. 3</w:t>
                      </w:r>
                      <w:r>
                        <w:br/>
                        <w:t xml:space="preserve">Gemensamma kommittén, </w:t>
                      </w:r>
                      <w:proofErr w:type="spellStart"/>
                      <w:r>
                        <w:t>dp</w:t>
                      </w:r>
                      <w:proofErr w:type="spellEnd"/>
                      <w:r>
                        <w:t>. 2</w:t>
                      </w:r>
                    </w:p>
                  </w:txbxContent>
                </v:textbox>
              </v:shape>
            </w:pict>
          </mc:Fallback>
        </mc:AlternateContent>
      </w:r>
      <w:r w:rsidR="00CD7FE6">
        <w:t xml:space="preserve">Rådets möte </w:t>
      </w:r>
      <w:r w:rsidR="00AC696E">
        <w:t xml:space="preserve">för rättsliga och inrikes frågor </w:t>
      </w:r>
      <w:r w:rsidR="00CD7FE6">
        <w:t>(</w:t>
      </w:r>
      <w:r w:rsidR="00AC696E">
        <w:t>RIF</w:t>
      </w:r>
      <w:r w:rsidR="00CD7FE6">
        <w:t>)</w:t>
      </w:r>
      <w:r w:rsidR="00AC696E">
        <w:t xml:space="preserve"> </w:t>
      </w:r>
      <w:r w:rsidR="00CD7FE6">
        <w:t xml:space="preserve">den </w:t>
      </w:r>
      <w:r w:rsidR="006F45B4">
        <w:t>21 april 2016</w:t>
      </w:r>
    </w:p>
    <w:p w14:paraId="0E9DF947" w14:textId="77777777" w:rsidR="00CD7FE6" w:rsidRDefault="00CD7FE6">
      <w:pPr>
        <w:pStyle w:val="RKnormal"/>
      </w:pPr>
    </w:p>
    <w:p w14:paraId="5D70C633" w14:textId="13CDBA92" w:rsidR="00CD7FE6" w:rsidRDefault="006F45B4">
      <w:pPr>
        <w:pStyle w:val="RKnormal"/>
      </w:pPr>
      <w:r>
        <w:t xml:space="preserve">Dagordningspunkt: 3 </w:t>
      </w:r>
      <w:r w:rsidR="00935899" w:rsidRPr="003C0962">
        <w:t>(rådet)</w:t>
      </w:r>
      <w:r w:rsidR="00935899">
        <w:t xml:space="preserve"> </w:t>
      </w:r>
    </w:p>
    <w:p w14:paraId="27182248" w14:textId="5B7D7F1F" w:rsidR="00935899" w:rsidRPr="003C0962" w:rsidRDefault="00935899" w:rsidP="00935899">
      <w:pPr>
        <w:pStyle w:val="RKnormal"/>
      </w:pPr>
      <w:r w:rsidRPr="003C0962">
        <w:t>Dagordningspunkt</w:t>
      </w:r>
      <w:r w:rsidR="00642C3A">
        <w:t>:</w:t>
      </w:r>
      <w:r>
        <w:t xml:space="preserve"> 2</w:t>
      </w:r>
      <w:r w:rsidRPr="003C0962">
        <w:t xml:space="preserve"> (gemensamma kommittén) </w:t>
      </w:r>
    </w:p>
    <w:p w14:paraId="2A126848" w14:textId="77777777" w:rsidR="00935899" w:rsidRPr="00642C3A" w:rsidRDefault="00935899">
      <w:pPr>
        <w:pStyle w:val="RKnormal"/>
        <w:rPr>
          <w:szCs w:val="24"/>
        </w:rPr>
      </w:pPr>
    </w:p>
    <w:p w14:paraId="4A706F37" w14:textId="77777777" w:rsidR="00CD7FE6" w:rsidRPr="00642C3A" w:rsidRDefault="00CD7FE6">
      <w:pPr>
        <w:pStyle w:val="RKnormal"/>
        <w:rPr>
          <w:szCs w:val="24"/>
        </w:rPr>
      </w:pPr>
    </w:p>
    <w:p w14:paraId="1E230CF1" w14:textId="0FCA2C7D" w:rsidR="00935899" w:rsidRPr="00642C3A" w:rsidRDefault="00CD7FE6" w:rsidP="00935899">
      <w:pPr>
        <w:pStyle w:val="Default"/>
        <w:rPr>
          <w:rFonts w:ascii="OrigGarmnd BT" w:hAnsi="OrigGarmnd BT"/>
        </w:rPr>
      </w:pPr>
      <w:r w:rsidRPr="00642C3A">
        <w:rPr>
          <w:rFonts w:ascii="OrigGarmnd BT" w:hAnsi="OrigGarmnd BT"/>
        </w:rPr>
        <w:t>Rubrik:</w:t>
      </w:r>
      <w:r w:rsidR="00642C3A" w:rsidRPr="00642C3A">
        <w:rPr>
          <w:rFonts w:ascii="OrigGarmnd BT" w:hAnsi="OrigGarmnd BT"/>
        </w:rPr>
        <w:t xml:space="preserve"> </w:t>
      </w:r>
      <w:r w:rsidR="00935899" w:rsidRPr="00642C3A">
        <w:rPr>
          <w:rFonts w:ascii="OrigGarmnd BT" w:hAnsi="OrigGarmnd BT"/>
          <w:b/>
          <w:bCs/>
        </w:rPr>
        <w:t xml:space="preserve">Europeisk gräns- och kustbevakning. </w:t>
      </w:r>
      <w:r w:rsidR="00935899" w:rsidRPr="00642C3A">
        <w:rPr>
          <w:rFonts w:ascii="OrigGarmnd BT" w:hAnsi="OrigGarmnd BT"/>
        </w:rPr>
        <w:t xml:space="preserve">Förslag till Europaparlamentets och rådets förordning om en europeisk gräns- och kustbevakning och om upphävande av förordning (EG) nr 2007/2004, förordning (EG) nr 863/2007 och rådets beslut 2005/267/EG </w:t>
      </w:r>
      <w:r w:rsidR="00935899" w:rsidRPr="00642C3A">
        <w:rPr>
          <w:rFonts w:ascii="OrigGarmnd BT" w:hAnsi="OrigGarmnd BT"/>
          <w:bCs/>
        </w:rPr>
        <w:t>(första behandlingen)</w:t>
      </w:r>
      <w:r w:rsidR="00935899" w:rsidRPr="00642C3A">
        <w:rPr>
          <w:rFonts w:ascii="OrigGarmnd BT" w:hAnsi="OrigGarmnd BT"/>
          <w:b/>
          <w:bCs/>
        </w:rPr>
        <w:t xml:space="preserve"> </w:t>
      </w:r>
    </w:p>
    <w:p w14:paraId="56675EE8" w14:textId="41B4320C" w:rsidR="00CD7FE6" w:rsidRPr="00642C3A" w:rsidRDefault="00935899" w:rsidP="00935899">
      <w:pPr>
        <w:pStyle w:val="RKnormal"/>
        <w:rPr>
          <w:szCs w:val="24"/>
        </w:rPr>
      </w:pPr>
      <w:r w:rsidRPr="00642C3A">
        <w:rPr>
          <w:szCs w:val="24"/>
        </w:rPr>
        <w:t>= Lägesrapport</w:t>
      </w:r>
    </w:p>
    <w:p w14:paraId="56B0C086" w14:textId="77777777" w:rsidR="00CD7FE6" w:rsidRPr="00D00110" w:rsidRDefault="00CD7FE6">
      <w:pPr>
        <w:pStyle w:val="RKnormal"/>
      </w:pPr>
    </w:p>
    <w:p w14:paraId="55D6B124" w14:textId="77777777" w:rsidR="00CD7FE6" w:rsidRPr="00D00110" w:rsidRDefault="00CD7FE6">
      <w:pPr>
        <w:pStyle w:val="RKnormal"/>
        <w:rPr>
          <w:i/>
        </w:rPr>
      </w:pPr>
      <w:r w:rsidRPr="00D00110">
        <w:t>Dokument:</w:t>
      </w:r>
      <w:r w:rsidR="00E05440" w:rsidRPr="00D00110">
        <w:t xml:space="preserve"> </w:t>
      </w:r>
      <w:r w:rsidR="00E05440" w:rsidRPr="006F45B4">
        <w:t>Det har ännu inte presenterats något dokument för behandlingen i rådet</w:t>
      </w:r>
      <w:r w:rsidR="00402452">
        <w:t>.</w:t>
      </w:r>
    </w:p>
    <w:p w14:paraId="28569177" w14:textId="77777777" w:rsidR="00CD7FE6" w:rsidRPr="00D00110" w:rsidRDefault="00CD7FE6">
      <w:pPr>
        <w:pStyle w:val="RKnormal"/>
      </w:pPr>
    </w:p>
    <w:p w14:paraId="1C173E7A" w14:textId="77777777" w:rsidR="00CD7FE6" w:rsidRPr="006F45B4" w:rsidRDefault="00CD7FE6">
      <w:pPr>
        <w:pStyle w:val="RKnormal"/>
      </w:pPr>
      <w:r w:rsidRPr="00D00110">
        <w:t>Tidigare dokument:</w:t>
      </w:r>
      <w:r w:rsidR="00E05440" w:rsidRPr="00D00110">
        <w:t xml:space="preserve"> </w:t>
      </w:r>
      <w:r w:rsidR="006F45B4" w:rsidRPr="006F45B4">
        <w:t>Fakta-PM 2015/</w:t>
      </w:r>
      <w:proofErr w:type="gramStart"/>
      <w:r w:rsidR="006F45B4" w:rsidRPr="006F45B4">
        <w:t>16:FPM</w:t>
      </w:r>
      <w:proofErr w:type="gramEnd"/>
      <w:r w:rsidR="006F45B4" w:rsidRPr="006F45B4">
        <w:t>45, 15398/15 FRONT 295 CODEC 1755 COMIX 706</w:t>
      </w:r>
    </w:p>
    <w:p w14:paraId="42C4834B" w14:textId="77777777" w:rsidR="006F45B4" w:rsidRDefault="006F45B4">
      <w:pPr>
        <w:pStyle w:val="RKnormal"/>
      </w:pPr>
    </w:p>
    <w:p w14:paraId="07EDBE33" w14:textId="0203B207" w:rsidR="0098347F" w:rsidRPr="00DE30FF" w:rsidRDefault="00CD7FE6" w:rsidP="0098347F">
      <w:pPr>
        <w:pStyle w:val="RKnormal"/>
      </w:pPr>
      <w:r w:rsidRPr="00D00110">
        <w:t xml:space="preserve">Tidigare behandlad vid samråd med EU-nämnden: </w:t>
      </w:r>
      <w:r w:rsidR="0098347F">
        <w:t>Den</w:t>
      </w:r>
      <w:r w:rsidR="000853D2">
        <w:t xml:space="preserve"> 19 februari 2016 </w:t>
      </w:r>
      <w:r w:rsidR="0098347F">
        <w:t xml:space="preserve">i samband med rådet för rättsliga och inrikes frågor (RIF-rådet) den </w:t>
      </w:r>
      <w:r w:rsidR="000853D2">
        <w:t xml:space="preserve">25 februari samt den 4 mars 2016 inför RIF-rådet den </w:t>
      </w:r>
      <w:r w:rsidR="0098347F">
        <w:t>10</w:t>
      </w:r>
      <w:r w:rsidR="005B4C35">
        <w:t>–</w:t>
      </w:r>
      <w:r w:rsidR="0098347F">
        <w:t>11 mars.</w:t>
      </w:r>
    </w:p>
    <w:p w14:paraId="46A657DC" w14:textId="77777777" w:rsidR="00CD7FE6" w:rsidRPr="00D00110" w:rsidRDefault="00CD7FE6">
      <w:pPr>
        <w:pStyle w:val="RKnormal"/>
      </w:pPr>
    </w:p>
    <w:p w14:paraId="768568A3" w14:textId="11828DF5" w:rsidR="00CD7FE6" w:rsidRPr="00D00110" w:rsidRDefault="00CD7FE6">
      <w:pPr>
        <w:pStyle w:val="RKnormal"/>
        <w:rPr>
          <w:i/>
        </w:rPr>
      </w:pPr>
      <w:r w:rsidRPr="00D00110">
        <w:t xml:space="preserve">Tidigare behandlad vid överläggning med eller information till riksdagsutskott: </w:t>
      </w:r>
      <w:r w:rsidR="000853D2">
        <w:t xml:space="preserve">Information till justitieutskottet den 2 februari 2016, överläggning med justitieutskottet den 11 februari samt </w:t>
      </w:r>
      <w:r w:rsidR="00A54A6D">
        <w:t xml:space="preserve">den </w:t>
      </w:r>
      <w:r w:rsidR="0098347F">
        <w:t xml:space="preserve">3 mars 2016 </w:t>
      </w:r>
      <w:r w:rsidR="006F45B4">
        <w:t xml:space="preserve">i samband med </w:t>
      </w:r>
      <w:r w:rsidR="00EE7A04">
        <w:t>RIF-rådsmötet</w:t>
      </w:r>
      <w:r w:rsidR="0098347F">
        <w:t xml:space="preserve"> den 10</w:t>
      </w:r>
      <w:r w:rsidR="00802898">
        <w:t>–</w:t>
      </w:r>
      <w:r w:rsidR="0098347F">
        <w:t>11 mars.</w:t>
      </w:r>
      <w:r w:rsidR="00402452">
        <w:t xml:space="preserve"> </w:t>
      </w:r>
    </w:p>
    <w:p w14:paraId="770C2D9F" w14:textId="77777777" w:rsidR="00CD7FE6" w:rsidRPr="00D00110" w:rsidRDefault="00CD7FE6">
      <w:pPr>
        <w:pStyle w:val="RKrubrik"/>
      </w:pPr>
      <w:r w:rsidRPr="00D00110">
        <w:t>Bakgrund</w:t>
      </w:r>
    </w:p>
    <w:p w14:paraId="293F2912" w14:textId="785D4724" w:rsidR="0098347F" w:rsidRDefault="00402452" w:rsidP="006F45B4">
      <w:pPr>
        <w:pStyle w:val="RKnormal"/>
      </w:pPr>
      <w:r>
        <w:t xml:space="preserve">Schengensamarbetet har under de senaste månaderna satts under stort tryck med anledning av </w:t>
      </w:r>
      <w:r w:rsidRPr="00E740F8">
        <w:t>migrationskrisen</w:t>
      </w:r>
      <w:r>
        <w:t xml:space="preserve">, vilket lett till att allvarliga brister vid EU:s yttre gränser uppenbarats. </w:t>
      </w:r>
      <w:r w:rsidR="00650147">
        <w:t xml:space="preserve">En långsiktig åtgärd för att stärka kontrollen vid yttre gräns är </w:t>
      </w:r>
      <w:r w:rsidR="00567BE0">
        <w:t>k</w:t>
      </w:r>
      <w:r w:rsidR="006F45B4" w:rsidRPr="00046F9D">
        <w:t>ommissionen</w:t>
      </w:r>
      <w:r w:rsidR="00567BE0">
        <w:t>s</w:t>
      </w:r>
      <w:r w:rsidR="006F45B4" w:rsidRPr="00046F9D">
        <w:t xml:space="preserve"> </w:t>
      </w:r>
      <w:r w:rsidR="006F45B4" w:rsidRPr="00046F9D">
        <w:lastRenderedPageBreak/>
        <w:t>förslag till förordning om en europeisk gräns- och kustbev</w:t>
      </w:r>
      <w:r w:rsidR="006F45B4">
        <w:t xml:space="preserve">akning </w:t>
      </w:r>
      <w:r w:rsidR="00567BE0">
        <w:t xml:space="preserve">som presenterades </w:t>
      </w:r>
      <w:r w:rsidR="006F45B4">
        <w:t>den 15 december 2015.</w:t>
      </w:r>
      <w:r w:rsidR="00BE0085">
        <w:t xml:space="preserve"> Ministrarna höll en initial diskussion</w:t>
      </w:r>
      <w:r w:rsidR="006F45B4">
        <w:t xml:space="preserve"> </w:t>
      </w:r>
      <w:r w:rsidR="00BE0085">
        <w:t>vid informella RIF den 25</w:t>
      </w:r>
      <w:r w:rsidR="00802898">
        <w:t>–</w:t>
      </w:r>
      <w:r w:rsidR="00BE0085">
        <w:t xml:space="preserve">26 januari. </w:t>
      </w:r>
      <w:r w:rsidR="006F45B4" w:rsidRPr="00046F9D">
        <w:t>I Europeiska r</w:t>
      </w:r>
      <w:r w:rsidR="00642C3A">
        <w:t>ådets slutsatser från den 18–</w:t>
      </w:r>
      <w:r w:rsidR="006F45B4">
        <w:t xml:space="preserve">19 februari </w:t>
      </w:r>
      <w:r w:rsidR="006F45B4" w:rsidRPr="00046F9D">
        <w:t>fasts</w:t>
      </w:r>
      <w:r w:rsidR="00567BE0">
        <w:t>log</w:t>
      </w:r>
      <w:r w:rsidR="006F45B4" w:rsidRPr="00046F9D">
        <w:t xml:space="preserve">s att </w:t>
      </w:r>
      <w:r w:rsidR="006F45B4">
        <w:t>förhandlingstakten sk</w:t>
      </w:r>
      <w:r w:rsidR="00567BE0">
        <w:t>ulle</w:t>
      </w:r>
      <w:r w:rsidR="006F45B4">
        <w:t xml:space="preserve"> öka för att nå en politisk överenskommelse med Europaparlamentet om </w:t>
      </w:r>
      <w:r w:rsidR="006F45B4" w:rsidRPr="00046F9D">
        <w:t xml:space="preserve">förslaget under nederländskt ordförandeskap. </w:t>
      </w:r>
      <w:r w:rsidR="0098347F">
        <w:t>Vid RIF-</w:t>
      </w:r>
      <w:r w:rsidR="00EE7A04">
        <w:t>rådsmötena</w:t>
      </w:r>
      <w:r w:rsidR="0098347F">
        <w:t xml:space="preserve"> </w:t>
      </w:r>
      <w:r w:rsidR="006F45B4">
        <w:t xml:space="preserve">den 25 februari </w:t>
      </w:r>
      <w:r w:rsidR="0098347F">
        <w:t xml:space="preserve">respektive </w:t>
      </w:r>
      <w:r w:rsidR="00BE0085">
        <w:t xml:space="preserve">den </w:t>
      </w:r>
      <w:r w:rsidR="0098347F">
        <w:t>10</w:t>
      </w:r>
      <w:r w:rsidR="00BE0085">
        <w:t>–</w:t>
      </w:r>
      <w:r w:rsidR="0098347F">
        <w:t xml:space="preserve">11 mars </w:t>
      </w:r>
      <w:r w:rsidR="006F45B4">
        <w:t xml:space="preserve">presenterade ordförandeskapet en lägesrapport om hur långt man kommit i förhandlingarna. </w:t>
      </w:r>
    </w:p>
    <w:p w14:paraId="77175833" w14:textId="77777777" w:rsidR="0098347F" w:rsidRDefault="0098347F" w:rsidP="006F45B4">
      <w:pPr>
        <w:pStyle w:val="RKnormal"/>
      </w:pPr>
    </w:p>
    <w:p w14:paraId="559F935D" w14:textId="675BB9D4" w:rsidR="00057EBD" w:rsidRDefault="0098347F" w:rsidP="006F45B4">
      <w:pPr>
        <w:pStyle w:val="RKnormal"/>
      </w:pPr>
      <w:r w:rsidRPr="0098347F">
        <w:t>Kommissionens förslag har diskuterats på arbetsgruppsniv</w:t>
      </w:r>
      <w:r>
        <w:t>å i rådet (gränsgruppen)</w:t>
      </w:r>
      <w:r w:rsidR="00650147">
        <w:t>,</w:t>
      </w:r>
      <w:r>
        <w:t xml:space="preserve"> vid rättsrådgivarmöten</w:t>
      </w:r>
      <w:r w:rsidR="00650147">
        <w:t xml:space="preserve">, i </w:t>
      </w:r>
      <w:r w:rsidRPr="0098347F">
        <w:t>informella Strategiska kommittén för invandrin</w:t>
      </w:r>
      <w:r w:rsidR="00642C3A">
        <w:t>g, gränser och asyl (</w:t>
      </w:r>
      <w:proofErr w:type="spellStart"/>
      <w:r w:rsidR="00642C3A">
        <w:t>Scifa</w:t>
      </w:r>
      <w:proofErr w:type="spellEnd"/>
      <w:r w:rsidR="00642C3A">
        <w:t xml:space="preserve">)samt </w:t>
      </w:r>
      <w:r w:rsidR="00650147">
        <w:t xml:space="preserve">stämts av i </w:t>
      </w:r>
      <w:proofErr w:type="spellStart"/>
      <w:r w:rsidR="00057EBD">
        <w:t>Cor</w:t>
      </w:r>
      <w:r w:rsidR="00650147">
        <w:t>e</w:t>
      </w:r>
      <w:r w:rsidR="00057EBD">
        <w:t>per</w:t>
      </w:r>
      <w:proofErr w:type="spellEnd"/>
      <w:r w:rsidR="00650147">
        <w:t xml:space="preserve"> vid ett flertal tillfällen där det</w:t>
      </w:r>
      <w:r w:rsidR="00057EBD">
        <w:t xml:space="preserve"> funnit</w:t>
      </w:r>
      <w:r w:rsidR="00650147">
        <w:t>s</w:t>
      </w:r>
      <w:r w:rsidR="00057EBD">
        <w:t xml:space="preserve"> ett brett stöd </w:t>
      </w:r>
      <w:r w:rsidR="00650147">
        <w:t xml:space="preserve">för förslaget </w:t>
      </w:r>
      <w:r w:rsidR="00057EBD">
        <w:t>bland medlemsstaterna</w:t>
      </w:r>
      <w:r w:rsidR="00057EBD" w:rsidRPr="00057EBD">
        <w:t xml:space="preserve">. </w:t>
      </w:r>
      <w:r w:rsidR="00BE0085">
        <w:t xml:space="preserve">I </w:t>
      </w:r>
      <w:proofErr w:type="spellStart"/>
      <w:r w:rsidR="00BE0085">
        <w:t>Coreper</w:t>
      </w:r>
      <w:proofErr w:type="spellEnd"/>
      <w:r w:rsidR="00BE0085">
        <w:t xml:space="preserve"> den 6 april fick ordförandeskapet mandat att inleda förhandlingar med Europaparl</w:t>
      </w:r>
      <w:r w:rsidR="00026F57">
        <w:t>a</w:t>
      </w:r>
      <w:r w:rsidR="00BE0085">
        <w:t xml:space="preserve">mentet. </w:t>
      </w:r>
    </w:p>
    <w:p w14:paraId="65E533EB" w14:textId="77777777" w:rsidR="00650147" w:rsidRDefault="00650147" w:rsidP="006F45B4">
      <w:pPr>
        <w:pStyle w:val="RKnormal"/>
      </w:pPr>
    </w:p>
    <w:p w14:paraId="2505B61C" w14:textId="456C7D7C" w:rsidR="00650147" w:rsidRDefault="00650147" w:rsidP="00026F57">
      <w:pPr>
        <w:pStyle w:val="RKnormal"/>
      </w:pPr>
      <w:r>
        <w:t xml:space="preserve">Sverige har under förhandlingarna fått gehör för de ståndpunkter </w:t>
      </w:r>
      <w:r w:rsidR="00712676">
        <w:t>som</w:t>
      </w:r>
      <w:r>
        <w:t xml:space="preserve"> fört</w:t>
      </w:r>
      <w:r w:rsidR="00712676">
        <w:t>s</w:t>
      </w:r>
      <w:r>
        <w:t xml:space="preserve"> fram</w:t>
      </w:r>
      <w:r w:rsidR="0019706A">
        <w:t>.</w:t>
      </w:r>
      <w:r w:rsidR="00A54A6D">
        <w:t xml:space="preserve"> </w:t>
      </w:r>
      <w:r w:rsidR="0019706A">
        <w:t>D</w:t>
      </w:r>
      <w:r w:rsidR="00026F57">
        <w:t xml:space="preserve">en kompromisstext som nu ska ligga till grund för förhandlingarna med Europaparlamentet </w:t>
      </w:r>
      <w:r w:rsidR="00A54A6D" w:rsidRPr="00A54A6D">
        <w:t>tillgodoser den svenska ståndpunkten</w:t>
      </w:r>
      <w:r w:rsidR="0019706A">
        <w:t>,</w:t>
      </w:r>
      <w:r w:rsidR="00A54A6D" w:rsidRPr="00A54A6D">
        <w:t xml:space="preserve"> </w:t>
      </w:r>
      <w:r w:rsidR="0019706A">
        <w:t>vilken</w:t>
      </w:r>
      <w:r w:rsidR="00A54A6D" w:rsidRPr="00A54A6D">
        <w:t xml:space="preserve"> </w:t>
      </w:r>
      <w:r w:rsidR="00026F57">
        <w:t xml:space="preserve">har </w:t>
      </w:r>
      <w:r w:rsidR="00A54A6D" w:rsidRPr="00A54A6D">
        <w:t>förankrats i EU-nämnden</w:t>
      </w:r>
      <w:r w:rsidR="00026F57">
        <w:t xml:space="preserve"> och</w:t>
      </w:r>
      <w:r w:rsidR="0019706A">
        <w:t xml:space="preserve"> </w:t>
      </w:r>
      <w:r w:rsidR="00802898">
        <w:t>j</w:t>
      </w:r>
      <w:r w:rsidR="00026F57">
        <w:t>ustitieutskottet</w:t>
      </w:r>
      <w:r w:rsidR="00A54A6D" w:rsidRPr="00A54A6D">
        <w:t xml:space="preserve">. </w:t>
      </w:r>
      <w:r>
        <w:t>Till exempel</w:t>
      </w:r>
      <w:r w:rsidR="00026F57" w:rsidRPr="00026F57">
        <w:t xml:space="preserve"> </w:t>
      </w:r>
      <w:r w:rsidR="00026F57">
        <w:t xml:space="preserve">har </w:t>
      </w:r>
      <w:r w:rsidR="00712676">
        <w:t>en tydlig</w:t>
      </w:r>
      <w:r w:rsidR="00026F57">
        <w:t xml:space="preserve"> roll för medlemsstaterna i beslutsprocess</w:t>
      </w:r>
      <w:r w:rsidR="00712676">
        <w:t xml:space="preserve">en </w:t>
      </w:r>
      <w:r w:rsidR="00CD78B8">
        <w:t xml:space="preserve">om ett ingripande från EU:s sida </w:t>
      </w:r>
      <w:r w:rsidR="00026F57">
        <w:t>i e</w:t>
      </w:r>
      <w:r w:rsidR="00712676">
        <w:t>n medlemsstats gränskontroll</w:t>
      </w:r>
      <w:r w:rsidR="00026F57">
        <w:t xml:space="preserve"> nu tillgodosetts</w:t>
      </w:r>
      <w:r w:rsidR="0019706A">
        <w:t>.</w:t>
      </w:r>
      <w:r w:rsidR="00712676">
        <w:t xml:space="preserve"> </w:t>
      </w:r>
      <w:r w:rsidR="0019706A">
        <w:t>P</w:t>
      </w:r>
      <w:r w:rsidR="00026F57">
        <w:t>å så vis att det är rådet, på förslag från kommissionen, som fat</w:t>
      </w:r>
      <w:r w:rsidR="00712676">
        <w:t>ta</w:t>
      </w:r>
      <w:r w:rsidR="0019706A">
        <w:t>r dessa</w:t>
      </w:r>
      <w:r w:rsidR="00712676">
        <w:t xml:space="preserve"> beslut. Vidare föreslås</w:t>
      </w:r>
      <w:r w:rsidR="00026F57">
        <w:t xml:space="preserve"> endast gränsbyråns styrelse, och inte gränsbyråns verkställande direktör, kunna fatta bindande beslut om vilka åtgärder medlemsstaten i ett tidigare stadium ska vidta om det framkommit att det finns brister i gränsförvaltningen. </w:t>
      </w:r>
      <w:r w:rsidR="00712676" w:rsidRPr="00712676">
        <w:t>Värnandet av asylrätten stärks</w:t>
      </w:r>
      <w:r w:rsidR="00802898">
        <w:t xml:space="preserve"> i </w:t>
      </w:r>
      <w:r w:rsidR="00712676" w:rsidRPr="00712676">
        <w:t xml:space="preserve">förslaget </w:t>
      </w:r>
      <w:r w:rsidR="0019706A">
        <w:t xml:space="preserve">genom att </w:t>
      </w:r>
      <w:r w:rsidR="00712676" w:rsidRPr="00712676">
        <w:t>bland annat en besvärsmekanism ska upprättas. Denna ska vara tillgänglig för alla som kommer i kontakt med gränsbyråns utsända i samband med olika operationer. Fortsatt gäller också att gränsbyrån ska vidta nödvändiga initiativ för att se till att alla gränskontrollexperter som sänds ut ska ha utbildning i gru</w:t>
      </w:r>
      <w:r w:rsidR="00712676">
        <w:t xml:space="preserve">ndläggande fri- och rättigheter, </w:t>
      </w:r>
      <w:r w:rsidR="00712676" w:rsidRPr="00712676">
        <w:t>däribland rätten till internationellt skydd.</w:t>
      </w:r>
    </w:p>
    <w:p w14:paraId="67280DB0" w14:textId="77777777" w:rsidR="00FA4F49" w:rsidRDefault="00FA4F49" w:rsidP="006F45B4">
      <w:pPr>
        <w:pStyle w:val="RKnormal"/>
      </w:pPr>
    </w:p>
    <w:p w14:paraId="06A1F7A7" w14:textId="66546389" w:rsidR="00FA4F49" w:rsidRDefault="00FA4F49" w:rsidP="006F45B4">
      <w:pPr>
        <w:pStyle w:val="RKnormal"/>
      </w:pPr>
      <w:r w:rsidRPr="00FA4F49">
        <w:t xml:space="preserve">Vid RIF-rådsmötet den 21 april kommer ordförandeskapet att </w:t>
      </w:r>
      <w:r w:rsidR="00BE0085">
        <w:t xml:space="preserve">presentera en </w:t>
      </w:r>
      <w:r w:rsidR="00D4534D">
        <w:t xml:space="preserve">lägesrapport </w:t>
      </w:r>
      <w:r w:rsidR="00BE0085">
        <w:t>för ministrarna.</w:t>
      </w:r>
    </w:p>
    <w:p w14:paraId="0EA66590" w14:textId="77777777" w:rsidR="006F45B4" w:rsidRDefault="006F45B4" w:rsidP="006F45B4">
      <w:pPr>
        <w:pStyle w:val="RKnormal"/>
      </w:pPr>
    </w:p>
    <w:p w14:paraId="4167CEAB" w14:textId="77777777" w:rsidR="00CD7FE6" w:rsidRPr="00D00110" w:rsidRDefault="00CD7FE6">
      <w:pPr>
        <w:pStyle w:val="RKrubrik"/>
      </w:pPr>
      <w:r w:rsidRPr="00D00110">
        <w:t>Rättslig grund och beslutsförfarande</w:t>
      </w:r>
    </w:p>
    <w:p w14:paraId="46704326" w14:textId="1FFA5AF0" w:rsidR="00E05440" w:rsidRPr="00D00110" w:rsidRDefault="00057EBD" w:rsidP="00057EBD">
      <w:pPr>
        <w:pStyle w:val="RKnormal"/>
        <w:ind w:right="-284"/>
        <w:rPr>
          <w:rFonts w:cs="Calibri"/>
          <w:i/>
        </w:rPr>
      </w:pPr>
      <w:r>
        <w:t>Förslaget baseras på den rättsliga grunden som finns i artiklarna 77.2</w:t>
      </w:r>
      <w:r w:rsidR="00BE0085">
        <w:t xml:space="preserve"> </w:t>
      </w:r>
      <w:r>
        <w:t>b,</w:t>
      </w:r>
      <w:r w:rsidR="00C513D8">
        <w:t xml:space="preserve"> </w:t>
      </w:r>
      <w:r>
        <w:t>d och e samt 79.2</w:t>
      </w:r>
      <w:r w:rsidR="00BE0085">
        <w:t xml:space="preserve"> </w:t>
      </w:r>
      <w:r>
        <w:t xml:space="preserve">c i </w:t>
      </w:r>
      <w:r w:rsidR="00BE0085">
        <w:t>f</w:t>
      </w:r>
      <w:r>
        <w:t>ördraget om Europeiska unionen. Beslut fattas enligt det ordinarie lagstiftningsförfarandet</w:t>
      </w:r>
      <w:r w:rsidRPr="00057EBD">
        <w:t xml:space="preserve"> </w:t>
      </w:r>
      <w:r>
        <w:t xml:space="preserve">enligt artikel 294 i </w:t>
      </w:r>
      <w:r w:rsidR="00BE0085">
        <w:t>f</w:t>
      </w:r>
      <w:r w:rsidRPr="00057EBD">
        <w:t>ördraget</w:t>
      </w:r>
      <w:r>
        <w:t xml:space="preserve"> om EU:s funktionssätt. </w:t>
      </w:r>
      <w:r w:rsidR="00E05440" w:rsidRPr="00057EBD">
        <w:rPr>
          <w:rFonts w:cs="Calibri"/>
        </w:rPr>
        <w:t>Förfarandet innebär att både rådets och Europaparlamentets godkännande krävs för att förslaget till förordni</w:t>
      </w:r>
      <w:r w:rsidR="00A37798" w:rsidRPr="00057EBD">
        <w:rPr>
          <w:rFonts w:cs="Calibri"/>
        </w:rPr>
        <w:t xml:space="preserve">ng ska antas. </w:t>
      </w:r>
      <w:r w:rsidR="00E05440" w:rsidRPr="00057EBD">
        <w:rPr>
          <w:rFonts w:cs="Calibri"/>
        </w:rPr>
        <w:t>Rådet fattar besl</w:t>
      </w:r>
      <w:r w:rsidRPr="00057EBD">
        <w:rPr>
          <w:rFonts w:cs="Calibri"/>
        </w:rPr>
        <w:t>ut med kvalificerad majoritet.</w:t>
      </w:r>
    </w:p>
    <w:p w14:paraId="5BCCD827" w14:textId="77777777" w:rsidR="00CD7FE6" w:rsidRPr="00D00110" w:rsidRDefault="00CD7FE6">
      <w:pPr>
        <w:pStyle w:val="RKrubrik"/>
        <w:rPr>
          <w:iCs/>
        </w:rPr>
      </w:pPr>
      <w:r w:rsidRPr="00D00110">
        <w:rPr>
          <w:iCs/>
        </w:rPr>
        <w:lastRenderedPageBreak/>
        <w:t>Svensk ståndpunkt</w:t>
      </w:r>
    </w:p>
    <w:p w14:paraId="309F68BC" w14:textId="7B5DCD16" w:rsidR="00F6379F" w:rsidRDefault="00F6379F" w:rsidP="00057EBD">
      <w:pPr>
        <w:spacing w:line="240" w:lineRule="atLeast"/>
        <w:textAlignment w:val="auto"/>
      </w:pPr>
      <w:r>
        <w:t xml:space="preserve">Regeringen </w:t>
      </w:r>
      <w:r w:rsidR="00BE0085">
        <w:t>välkomnar att ordförandeskapet</w:t>
      </w:r>
      <w:r w:rsidR="00712676">
        <w:t xml:space="preserve"> nu ska presentera en</w:t>
      </w:r>
      <w:r w:rsidR="00642C3A">
        <w:t xml:space="preserve"> lägesrapport</w:t>
      </w:r>
      <w:r w:rsidR="00BE0085">
        <w:t xml:space="preserve">. I övrigt gäller redan förankrad ståndpunkt. </w:t>
      </w:r>
    </w:p>
    <w:p w14:paraId="425CABBD" w14:textId="77777777" w:rsidR="00CD7FE6" w:rsidRPr="00D00110" w:rsidRDefault="00CD7FE6">
      <w:pPr>
        <w:pStyle w:val="RKrubrik"/>
      </w:pPr>
      <w:r w:rsidRPr="00D00110">
        <w:t>Europaparlamentets inställning</w:t>
      </w:r>
    </w:p>
    <w:p w14:paraId="783537DD" w14:textId="77777777" w:rsidR="00057EBD" w:rsidRPr="00057EBD" w:rsidRDefault="00057EBD" w:rsidP="00057EBD">
      <w:pPr>
        <w:pStyle w:val="RKrubrik"/>
        <w:spacing w:before="0"/>
        <w:rPr>
          <w:rFonts w:ascii="OrigGarmnd BT" w:hAnsi="OrigGarmnd BT"/>
          <w:b w:val="0"/>
          <w:sz w:val="24"/>
        </w:rPr>
      </w:pPr>
      <w:r w:rsidRPr="00057EBD">
        <w:rPr>
          <w:rFonts w:ascii="OrigGarmnd BT" w:hAnsi="OrigGarmnd BT"/>
          <w:b w:val="0"/>
          <w:sz w:val="24"/>
        </w:rPr>
        <w:t xml:space="preserve">Europaparlamentet inställning är ännu inte känd, men en rapportör </w:t>
      </w:r>
      <w:r w:rsidR="005D07C3">
        <w:rPr>
          <w:rFonts w:ascii="OrigGarmnd BT" w:hAnsi="OrigGarmnd BT"/>
          <w:b w:val="0"/>
          <w:sz w:val="24"/>
        </w:rPr>
        <w:t xml:space="preserve">för förordningsförslaget har </w:t>
      </w:r>
      <w:r w:rsidRPr="00057EBD">
        <w:rPr>
          <w:rFonts w:ascii="OrigGarmnd BT" w:hAnsi="OrigGarmnd BT"/>
          <w:b w:val="0"/>
          <w:sz w:val="24"/>
        </w:rPr>
        <w:t xml:space="preserve">utsetts, Artis </w:t>
      </w:r>
      <w:proofErr w:type="spellStart"/>
      <w:r w:rsidRPr="00057EBD">
        <w:rPr>
          <w:rFonts w:ascii="OrigGarmnd BT" w:hAnsi="OrigGarmnd BT"/>
          <w:b w:val="0"/>
          <w:sz w:val="24"/>
        </w:rPr>
        <w:t>Pabriks</w:t>
      </w:r>
      <w:proofErr w:type="spellEnd"/>
      <w:r w:rsidRPr="00057EBD">
        <w:rPr>
          <w:rFonts w:ascii="OrigGarmnd BT" w:hAnsi="OrigGarmnd BT"/>
          <w:b w:val="0"/>
          <w:sz w:val="24"/>
        </w:rPr>
        <w:t xml:space="preserve"> (EPP)</w:t>
      </w:r>
      <w:r w:rsidR="00FB4B40">
        <w:rPr>
          <w:rFonts w:ascii="OrigGarmnd BT" w:hAnsi="OrigGarmnd BT"/>
          <w:b w:val="0"/>
          <w:sz w:val="24"/>
        </w:rPr>
        <w:t>.</w:t>
      </w:r>
    </w:p>
    <w:p w14:paraId="2CAD210F" w14:textId="77777777" w:rsidR="00CD7FE6" w:rsidRDefault="00CD7FE6">
      <w:pPr>
        <w:pStyle w:val="RKrubrik"/>
        <w:rPr>
          <w:iCs/>
        </w:rPr>
      </w:pPr>
      <w:r w:rsidRPr="00D00110">
        <w:rPr>
          <w:iCs/>
        </w:rPr>
        <w:t>Förslaget</w:t>
      </w:r>
    </w:p>
    <w:p w14:paraId="08D9F506" w14:textId="77777777" w:rsidR="005D07C3" w:rsidRPr="005D07C3" w:rsidRDefault="005D07C3" w:rsidP="005D07C3">
      <w:pPr>
        <w:pStyle w:val="RKnormal"/>
      </w:pPr>
      <w:r w:rsidRPr="005D07C3">
        <w:t>Kommissionens förordningsförslag om en europeisk gräns- och kustbevakning innehåller framför allt följande delar:</w:t>
      </w:r>
    </w:p>
    <w:p w14:paraId="2C999FFA" w14:textId="77777777" w:rsidR="005D07C3" w:rsidRPr="005D07C3" w:rsidRDefault="005D07C3" w:rsidP="00EE7A04">
      <w:pPr>
        <w:pStyle w:val="RKnormal"/>
        <w:numPr>
          <w:ilvl w:val="0"/>
          <w:numId w:val="1"/>
        </w:numPr>
        <w:tabs>
          <w:tab w:val="clear" w:pos="2835"/>
          <w:tab w:val="left" w:pos="709"/>
        </w:tabs>
        <w:spacing w:before="120"/>
        <w:ind w:left="714" w:hanging="357"/>
      </w:pPr>
      <w:r w:rsidRPr="005D07C3">
        <w:t>Inrättande av en europeisk gräns</w:t>
      </w:r>
      <w:r w:rsidRPr="005D07C3">
        <w:rPr>
          <w:bCs/>
        </w:rPr>
        <w:t>- och kustbevakning</w:t>
      </w:r>
    </w:p>
    <w:p w14:paraId="1C9B0786" w14:textId="77777777" w:rsidR="005D07C3" w:rsidRPr="005D07C3" w:rsidRDefault="005D07C3" w:rsidP="005D07C3">
      <w:pPr>
        <w:pStyle w:val="RKnormal"/>
        <w:numPr>
          <w:ilvl w:val="0"/>
          <w:numId w:val="1"/>
        </w:numPr>
        <w:tabs>
          <w:tab w:val="clear" w:pos="2835"/>
          <w:tab w:val="left" w:pos="709"/>
        </w:tabs>
      </w:pPr>
      <w:r w:rsidRPr="005D07C3">
        <w:t xml:space="preserve">Uppräkning av </w:t>
      </w:r>
      <w:r>
        <w:t xml:space="preserve">de </w:t>
      </w:r>
      <w:r w:rsidRPr="005D07C3">
        <w:t xml:space="preserve">obligatoriska komponenter </w:t>
      </w:r>
      <w:r>
        <w:t>som ska ligga till grund för</w:t>
      </w:r>
      <w:r w:rsidRPr="005D07C3">
        <w:t xml:space="preserve"> en</w:t>
      </w:r>
      <w:r w:rsidRPr="005D07C3">
        <w:rPr>
          <w:bCs/>
        </w:rPr>
        <w:t xml:space="preserve"> europeisk integrerad gränsförvaltning</w:t>
      </w:r>
      <w:r w:rsidRPr="005D07C3">
        <w:t xml:space="preserve"> </w:t>
      </w:r>
      <w:r>
        <w:t>och utgöra</w:t>
      </w:r>
      <w:r w:rsidRPr="005D07C3">
        <w:t xml:space="preserve"> minimistandard för medlemsstaternas gränsförvaltning</w:t>
      </w:r>
    </w:p>
    <w:p w14:paraId="027C6105" w14:textId="77777777" w:rsidR="005D07C3" w:rsidRPr="005D07C3" w:rsidRDefault="005D07C3" w:rsidP="005D07C3">
      <w:pPr>
        <w:pStyle w:val="RKnormal"/>
        <w:numPr>
          <w:ilvl w:val="0"/>
          <w:numId w:val="1"/>
        </w:numPr>
        <w:tabs>
          <w:tab w:val="clear" w:pos="2835"/>
          <w:tab w:val="left" w:pos="709"/>
        </w:tabs>
        <w:rPr>
          <w:bCs/>
        </w:rPr>
      </w:pPr>
      <w:r w:rsidRPr="005D07C3">
        <w:t>Inrättande av en</w:t>
      </w:r>
      <w:r w:rsidRPr="005D07C3">
        <w:rPr>
          <w:bCs/>
        </w:rPr>
        <w:t xml:space="preserve"> ny EU-byr</w:t>
      </w:r>
      <w:r w:rsidRPr="005D07C3">
        <w:t xml:space="preserve">å </w:t>
      </w:r>
      <w:r w:rsidRPr="005D07C3">
        <w:rPr>
          <w:bCs/>
        </w:rPr>
        <w:t>för gräns- och kustbevakning</w:t>
      </w:r>
      <w:r>
        <w:t xml:space="preserve"> med utökat mandat i förhållande till </w:t>
      </w:r>
      <w:r w:rsidR="00EE7A04">
        <w:t xml:space="preserve">dagens </w:t>
      </w:r>
      <w:proofErr w:type="spellStart"/>
      <w:r>
        <w:t>Frontex</w:t>
      </w:r>
      <w:proofErr w:type="spellEnd"/>
    </w:p>
    <w:p w14:paraId="78A2BF46" w14:textId="77777777" w:rsidR="005D07C3" w:rsidRPr="005D07C3" w:rsidRDefault="005D07C3" w:rsidP="005D07C3">
      <w:pPr>
        <w:pStyle w:val="RKnormal"/>
        <w:tabs>
          <w:tab w:val="clear" w:pos="2835"/>
          <w:tab w:val="left" w:pos="709"/>
        </w:tabs>
        <w:ind w:left="720"/>
        <w:rPr>
          <w:bCs/>
        </w:rPr>
      </w:pPr>
    </w:p>
    <w:p w14:paraId="1690E50F" w14:textId="77777777" w:rsidR="005D07C3" w:rsidRPr="005D07C3" w:rsidRDefault="005D07C3" w:rsidP="005D07C3">
      <w:pPr>
        <w:pStyle w:val="RKnormal"/>
        <w:tabs>
          <w:tab w:val="clear" w:pos="2835"/>
          <w:tab w:val="left" w:pos="709"/>
        </w:tabs>
        <w:ind w:left="360"/>
        <w:rPr>
          <w:bCs/>
        </w:rPr>
      </w:pPr>
      <w:r w:rsidRPr="005D07C3">
        <w:rPr>
          <w:bCs/>
        </w:rPr>
        <w:t xml:space="preserve">Syftet med förordningsförslaget är att lägga grunden till en europeisk integrerad gränsförvaltning för att uppnå en effektiv migrationsförvaltning och värna den inre säkerheten i unionen, samtidigt som den fria rörligheten säkerställs. </w:t>
      </w:r>
    </w:p>
    <w:p w14:paraId="4FB027F8" w14:textId="77777777" w:rsidR="005D07C3" w:rsidRDefault="005D07C3" w:rsidP="005D07C3">
      <w:pPr>
        <w:pStyle w:val="RKnormal"/>
      </w:pPr>
    </w:p>
    <w:p w14:paraId="33FA45C9" w14:textId="77777777" w:rsidR="005D07C3" w:rsidRPr="005D07C3" w:rsidRDefault="005D07C3" w:rsidP="005D07C3">
      <w:pPr>
        <w:pStyle w:val="RKnormal"/>
      </w:pPr>
      <w:r>
        <w:t>Enligt förslaget är huvudr</w:t>
      </w:r>
      <w:r w:rsidR="00EE7A04">
        <w:t>egeln att medlemsstaterna</w:t>
      </w:r>
      <w:r>
        <w:t xml:space="preserve"> ska vara ansvariga för förvaltningen av sina respektive delar av den yttre gränsen. I vissa fall</w:t>
      </w:r>
      <w:r w:rsidR="00EE7A04">
        <w:t xml:space="preserve"> dock</w:t>
      </w:r>
      <w:r>
        <w:t xml:space="preserve">, när det genom så kallade sårbarhetsanalyser </w:t>
      </w:r>
      <w:r w:rsidR="00EE7A04">
        <w:t>fastställts att en medlemsstat</w:t>
      </w:r>
      <w:r>
        <w:t xml:space="preserve"> saknar nödvändig kapacitet för denna uppgift </w:t>
      </w:r>
      <w:r w:rsidR="00EE7A04">
        <w:t xml:space="preserve">– </w:t>
      </w:r>
      <w:r>
        <w:t xml:space="preserve">och </w:t>
      </w:r>
      <w:r w:rsidR="00EE7A04">
        <w:t>inte själv begär hjälp – föreslås</w:t>
      </w:r>
      <w:r>
        <w:t xml:space="preserve"> EU kunna fatta</w:t>
      </w:r>
      <w:r w:rsidR="00EE7A04">
        <w:t xml:space="preserve"> beslut om åtgärder</w:t>
      </w:r>
      <w:r>
        <w:t xml:space="preserve"> för att stärk</w:t>
      </w:r>
      <w:r w:rsidR="00EE7A04">
        <w:t>a gränsförvaltningen i berörd medlemsstat</w:t>
      </w:r>
      <w:r>
        <w:t xml:space="preserve"> mot dennes vilja.</w:t>
      </w:r>
    </w:p>
    <w:p w14:paraId="2354110E" w14:textId="77777777" w:rsidR="00CD7FE6" w:rsidRPr="00D00110" w:rsidRDefault="00CD7FE6">
      <w:pPr>
        <w:pStyle w:val="RKrubrik"/>
        <w:rPr>
          <w:iCs/>
        </w:rPr>
      </w:pPr>
      <w:r w:rsidRPr="00D00110">
        <w:rPr>
          <w:iCs/>
        </w:rPr>
        <w:t>Gällande svenska regler och förslagets effekter på dessa</w:t>
      </w:r>
    </w:p>
    <w:p w14:paraId="6B1F022D" w14:textId="77777777" w:rsidR="00AA7077" w:rsidRPr="00E04622" w:rsidRDefault="00AA7077" w:rsidP="00AA7077">
      <w:pPr>
        <w:overflowPunct/>
        <w:autoSpaceDE/>
        <w:autoSpaceDN/>
        <w:adjustRightInd/>
        <w:spacing w:line="240" w:lineRule="atLeast"/>
        <w:jc w:val="both"/>
        <w:textAlignment w:val="auto"/>
      </w:pPr>
      <w:r w:rsidRPr="00E04622">
        <w:t>Förordningsförslaget rör främst organisation och befogenheter för en ny europeisk byrå för gräns- och</w:t>
      </w:r>
      <w:r>
        <w:t xml:space="preserve"> kustbevakning (som efterföljare</w:t>
      </w:r>
      <w:r w:rsidRPr="00E04622">
        <w:t xml:space="preserve"> till </w:t>
      </w:r>
      <w:proofErr w:type="spellStart"/>
      <w:r w:rsidRPr="00E04622">
        <w:t>Frontex</w:t>
      </w:r>
      <w:proofErr w:type="spellEnd"/>
      <w:r w:rsidRPr="00E04622">
        <w:t>). Några genomgripande förändringar i svensk lagstiftning är inte att förutse.</w:t>
      </w:r>
    </w:p>
    <w:p w14:paraId="1FA36C1D" w14:textId="77777777" w:rsidR="00CD7FE6" w:rsidRPr="00D00110" w:rsidRDefault="00CD7FE6">
      <w:pPr>
        <w:pStyle w:val="RKrubrik"/>
      </w:pPr>
      <w:r w:rsidRPr="00D00110">
        <w:t>Ekonomiska konsekvenser</w:t>
      </w:r>
    </w:p>
    <w:p w14:paraId="5B776070" w14:textId="2052AF9C" w:rsidR="00AA7077" w:rsidRPr="00E04622" w:rsidRDefault="00AA7077" w:rsidP="00AA7077">
      <w:pPr>
        <w:overflowPunct/>
        <w:autoSpaceDE/>
        <w:autoSpaceDN/>
        <w:adjustRightInd/>
        <w:spacing w:line="240" w:lineRule="atLeast"/>
        <w:jc w:val="both"/>
        <w:textAlignment w:val="auto"/>
      </w:pPr>
      <w:r w:rsidRPr="00E04622">
        <w:t xml:space="preserve">De slutliga finansiella effekterna av förslaget kan inte bedömas med någon säkerhet i detta skede. Kommissionen gör bedömningen att budgeten för en ny EU-byrå för gräns- och kustbevakning skulle behöva höjas med 32 500 000 euro för 2017 i förhållande till </w:t>
      </w:r>
      <w:proofErr w:type="spellStart"/>
      <w:r w:rsidRPr="00E04622">
        <w:t>Frontex</w:t>
      </w:r>
      <w:proofErr w:type="spellEnd"/>
      <w:r w:rsidRPr="00E04622">
        <w:t xml:space="preserve"> budget för 2016 som uppgår till 238 686 000 euro. En stor del av ökningen beror på ökade personalutgifter i samband med att den nya byrån föreslås få ett utökat mandat och nya uppgifter. Förslaget kan således komma att </w:t>
      </w:r>
      <w:r w:rsidR="00642C3A">
        <w:t xml:space="preserve">påverka EU:s </w:t>
      </w:r>
      <w:r w:rsidRPr="00E04622">
        <w:t xml:space="preserve">budget. Sverige kommer att verka för </w:t>
      </w:r>
      <w:r w:rsidRPr="00E04622">
        <w:lastRenderedPageBreak/>
        <w:t>att förslaget finansieras genom omprioriteringar inom EU:s budgetram.</w:t>
      </w:r>
    </w:p>
    <w:p w14:paraId="0DBB829B" w14:textId="77777777" w:rsidR="00AA7077" w:rsidRDefault="00AA7077" w:rsidP="00AA7077">
      <w:pPr>
        <w:overflowPunct/>
        <w:autoSpaceDE/>
        <w:autoSpaceDN/>
        <w:adjustRightInd/>
        <w:spacing w:line="240" w:lineRule="atLeast"/>
        <w:jc w:val="both"/>
        <w:textAlignment w:val="auto"/>
      </w:pPr>
    </w:p>
    <w:p w14:paraId="6D8E2695" w14:textId="77777777" w:rsidR="00A37798" w:rsidRPr="008E3182" w:rsidRDefault="00AA7077" w:rsidP="008E3182">
      <w:pPr>
        <w:rPr>
          <w:i/>
        </w:rPr>
      </w:pPr>
      <w:r w:rsidRPr="00A54102">
        <w:t>Utgångspunkten är att eventuell påverkan på statens budget ska hanteras inom befintliga ramar.</w:t>
      </w:r>
    </w:p>
    <w:p w14:paraId="016B1DC4" w14:textId="77777777" w:rsidR="00CD7FE6" w:rsidRPr="00D00110" w:rsidRDefault="00CD7FE6">
      <w:pPr>
        <w:pStyle w:val="RKrubrik"/>
      </w:pPr>
      <w:r w:rsidRPr="00D00110">
        <w:t>Övrigt</w:t>
      </w:r>
    </w:p>
    <w:p w14:paraId="05619098" w14:textId="77777777" w:rsidR="00CD7FE6" w:rsidRPr="00AA7077" w:rsidRDefault="00AA7077" w:rsidP="00A37798">
      <w:pPr>
        <w:pStyle w:val="RKnormal"/>
      </w:pPr>
      <w:r>
        <w:rPr>
          <w:i/>
        </w:rPr>
        <w:t>-</w:t>
      </w:r>
    </w:p>
    <w:p w14:paraId="0AF4C707" w14:textId="77777777" w:rsidR="006E4E11" w:rsidRPr="00D00110" w:rsidRDefault="006E4E11">
      <w:pPr>
        <w:pStyle w:val="RKrubrik"/>
        <w:spacing w:before="0" w:after="0"/>
      </w:pPr>
    </w:p>
    <w:p w14:paraId="6B84122B" w14:textId="77777777" w:rsidR="006E4E11" w:rsidRPr="00D00110" w:rsidRDefault="006E4E11">
      <w:pPr>
        <w:pStyle w:val="RKnormal"/>
      </w:pPr>
    </w:p>
    <w:p w14:paraId="44B9E627" w14:textId="77777777" w:rsidR="00CD7FE6" w:rsidRPr="00D00110" w:rsidRDefault="00CD7FE6">
      <w:pPr>
        <w:pStyle w:val="RKnormal"/>
      </w:pPr>
    </w:p>
    <w:p w14:paraId="2ABF2CD4" w14:textId="77777777" w:rsidR="00D00110" w:rsidRPr="00D00110" w:rsidRDefault="00D00110">
      <w:pPr>
        <w:pStyle w:val="RKnormal"/>
      </w:pPr>
    </w:p>
    <w:sectPr w:rsidR="00D00110" w:rsidRPr="00D0011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384D82" w14:textId="77777777" w:rsidR="00ED4B5B" w:rsidRDefault="00ED4B5B">
      <w:r>
        <w:separator/>
      </w:r>
    </w:p>
  </w:endnote>
  <w:endnote w:type="continuationSeparator" w:id="0">
    <w:p w14:paraId="45ED8839" w14:textId="77777777" w:rsidR="00ED4B5B" w:rsidRDefault="00ED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0D7BC" w14:textId="77777777" w:rsidR="00ED4B5B" w:rsidRDefault="00ED4B5B">
      <w:r>
        <w:separator/>
      </w:r>
    </w:p>
  </w:footnote>
  <w:footnote w:type="continuationSeparator" w:id="0">
    <w:p w14:paraId="03F73F1C" w14:textId="77777777" w:rsidR="00ED4B5B" w:rsidRDefault="00ED4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27CF" w14:textId="77777777"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3F55">
      <w:rPr>
        <w:rStyle w:val="Sidnummer"/>
        <w:noProof/>
      </w:rPr>
      <w:t>4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14:paraId="10EB41F2" w14:textId="77777777">
      <w:trPr>
        <w:cantSplit/>
      </w:trPr>
      <w:tc>
        <w:tcPr>
          <w:tcW w:w="3119" w:type="dxa"/>
        </w:tcPr>
        <w:p w14:paraId="28CA2923" w14:textId="77777777"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98DDA2" w14:textId="77777777"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14:paraId="797B7959" w14:textId="77777777" w:rsidR="00EC25F9" w:rsidRDefault="00EC25F9">
          <w:pPr>
            <w:pStyle w:val="Sidhuvud"/>
            <w:ind w:right="360"/>
          </w:pPr>
        </w:p>
      </w:tc>
    </w:tr>
  </w:tbl>
  <w:p w14:paraId="2C4DA912" w14:textId="77777777" w:rsidR="00EC25F9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20D36" w14:textId="77777777"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43F5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14:paraId="024AF0A5" w14:textId="77777777">
      <w:trPr>
        <w:cantSplit/>
      </w:trPr>
      <w:tc>
        <w:tcPr>
          <w:tcW w:w="3119" w:type="dxa"/>
        </w:tcPr>
        <w:p w14:paraId="5C51B984" w14:textId="77777777"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46E22E" w14:textId="77777777"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14:paraId="285FE7C3" w14:textId="77777777" w:rsidR="00EC25F9" w:rsidRDefault="00EC25F9">
          <w:pPr>
            <w:pStyle w:val="Sidhuvud"/>
            <w:ind w:right="360"/>
          </w:pPr>
        </w:p>
      </w:tc>
    </w:tr>
  </w:tbl>
  <w:p w14:paraId="0FFEA464" w14:textId="77777777" w:rsidR="00EC25F9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FB3B8" w14:textId="77777777" w:rsidR="00CD7FE6" w:rsidRDefault="001202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676187" wp14:editId="051556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E81D9" w14:textId="77777777"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24819CE" w14:textId="77777777" w:rsidR="00EC25F9" w:rsidRDefault="00EC25F9">
    <w:pPr>
      <w:rPr>
        <w:rFonts w:ascii="TradeGothic" w:hAnsi="TradeGothic"/>
        <w:b/>
        <w:bCs/>
        <w:spacing w:val="12"/>
        <w:sz w:val="22"/>
      </w:rPr>
    </w:pPr>
  </w:p>
  <w:p w14:paraId="1312C19D" w14:textId="77777777"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9A6C57" w14:textId="77777777" w:rsidR="00EC25F9" w:rsidRDefault="00EC25F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8134C"/>
    <w:multiLevelType w:val="hybridMultilevel"/>
    <w:tmpl w:val="5BA087DA"/>
    <w:lvl w:ilvl="0" w:tplc="6B1EFD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Justitiedepartementet"/>
    <w:docVar w:name="Regering" w:val="N"/>
  </w:docVars>
  <w:rsids>
    <w:rsidRoot w:val="00CD7FE6"/>
    <w:rsid w:val="00026F57"/>
    <w:rsid w:val="00035E61"/>
    <w:rsid w:val="00057EBD"/>
    <w:rsid w:val="000853D2"/>
    <w:rsid w:val="000B0759"/>
    <w:rsid w:val="001040A5"/>
    <w:rsid w:val="00120297"/>
    <w:rsid w:val="00150384"/>
    <w:rsid w:val="001805B7"/>
    <w:rsid w:val="0019706A"/>
    <w:rsid w:val="001A553F"/>
    <w:rsid w:val="001A7EE5"/>
    <w:rsid w:val="00286480"/>
    <w:rsid w:val="002D0188"/>
    <w:rsid w:val="00343F55"/>
    <w:rsid w:val="00357BBA"/>
    <w:rsid w:val="003A4A48"/>
    <w:rsid w:val="00402452"/>
    <w:rsid w:val="00464630"/>
    <w:rsid w:val="004A328D"/>
    <w:rsid w:val="004E714C"/>
    <w:rsid w:val="00542CE5"/>
    <w:rsid w:val="00562884"/>
    <w:rsid w:val="00567BE0"/>
    <w:rsid w:val="00570BB3"/>
    <w:rsid w:val="0058762B"/>
    <w:rsid w:val="005B4C35"/>
    <w:rsid w:val="005D07C3"/>
    <w:rsid w:val="005F3889"/>
    <w:rsid w:val="00642C3A"/>
    <w:rsid w:val="00650147"/>
    <w:rsid w:val="00695E57"/>
    <w:rsid w:val="006D480A"/>
    <w:rsid w:val="006E4E11"/>
    <w:rsid w:val="006F45B4"/>
    <w:rsid w:val="00703429"/>
    <w:rsid w:val="00712676"/>
    <w:rsid w:val="007242A3"/>
    <w:rsid w:val="007606B4"/>
    <w:rsid w:val="007808E2"/>
    <w:rsid w:val="007A6855"/>
    <w:rsid w:val="00802898"/>
    <w:rsid w:val="00896B04"/>
    <w:rsid w:val="008E3182"/>
    <w:rsid w:val="00935899"/>
    <w:rsid w:val="00981857"/>
    <w:rsid w:val="0098347F"/>
    <w:rsid w:val="00A0302C"/>
    <w:rsid w:val="00A37798"/>
    <w:rsid w:val="00A54A6D"/>
    <w:rsid w:val="00A8348B"/>
    <w:rsid w:val="00AA7077"/>
    <w:rsid w:val="00AB7BF0"/>
    <w:rsid w:val="00AC696E"/>
    <w:rsid w:val="00AC698A"/>
    <w:rsid w:val="00AF633A"/>
    <w:rsid w:val="00B61447"/>
    <w:rsid w:val="00B733DF"/>
    <w:rsid w:val="00B96EAF"/>
    <w:rsid w:val="00BC3FBB"/>
    <w:rsid w:val="00BE0085"/>
    <w:rsid w:val="00BE1863"/>
    <w:rsid w:val="00BE1FB6"/>
    <w:rsid w:val="00BF77E8"/>
    <w:rsid w:val="00C513D8"/>
    <w:rsid w:val="00C540A1"/>
    <w:rsid w:val="00C6013E"/>
    <w:rsid w:val="00CD78B8"/>
    <w:rsid w:val="00CD7FE6"/>
    <w:rsid w:val="00D00110"/>
    <w:rsid w:val="00D133D7"/>
    <w:rsid w:val="00D407FD"/>
    <w:rsid w:val="00D4534D"/>
    <w:rsid w:val="00E05440"/>
    <w:rsid w:val="00E5603B"/>
    <w:rsid w:val="00EC25F9"/>
    <w:rsid w:val="00EC4405"/>
    <w:rsid w:val="00ED4B5B"/>
    <w:rsid w:val="00ED583F"/>
    <w:rsid w:val="00EE7A04"/>
    <w:rsid w:val="00F368BA"/>
    <w:rsid w:val="00F407BC"/>
    <w:rsid w:val="00F55199"/>
    <w:rsid w:val="00F6379F"/>
    <w:rsid w:val="00FA4F49"/>
    <w:rsid w:val="00FB2F4C"/>
    <w:rsid w:val="00FB4B40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482C2"/>
  <w15:docId w15:val="{AA85893D-AEFA-458B-AF43-3B69B939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F77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F77E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98347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02452"/>
    <w:rPr>
      <w:sz w:val="16"/>
      <w:szCs w:val="16"/>
    </w:rPr>
  </w:style>
  <w:style w:type="paragraph" w:styleId="Kommentarer">
    <w:name w:val="annotation text"/>
    <w:basedOn w:val="Normal"/>
    <w:link w:val="KommentarerChar"/>
    <w:rsid w:val="0040245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0245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0245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02452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9358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338f2a83-5282-45d1-8af4-7e742a6566e3" xsi:nil="true"/>
    <TaxCatchAll xmlns="ae7d44cc-993d-4c0e-9780-c4ecd094065b"/>
    <c9cd366cc722410295b9eacffbd73909 xmlns="ae7d44cc-993d-4c0e-9780-c4ecd094065b">
      <Terms xmlns="http://schemas.microsoft.com/office/infopath/2007/PartnerControls"/>
    </c9cd366cc722410295b9eacffbd73909>
    <Diarienummer xmlns="ae7d44cc-993d-4c0e-9780-c4ecd094065b" xsi:nil="true"/>
    <Sekretess xmlns="ae7d44cc-993d-4c0e-9780-c4ecd094065b">false</Sekretess>
    <RKOrdnaCheckInComment xmlns="338f2a83-5282-45d1-8af4-7e742a6566e3" xsi:nil="true"/>
    <k46d94c0acf84ab9a79866a9d8b1905f xmlns="ae7d44cc-993d-4c0e-9780-c4ecd094065b">
      <Terms xmlns="http://schemas.microsoft.com/office/infopath/2007/PartnerControls"/>
    </k46d94c0acf84ab9a79866a9d8b1905f>
    <Nyckelord xmlns="ae7d44cc-993d-4c0e-9780-c4ecd094065b" xsi:nil="true"/>
    <_dlc_DocId xmlns="ae7d44cc-993d-4c0e-9780-c4ecd094065b">F5J5VW6DSRJ4-5-19957</_dlc_DocId>
    <_dlc_DocIdUrl xmlns="ae7d44cc-993d-4c0e-9780-c4ecd094065b">
      <Url>http://rkdhs-ju/enhet/eu/_layouts/DocIdRedir.aspx?ID=F5J5VW6DSRJ4-5-19957</Url>
      <Description>F5J5VW6DSRJ4-5-19957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87006DEF-1490-4F7F-9A04-2FB098BF9A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EBF57-3E9E-44B2-890D-886B5700D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D6C62-E334-45B1-B6E1-BF63C8710C6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C6F0220-7F3C-4836-9AE1-DD71589631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7BF90C-98A3-476F-A911-1029257DA7D2}">
  <ds:schemaRefs>
    <ds:schemaRef ds:uri="http://schemas.microsoft.com/office/2006/documentManagement/types"/>
    <ds:schemaRef ds:uri="http://purl.org/dc/dcmitype/"/>
    <ds:schemaRef ds:uri="http://purl.org/dc/terms/"/>
    <ds:schemaRef ds:uri="338f2a83-5282-45d1-8af4-7e742a6566e3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e7d44cc-993d-4c0e-9780-c4ecd094065b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D4518CF-536B-4702-A643-5223C8FEA4D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14396750-41F8-46B6-969E-C521AE2AD6DD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Söderlund</dc:creator>
  <cp:lastModifiedBy>Sara Lindberg</cp:lastModifiedBy>
  <cp:revision>3</cp:revision>
  <cp:lastPrinted>2016-04-11T10:51:00Z</cp:lastPrinted>
  <dcterms:created xsi:type="dcterms:W3CDTF">2016-04-11T10:50:00Z</dcterms:created>
  <dcterms:modified xsi:type="dcterms:W3CDTF">2016-04-11T10:52:00Z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QFMSP source name">
    <vt:lpwstr/>
  </property>
  <property fmtid="{D5CDD505-2E9C-101B-9397-08002B2CF9AE}" pid="12" name="ContentTypeId">
    <vt:lpwstr>0x01010053E1D612BA3F4E21AA250ECD751942B300D32C9E506A07C54F976DA4F70564747D</vt:lpwstr>
  </property>
  <property fmtid="{D5CDD505-2E9C-101B-9397-08002B2CF9AE}" pid="13" name="Aktivitetskategori">
    <vt:lpwstr/>
  </property>
  <property fmtid="{D5CDD505-2E9C-101B-9397-08002B2CF9AE}" pid="14" name="Departementsenhet">
    <vt:lpwstr/>
  </property>
  <property fmtid="{D5CDD505-2E9C-101B-9397-08002B2CF9AE}" pid="15" name="_dlc_DocId">
    <vt:lpwstr>FWTQ6V37SVZC-15-20768</vt:lpwstr>
  </property>
  <property fmtid="{D5CDD505-2E9C-101B-9397-08002B2CF9AE}" pid="16" name="_dlc_DocIdItemGuid">
    <vt:lpwstr>069fafd6-80d0-4842-a238-7524e5b60c8a</vt:lpwstr>
  </property>
  <property fmtid="{D5CDD505-2E9C-101B-9397-08002B2CF9AE}" pid="17" name="_dlc_DocIdUrl">
    <vt:lpwstr>http://rkdhs-ju/enhet/polis/_layouts/DocIdRedir.aspx?ID=FWTQ6V37SVZC-15-20768, FWTQ6V37SVZC-15-20768</vt:lpwstr>
  </property>
</Properties>
</file>