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10 april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2014/15:435 av Fredrik Christensson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Matchningsanställningar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2014/15:487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Fritidspeng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2014/15:104 Svenskt deltagande i den militära utbildningsinsatsen i norra Irak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2014/15:107 Vissa frågor med anledning av införandet av en nationell referensram för kvalikationer för livslångt lärande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2014/15:106 Riksrevisionens rapport om specialdestinerade statsbidrag – ett sätt att styra mot en mer likvärdig skola?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2014/15:88 Statens stöd till dagspressen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2014/15:3066 av Jonas Millard och Fredrik Eriksson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2014/15:3067 av Per Bill m.fl. (M, C, FP,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2014/15:84 Riksrevisionens rapport om informationssäkerhet i den civila statsförvaltningen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2014/15:3068 av Mikael Jansson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2014/15:422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Resursslöseri med invandrade läkares kompetens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2014/15:429 av Katarina Brännström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Varsel och jobb som försvinner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2014/15:430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längre arbetsliv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2014/15:448 av Elisabeth Svantesson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längre arbetsliv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2014/15:409 av Fredrik Schulte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Andrahandsuthyrning av bostadsrätter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2014/15:434 av Maria Abrahamsson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Valhemligheten och det svenska valsedelssystemet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2014/15:440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Jobbskatteavdragens koppling till grov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Anders Ygeman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2014/15:406 av Anti Avsan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attityder till anmälda brott och uppklaringen av 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2014/15:432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den organiserade brottsligheten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2014/15:425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Barnkonsekvensanalys vid överskuldsättning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2014/15:420 av Bengt Eliasson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Terminologicentrum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10 april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2015-04-10</SAFIR_Sammantradesdatum_Doc>
    <SAFIR_SammantradeID xmlns="C07A1A6C-0B19-41D9-BDF8-F523BA3921EB">25964d0c-b8ad-4cf5-98b3-640675d2f612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10B88-B61D-45F1-91A1-E133FEAA98A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10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