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CA2" w:rsidRPr="00A865AE" w:rsidRDefault="00B24CA2">
      <w:pPr>
        <w:pStyle w:val="Frslagsrubrik"/>
      </w:pPr>
      <w:r w:rsidRPr="00A865AE">
        <w:t>Förslag till riksdagsbeslut</w:t>
      </w:r>
    </w:p>
    <w:p w:rsidR="00B24CA2" w:rsidRPr="00A865AE" w:rsidRDefault="00B24CA2">
      <w:pPr>
        <w:pStyle w:val="Hemstlatt"/>
      </w:pPr>
      <w:r w:rsidRPr="00A865AE">
        <w:t>Riksdagen avslår regeringens proposition 2011/12:64 Utvidgning av verksamhetsområdet för Europeiska utvecklingsba</w:t>
      </w:r>
      <w:r w:rsidRPr="00A865AE">
        <w:t>n</w:t>
      </w:r>
      <w:r w:rsidRPr="00A865AE">
        <w:t>ken.</w:t>
      </w:r>
    </w:p>
    <w:p w:rsidR="00B24CA2" w:rsidRPr="00A865AE" w:rsidRDefault="00B24CA2">
      <w:pPr>
        <w:pStyle w:val="Rubrik1"/>
      </w:pPr>
      <w:r w:rsidRPr="00A865AE">
        <w:t>Motivering</w:t>
      </w:r>
    </w:p>
    <w:p w:rsidR="00B24CA2" w:rsidRPr="00A865AE" w:rsidRDefault="00B24CA2">
      <w:r w:rsidRPr="00A865AE">
        <w:t>Europeiska utvecklingsbanken byggdes upp huvudsakligen för att främja de gamla öststaternas övergång från plan- till marknadsekonomi i eftervattnet av Sovjetunionens kollaps. I det fallet rörde det sig om europeiska folk, flera i vår omedelbara närhet, som hade en otvetydig vilja att röra sig mot Europa och mot en demokratisk, marknadsekonomisk rättsstat i västeuropeisk tap</w:t>
      </w:r>
      <w:r w:rsidRPr="00A865AE">
        <w:t>p</w:t>
      </w:r>
      <w:r w:rsidRPr="00A865AE">
        <w:t>ning.</w:t>
      </w:r>
    </w:p>
    <w:p w:rsidR="00B24CA2" w:rsidRPr="00A865AE" w:rsidRDefault="00B24CA2">
      <w:pPr>
        <w:pStyle w:val="Normaltindrag"/>
      </w:pPr>
      <w:r w:rsidRPr="00A865AE">
        <w:t>Nu avser regeringen att ställa sig bakom en föreslagen ändring av bankens geografiska verksamhetsområde till att omfatta även en rad länder i Nordafr</w:t>
      </w:r>
      <w:r w:rsidRPr="00A865AE">
        <w:t>i</w:t>
      </w:r>
      <w:r w:rsidRPr="00A865AE">
        <w:t>ka och Mellanöstern. Sverigedemokraterna motsätter sig den föreslagna än</w:t>
      </w:r>
      <w:r w:rsidRPr="00A865AE">
        <w:t>d</w:t>
      </w:r>
      <w:r w:rsidRPr="00A865AE">
        <w:t>ringen av ett flertal orsaker:</w:t>
      </w:r>
    </w:p>
    <w:p w:rsidR="00B24CA2" w:rsidRPr="00A865AE" w:rsidRDefault="00B24CA2">
      <w:pPr>
        <w:pStyle w:val="PunktlistaBomb"/>
      </w:pPr>
      <w:r w:rsidRPr="00A865AE">
        <w:t>Som propositionen konstaterar kan banken ”endast bedriva verksamhet i länder som bekänner sig till, och har börjat tillämpa, principer om dem</w:t>
      </w:r>
      <w:r w:rsidRPr="00A865AE">
        <w:t>o</w:t>
      </w:r>
      <w:r w:rsidRPr="00A865AE">
        <w:t>krati med flerpartisystem, pluralism och marknadsekonom”. Det är i allra bästa fall för tidigt att hävda att den berörda regionen når upp till det h</w:t>
      </w:r>
      <w:r w:rsidRPr="00A865AE">
        <w:t>u</w:t>
      </w:r>
      <w:r w:rsidRPr="00A865AE">
        <w:t>vudkriteriet. I sämsta fall är det direkt felaktigt.</w:t>
      </w:r>
    </w:p>
    <w:p w:rsidR="00B24CA2" w:rsidRPr="00A865AE" w:rsidRDefault="00B24CA2">
      <w:pPr>
        <w:pStyle w:val="PunktlistaBomb"/>
        <w:spacing w:before="0"/>
      </w:pPr>
      <w:r w:rsidRPr="00A865AE">
        <w:t>Det är överlag för tidigt att dra långtgående slutsatser om ”demokratis</w:t>
      </w:r>
      <w:r w:rsidRPr="00A865AE">
        <w:t>e</w:t>
      </w:r>
      <w:r w:rsidRPr="00A865AE">
        <w:t>ringen i Nordafrika och Mellanöstern” som propositionen gör. Att ett a</w:t>
      </w:r>
      <w:r w:rsidRPr="00A865AE">
        <w:t>n</w:t>
      </w:r>
      <w:r w:rsidRPr="00A865AE">
        <w:t>tal mer eller mindre diktaturiskt lagda regimer har fallit är i sak såklart pos</w:t>
      </w:r>
      <w:r w:rsidRPr="00A865AE">
        <w:t>i</w:t>
      </w:r>
      <w:r w:rsidRPr="00A865AE">
        <w:t>tivt, men det innebär inte ipso facto att motståndaren är demokrat och står upp för principer om pluralism och marknadsekonomi. I bästa fall v</w:t>
      </w:r>
      <w:r w:rsidRPr="00A865AE">
        <w:t>i</w:t>
      </w:r>
      <w:r w:rsidRPr="00A865AE">
        <w:t>sar det sig inom ett eller ett par år att så faktiskt är fallet, i sämsta fall v</w:t>
      </w:r>
      <w:r w:rsidRPr="00A865AE">
        <w:t>i</w:t>
      </w:r>
      <w:r w:rsidRPr="00A865AE">
        <w:t xml:space="preserve">sar det sig </w:t>
      </w:r>
      <w:r w:rsidRPr="00A865AE">
        <w:lastRenderedPageBreak/>
        <w:t>att en despot bara blivit utbytt mot en annan. Exempelvis är det fortfarande högst oklart vad de klaner som stred mot Gaddaf</w:t>
      </w:r>
      <w:r w:rsidRPr="00A865AE">
        <w:t>i har för egentliga syften och långsiktiga visioner för sitt land. Oaktat utfall är den rimliga hållnin</w:t>
      </w:r>
      <w:r w:rsidRPr="00A865AE">
        <w:t>g</w:t>
      </w:r>
      <w:r w:rsidRPr="00A865AE">
        <w:t>en att avvakta utvecklingen, tills vi hamnar i ett läge där vi helt enkelt vet mer om situationen.</w:t>
      </w:r>
    </w:p>
    <w:p w:rsidR="00B24CA2" w:rsidRPr="00A865AE" w:rsidRDefault="00B24CA2">
      <w:pPr>
        <w:pStyle w:val="PunktlistaBomb"/>
        <w:spacing w:before="0"/>
      </w:pPr>
      <w:r w:rsidRPr="00A865AE">
        <w:t>I propositionen påstås att ”länderna i södra och östra Medelhavsregionen har problem och utmaningar som liknar dem i de tidigare planekonom</w:t>
      </w:r>
      <w:r w:rsidRPr="00A865AE">
        <w:t>i</w:t>
      </w:r>
      <w:r w:rsidRPr="00A865AE">
        <w:t>erna i Central- och Östeuropa”. Detta påstående är inte bara naivt utan direkt h</w:t>
      </w:r>
      <w:r w:rsidRPr="00A865AE">
        <w:t>i</w:t>
      </w:r>
      <w:r w:rsidRPr="00A865AE">
        <w:t>storielöst. Öststaterna hamnade på fel sida av järnridån och förtrycktes u</w:t>
      </w:r>
      <w:r w:rsidRPr="00A865AE">
        <w:t>n</w:t>
      </w:r>
      <w:r w:rsidRPr="00A865AE">
        <w:t>der ett halvt sekel av 1900-talets främsta diktatur – Sovjetun</w:t>
      </w:r>
      <w:r w:rsidRPr="00A865AE">
        <w:t>i</w:t>
      </w:r>
      <w:r w:rsidRPr="00A865AE">
        <w:t>onen. Folkets vilja till förändring, frihet, demokrati och självständighet var otvetydig. Att påstå att fallen är snarlika motbevisas inte bara av isla-misternas framfart i exempelvis de tunisiska och egyptiska valen, efter den arabiska våren. I grund och botten föreligger en kulturell värde</w:t>
      </w:r>
      <w:r w:rsidRPr="00A865AE">
        <w:t>grundsskillnad och ett helt annat förhållningssätt till demokrati, pluralism och flerpartisystem.</w:t>
      </w:r>
    </w:p>
    <w:p w:rsidR="00B24CA2" w:rsidRPr="00A865AE" w:rsidRDefault="00B24CA2">
      <w:pPr>
        <w:pStyle w:val="PunktlistaBomb"/>
        <w:spacing w:before="0"/>
      </w:pPr>
      <w:r w:rsidRPr="00A865AE">
        <w:t>Det tecknade kapitalet i banken uppgår efter en kvothöjning till 30 milja</w:t>
      </w:r>
      <w:r w:rsidRPr="00A865AE">
        <w:t>r</w:t>
      </w:r>
      <w:r w:rsidRPr="00A865AE">
        <w:t>der euro, varav Sveriges ägarandel uppgår till 2,3 procent, alltså motsv</w:t>
      </w:r>
      <w:r w:rsidRPr="00A865AE">
        <w:t>a</w:t>
      </w:r>
      <w:r w:rsidRPr="00A865AE">
        <w:t>rande 690 miljoner euro. Sverige är även en stor finansiär av bankens s.k. särskilda verksamhet. För 2011 uppgick det svenska bidraget till 30 miljoner euro enbart vad avser den särskilda verksamheten. Att ba</w:t>
      </w:r>
      <w:r w:rsidRPr="00A865AE">
        <w:t>n</w:t>
      </w:r>
      <w:r w:rsidRPr="00A865AE">
        <w:t>ken bedriver verksamhet med ett stort inslag av risk är förvisso fullt n</w:t>
      </w:r>
      <w:r w:rsidRPr="00A865AE">
        <w:t>a</w:t>
      </w:r>
      <w:r w:rsidRPr="00A865AE">
        <w:t>turligt, men att riskutsätta vad som i grunden är svenska skattepengar i en region där inbördeskrig inte bara är en påtaglig fara, utan på sina håll också e</w:t>
      </w:r>
      <w:r w:rsidRPr="00A865AE">
        <w:t>tt r</w:t>
      </w:r>
      <w:r w:rsidRPr="00A865AE">
        <w:t>e</w:t>
      </w:r>
      <w:r w:rsidRPr="00A865AE">
        <w:t>ellt faktum, är inte att föra en ansvarsfull politik. Skattepengar ska anvä</w:t>
      </w:r>
      <w:r w:rsidRPr="00A865AE">
        <w:t>n</w:t>
      </w:r>
      <w:r w:rsidRPr="00A865AE">
        <w:t>das omsorgsfullt och med största vördnad och respekt. Den ekonomiska riskbilden förstärks av faktumet att den tidigare förutsedda återföringen av en del av grundkapitalet, motsvarande 20 procent eller för Sveriges del 41 miljoner euro, med den planerade utvidgningen inte län</w:t>
      </w:r>
      <w:r w:rsidRPr="00A865AE">
        <w:t>g</w:t>
      </w:r>
      <w:r w:rsidRPr="00A865AE">
        <w:t>re blir sannolik.</w:t>
      </w:r>
    </w:p>
    <w:p w:rsidR="00B24CA2" w:rsidRPr="00A865AE" w:rsidRDefault="00B24CA2">
      <w:pPr>
        <w:pStyle w:val="PunktlistaBomb"/>
        <w:spacing w:before="0"/>
      </w:pPr>
      <w:r w:rsidRPr="00A865AE">
        <w:t>Regeringen anser att banken driver en viktig verksamhet inom sitt nuv</w:t>
      </w:r>
      <w:r w:rsidRPr="00A865AE">
        <w:t>a</w:t>
      </w:r>
      <w:r w:rsidRPr="00A865AE">
        <w:t>rande verksamhetsområde. Denna bild delas av Sverigedemokraterna. I synnerhet gäller det de östeuropeiska länder som ännu ej fullbordat sin resa mot demokrati och marknadsekonomi, eller i klartext länder såsom Vi</w:t>
      </w:r>
      <w:r w:rsidRPr="00A865AE">
        <w:t>t</w:t>
      </w:r>
      <w:r w:rsidRPr="00A865AE">
        <w:t>ryssland, Ukraina, Moldavien, delar av Balkan, Centralasien och Kauk</w:t>
      </w:r>
      <w:r w:rsidRPr="00A865AE">
        <w:t>a</w:t>
      </w:r>
      <w:r w:rsidRPr="00A865AE">
        <w:t>sus. Då den föreslagna geografiska utvidgningen avses ske inom ramen för det befintliga kapitalet kommer obönhörligen verksamheten i nämnda o</w:t>
      </w:r>
      <w:r w:rsidRPr="00A865AE">
        <w:t>m</w:t>
      </w:r>
      <w:r w:rsidRPr="00A865AE">
        <w:t>råden att reduceras. Sverigedemokraterna anser det vara en oklok priorit</w:t>
      </w:r>
      <w:r w:rsidRPr="00A865AE">
        <w:t>e</w:t>
      </w:r>
      <w:r w:rsidRPr="00A865AE">
        <w:t>ring att göra.</w:t>
      </w:r>
      <w:r w:rsidRPr="00A865AE">
        <w:t xml:space="preserve"> Det ligger närmre vårt intresse att se att dessa, huvudsakligen europeiska, länder fortsatt prioriteras i stället för att nedprioriteras till fö</w:t>
      </w:r>
      <w:r w:rsidRPr="00A865AE">
        <w:t>r</w:t>
      </w:r>
      <w:r w:rsidRPr="00A865AE">
        <w:t>mån för Nordafrika och Mellanöstern.</w:t>
      </w:r>
    </w:p>
    <w:p w:rsidR="00B24CA2" w:rsidRPr="00A865AE" w:rsidRDefault="00B24CA2">
      <w:pPr>
        <w:pStyle w:val="Normaltindrag"/>
        <w:spacing w:before="125"/>
        <w:ind w:firstLine="0"/>
      </w:pPr>
      <w:r w:rsidRPr="00A865AE">
        <w:t>Med anledning av vad som ovan framförts är det Sverigedemokraternas m</w:t>
      </w:r>
      <w:r w:rsidRPr="00A865AE">
        <w:t>e</w:t>
      </w:r>
      <w:r w:rsidRPr="00A865AE">
        <w:t>ning att regeringens förslag till riksdagsbeslut bör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5AE">
        <w:trPr>
          <w:cantSplit/>
        </w:trPr>
        <w:tc>
          <w:tcPr>
            <w:tcW w:w="3046" w:type="dxa"/>
          </w:tcPr>
          <w:p w:rsidR="00B24CA2" w:rsidRPr="00A865AE" w:rsidRDefault="00B24CA2">
            <w:pPr>
              <w:pStyle w:val="UnderskriftDatum"/>
              <w:spacing w:before="240"/>
            </w:pPr>
            <w:r w:rsidRPr="00A865AE">
              <w:t>Stockholm den 1 mars 2012</w:t>
            </w:r>
          </w:p>
        </w:tc>
        <w:tc>
          <w:tcPr>
            <w:tcW w:w="3047" w:type="dxa"/>
          </w:tcPr>
          <w:p w:rsidR="00B24CA2" w:rsidRPr="00A865AE" w:rsidRDefault="00B24CA2">
            <w:pPr>
              <w:pStyle w:val="Underskrifter"/>
              <w:spacing w:before="240"/>
            </w:pPr>
          </w:p>
        </w:tc>
      </w:tr>
      <w:tr w:rsidR="00000000" w:rsidRPr="00A865AE">
        <w:trPr>
          <w:cantSplit/>
        </w:trPr>
        <w:tc>
          <w:tcPr>
            <w:tcW w:w="3046" w:type="dxa"/>
          </w:tcPr>
          <w:p w:rsidR="00B24CA2" w:rsidRPr="00A865AE" w:rsidRDefault="00B24CA2">
            <w:pPr>
              <w:pStyle w:val="Underskrifter"/>
            </w:pPr>
            <w:r w:rsidRPr="00A865AE">
              <w:t>Erik Almqvist (SD)</w:t>
            </w:r>
          </w:p>
        </w:tc>
        <w:tc>
          <w:tcPr>
            <w:tcW w:w="3046" w:type="dxa"/>
          </w:tcPr>
          <w:p w:rsidR="00B24CA2" w:rsidRPr="00A865AE" w:rsidRDefault="00B24CA2">
            <w:pPr>
              <w:pStyle w:val="Underskrifter"/>
            </w:pPr>
          </w:p>
        </w:tc>
      </w:tr>
      <w:tr w:rsidR="00000000" w:rsidRPr="00A865AE">
        <w:trPr>
          <w:cantSplit/>
        </w:trPr>
        <w:tc>
          <w:tcPr>
            <w:tcW w:w="3046" w:type="dxa"/>
          </w:tcPr>
          <w:p w:rsidR="00B24CA2" w:rsidRPr="00A865AE" w:rsidRDefault="00B24CA2">
            <w:pPr>
              <w:pStyle w:val="Underskrifter"/>
            </w:pPr>
            <w:r w:rsidRPr="00A865AE">
              <w:t>Johnny Skalin (SD)</w:t>
            </w:r>
          </w:p>
        </w:tc>
        <w:tc>
          <w:tcPr>
            <w:tcW w:w="3046" w:type="dxa"/>
          </w:tcPr>
          <w:p w:rsidR="00B24CA2" w:rsidRPr="00A865AE" w:rsidRDefault="00B24CA2">
            <w:pPr>
              <w:pStyle w:val="Underskrifter"/>
            </w:pPr>
            <w:r w:rsidRPr="00A865AE">
              <w:t>Julia Kronlid (SD)</w:t>
            </w:r>
          </w:p>
        </w:tc>
      </w:tr>
    </w:tbl>
    <w:p w:rsidR="00B24CA2" w:rsidRPr="00A865AE" w:rsidRDefault="00B24CA2">
      <w:pPr>
        <w:pStyle w:val="Normaltindrag"/>
      </w:pPr>
    </w:p>
    <w:sectPr w:rsidR="00B24CA2" w:rsidRPr="00A865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CA2" w:rsidRPr="00A865AE" w:rsidRDefault="00B24CA2">
      <w:r w:rsidRPr="00A865AE">
        <w:separator/>
      </w:r>
    </w:p>
  </w:endnote>
  <w:endnote w:type="continuationSeparator" w:id="0">
    <w:p w:rsidR="00B24CA2" w:rsidRPr="00A865AE" w:rsidRDefault="00B24CA2">
      <w:r w:rsidRPr="00A86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A865AE">
    <w:pPr>
      <w:pStyle w:val="Sidfot"/>
    </w:pPr>
    <w:r w:rsidRPr="00A865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7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A2" w:rsidRDefault="00B24C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CA2" w:rsidRDefault="00B24C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A865AE">
    <w:pPr>
      <w:pStyle w:val="Sidfot"/>
    </w:pPr>
    <w:r w:rsidRPr="00A865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403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A2" w:rsidRDefault="00B24C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CA2" w:rsidRDefault="00B24C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A865AE">
    <w:pPr>
      <w:pStyle w:val="Sidfot"/>
    </w:pPr>
    <w:r w:rsidRPr="00A865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5939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A2" w:rsidRDefault="00B24C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CA2" w:rsidRDefault="00B24C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CA2" w:rsidRPr="00A865AE" w:rsidRDefault="00B24CA2">
      <w:r w:rsidRPr="00A865AE">
        <w:separator/>
      </w:r>
    </w:p>
  </w:footnote>
  <w:footnote w:type="continuationSeparator" w:id="0">
    <w:p w:rsidR="00B24CA2" w:rsidRPr="00A865AE" w:rsidRDefault="00B24CA2">
      <w:r w:rsidRPr="00A865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A865AE">
    <w:pPr>
      <w:pStyle w:val="Sidhuvud"/>
    </w:pPr>
    <w:r w:rsidRPr="00A865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857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A2" w:rsidRDefault="00B24C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CA2" w:rsidRDefault="00B24C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A865AE">
    <w:pPr>
      <w:pStyle w:val="Sidhuvud"/>
    </w:pPr>
    <w:r w:rsidRPr="00A865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085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A2" w:rsidRDefault="00B24C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CA2" w:rsidRDefault="00B24C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A2" w:rsidRPr="00A865AE" w:rsidRDefault="00B24CA2">
    <w:pPr>
      <w:pStyle w:val="FSHNormal"/>
      <w:tabs>
        <w:tab w:val="right" w:pos="5840"/>
      </w:tabs>
    </w:pPr>
    <w:r w:rsidRPr="00A865AE">
      <w:br/>
    </w:r>
    <w:r w:rsidRPr="00A865AE">
      <w:fldChar w:fldCharType="begin" w:fldLock="1"/>
    </w:r>
    <w:r w:rsidRPr="00A865AE">
      <w:instrText xml:space="preserve"> DOCPROPERTY</w:instrText>
    </w:r>
    <w:r w:rsidRPr="00A865AE">
      <w:rPr>
        <w:sz w:val="18"/>
      </w:rPr>
      <w:instrText xml:space="preserve"> "YearUser" *\charformat </w:instrText>
    </w:r>
    <w:r w:rsidRPr="00A865AE">
      <w:fldChar w:fldCharType="separate"/>
    </w:r>
    <w:r w:rsidRPr="00A865AE">
      <w:t>2011/12</w:t>
    </w:r>
    <w:r w:rsidRPr="00A865AE">
      <w:fldChar w:fldCharType="end"/>
    </w:r>
    <w:r w:rsidRPr="00A865AE">
      <w:t xml:space="preserve"> </w:t>
    </w:r>
    <w:r w:rsidRPr="00A865AE">
      <w:tab/>
      <w:t xml:space="preserve">mnr: </w:t>
    </w:r>
    <w:r w:rsidRPr="00A865AE">
      <w:fldChar w:fldCharType="begin" w:fldLock="1"/>
    </w:r>
    <w:r w:rsidRPr="00A865AE">
      <w:instrText xml:space="preserve"> DOCPROPERTY</w:instrText>
    </w:r>
    <w:r w:rsidRPr="00A865AE">
      <w:rPr>
        <w:sz w:val="18"/>
      </w:rPr>
      <w:instrText xml:space="preserve"> "Motionsnummer" *\charformat </w:instrText>
    </w:r>
    <w:r w:rsidRPr="00A865AE">
      <w:fldChar w:fldCharType="separate"/>
    </w:r>
    <w:r w:rsidRPr="00A865AE">
      <w:t>Fi7</w:t>
    </w:r>
    <w:r w:rsidRPr="00A865AE">
      <w:fldChar w:fldCharType="end"/>
    </w:r>
    <w:r w:rsidRPr="00A865AE">
      <w:br/>
    </w:r>
    <w:r w:rsidRPr="00A865AE">
      <w:fldChar w:fldCharType="begin" w:fldLock="1"/>
    </w:r>
    <w:r w:rsidRPr="00A865AE">
      <w:instrText xml:space="preserve"> DOCPROPERTY</w:instrText>
    </w:r>
    <w:r w:rsidRPr="00A865AE">
      <w:rPr>
        <w:sz w:val="18"/>
      </w:rPr>
      <w:instrText xml:space="preserve"> "Samling" *\charformat </w:instrText>
    </w:r>
    <w:r w:rsidRPr="00A865AE">
      <w:fldChar w:fldCharType="end"/>
    </w:r>
    <w:r w:rsidRPr="00A865AE">
      <w:tab/>
      <w:t xml:space="preserve">pnr: </w:t>
    </w:r>
    <w:r w:rsidRPr="00A865AE">
      <w:fldChar w:fldCharType="begin" w:fldLock="1"/>
    </w:r>
    <w:r w:rsidRPr="00A865AE">
      <w:instrText xml:space="preserve"> DOCPROPERTY</w:instrText>
    </w:r>
    <w:r w:rsidRPr="00A865AE">
      <w:rPr>
        <w:sz w:val="18"/>
      </w:rPr>
      <w:instrText xml:space="preserve"> "Partinummer" *\charformat </w:instrText>
    </w:r>
    <w:r w:rsidRPr="00A865AE">
      <w:fldChar w:fldCharType="separate"/>
    </w:r>
    <w:r w:rsidRPr="00A865AE">
      <w:t>SD280</w:t>
    </w:r>
    <w:r w:rsidRPr="00A865AE">
      <w:fldChar w:fldCharType="end"/>
    </w:r>
  </w:p>
  <w:p w:rsidR="00B24CA2" w:rsidRPr="00A865AE" w:rsidRDefault="00B24CA2">
    <w:pPr>
      <w:pStyle w:val="FSHRub1"/>
    </w:pPr>
    <w:r w:rsidRPr="00A865AE">
      <w:t>Motion till riksdagen</w:t>
    </w:r>
    <w:r w:rsidRPr="00A865AE">
      <w:br/>
    </w:r>
    <w:r w:rsidRPr="00A865AE">
      <w:fldChar w:fldCharType="begin" w:fldLock="1"/>
    </w:r>
    <w:r w:rsidRPr="00A865AE">
      <w:instrText xml:space="preserve"> DOCPROPERTY "YearUser" *\charformat </w:instrText>
    </w:r>
    <w:r w:rsidRPr="00A865AE">
      <w:fldChar w:fldCharType="separate"/>
    </w:r>
    <w:r w:rsidRPr="00A865AE">
      <w:t>2011/12</w:t>
    </w:r>
    <w:r w:rsidRPr="00A865AE">
      <w:fldChar w:fldCharType="end"/>
    </w:r>
    <w:r w:rsidRPr="00A865AE">
      <w:t>:</w:t>
    </w:r>
    <w:r w:rsidRPr="00A865AE">
      <w:fldChar w:fldCharType="begin" w:fldLock="1"/>
    </w:r>
    <w:r w:rsidRPr="00A865AE">
      <w:instrText xml:space="preserve"> DOCPROPERTY "Motionsnummer" *\charformat </w:instrText>
    </w:r>
    <w:r w:rsidRPr="00A865AE">
      <w:fldChar w:fldCharType="separate"/>
    </w:r>
    <w:r w:rsidRPr="00A865AE">
      <w:t>Fi7</w:t>
    </w:r>
    <w:r w:rsidRPr="00A865AE">
      <w:fldChar w:fldCharType="end"/>
    </w:r>
  </w:p>
  <w:p w:rsidR="00B24CA2" w:rsidRPr="00A865AE" w:rsidRDefault="00B24CA2">
    <w:pPr>
      <w:pStyle w:val="FSHNormalS5"/>
    </w:pPr>
    <w:r w:rsidRPr="00A865AE">
      <w:fldChar w:fldCharType="begin" w:fldLock="1"/>
    </w:r>
    <w:r w:rsidRPr="00A865AE">
      <w:instrText xml:space="preserve"> DOCPROPERTY "MotionarText" *\charformat </w:instrText>
    </w:r>
    <w:r w:rsidRPr="00A865AE">
      <w:fldChar w:fldCharType="separate"/>
    </w:r>
    <w:r w:rsidRPr="00A865AE">
      <w:t>av Erik Almqvist m.fl. (SD)</w:t>
    </w:r>
    <w:r w:rsidRPr="00A865AE">
      <w:fldChar w:fldCharType="end"/>
    </w:r>
    <w:r w:rsidRPr="00A865AE">
      <w:br/>
    </w:r>
    <w:r w:rsidRPr="00A865AE">
      <w:fldChar w:fldCharType="begin" w:fldLock="1"/>
    </w:r>
    <w:r w:rsidRPr="00A865AE">
      <w:instrText xml:space="preserve"> DOCPROPERTY "SvarFrasKort" *\charformat </w:instrText>
    </w:r>
    <w:r w:rsidRPr="00A865AE">
      <w:fldChar w:fldCharType="separate"/>
    </w:r>
    <w:r w:rsidRPr="00A865AE">
      <w:t>med anledning av prop. 2011/12:64</w:t>
    </w:r>
    <w:r w:rsidRPr="00A865AE">
      <w:fldChar w:fldCharType="end"/>
    </w:r>
  </w:p>
  <w:p w:rsidR="00B24CA2" w:rsidRPr="00A865AE" w:rsidRDefault="00B24CA2">
    <w:pPr>
      <w:pStyle w:val="FSHTitel"/>
    </w:pPr>
    <w:r w:rsidRPr="00A865AE">
      <w:fldChar w:fldCharType="begin" w:fldLock="1"/>
    </w:r>
    <w:r w:rsidRPr="00A865AE">
      <w:instrText xml:space="preserve"> DOCPROPERTY</w:instrText>
    </w:r>
    <w:r w:rsidRPr="00A865AE">
      <w:rPr>
        <w:sz w:val="18"/>
      </w:rPr>
      <w:instrText xml:space="preserve"> "RubrikSvar" *\charformat </w:instrText>
    </w:r>
    <w:r w:rsidRPr="00A865AE">
      <w:fldChar w:fldCharType="separate"/>
    </w:r>
    <w:r w:rsidRPr="00A865AE">
      <w:t xml:space="preserve">Utvidgning av verksamhetsområdet för Europeiska utvecklingsbanken </w:t>
    </w:r>
    <w:r w:rsidRPr="00A865AE">
      <w:fldChar w:fldCharType="end"/>
    </w:r>
  </w:p>
  <w:p w:rsidR="00B24CA2" w:rsidRPr="00A865AE" w:rsidRDefault="00B24CA2">
    <w:pPr>
      <w:pStyle w:val="Normal00"/>
    </w:pPr>
  </w:p>
  <w:p w:rsidR="00B24CA2" w:rsidRPr="00A865AE" w:rsidRDefault="00B24C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7F25C6"/>
    <w:multiLevelType w:val="hybridMultilevel"/>
    <w:tmpl w:val="A91E84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FD054AF"/>
    <w:multiLevelType w:val="hybridMultilevel"/>
    <w:tmpl w:val="01B243C6"/>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9394606">
    <w:abstractNumId w:val="3"/>
  </w:num>
  <w:num w:numId="2" w16cid:durableId="648898004">
    <w:abstractNumId w:val="2"/>
  </w:num>
  <w:num w:numId="3" w16cid:durableId="1345789753">
    <w:abstractNumId w:val="1"/>
  </w:num>
  <w:num w:numId="4" w16cid:durableId="2249514">
    <w:abstractNumId w:val="0"/>
  </w:num>
  <w:num w:numId="5" w16cid:durableId="1158226825">
    <w:abstractNumId w:val="7"/>
  </w:num>
  <w:num w:numId="6" w16cid:durableId="1915819055">
    <w:abstractNumId w:val="6"/>
  </w:num>
  <w:num w:numId="7" w16cid:durableId="124397588">
    <w:abstractNumId w:val="5"/>
  </w:num>
  <w:num w:numId="8" w16cid:durableId="853617228">
    <w:abstractNumId w:val="4"/>
  </w:num>
  <w:num w:numId="9" w16cid:durableId="1628704337">
    <w:abstractNumId w:val="8"/>
  </w:num>
  <w:num w:numId="10" w16cid:durableId="1644575841">
    <w:abstractNumId w:val="9"/>
  </w:num>
  <w:num w:numId="11" w16cid:durableId="617838348">
    <w:abstractNumId w:val="10"/>
  </w:num>
  <w:num w:numId="12" w16cid:durableId="1601601289">
    <w:abstractNumId w:val="13"/>
  </w:num>
  <w:num w:numId="13" w16cid:durableId="1213345514">
    <w:abstractNumId w:val="16"/>
  </w:num>
  <w:num w:numId="14" w16cid:durableId="25452605">
    <w:abstractNumId w:val="17"/>
  </w:num>
  <w:num w:numId="15" w16cid:durableId="1068848859">
    <w:abstractNumId w:val="11"/>
  </w:num>
  <w:num w:numId="16" w16cid:durableId="1622759029">
    <w:abstractNumId w:val="20"/>
  </w:num>
  <w:num w:numId="17" w16cid:durableId="43336347">
    <w:abstractNumId w:val="18"/>
  </w:num>
  <w:num w:numId="18" w16cid:durableId="1928886102">
    <w:abstractNumId w:val="15"/>
  </w:num>
  <w:num w:numId="19" w16cid:durableId="2107573420">
    <w:abstractNumId w:val="12"/>
  </w:num>
  <w:num w:numId="20" w16cid:durableId="1907841083">
    <w:abstractNumId w:val="14"/>
  </w:num>
  <w:num w:numId="21" w16cid:durableId="5957914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4"/>
    <w:docVar w:name="PersonGUIDs" w:val="{66398BA2-0A39-4815-95EE-46A218F1CD07},{5D897251-768B-4F79-A746-942424C0E48F},{3829CAB2-9E41-4957-9EA9-834C2DBCED73}"/>
  </w:docVars>
  <w:rsids>
    <w:rsidRoot w:val="002E717C"/>
    <w:rsid w:val="002E717C"/>
    <w:rsid w:val="00A865AE"/>
    <w:rsid w:val="00B24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986E2F-F501-4231-85B0-94A895B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3942</Characters>
  <Application>Microsoft Office Word</Application>
  <DocSecurity>4</DocSecurity>
  <Lines>73</Lines>
  <Paragraphs>17</Paragraphs>
  <ScaleCrop>false</ScaleCrop>
  <HeadingPairs>
    <vt:vector size="2" baseType="variant">
      <vt:variant>
        <vt:lpstr>Rubrik</vt:lpstr>
      </vt:variant>
      <vt:variant>
        <vt:i4>1</vt:i4>
      </vt:variant>
    </vt:vector>
  </HeadingPairs>
  <TitlesOfParts>
    <vt:vector size="1" baseType="lpstr">
      <vt:lpstr>SD280</vt:lpstr>
    </vt:vector>
  </TitlesOfParts>
  <Company>Riksdagen</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SD280</dc:title>
  <dc:subject>SD280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2012-03-14T15:37:00Z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mot2000_533_2012-02-24</vt:lpwstr>
  </property>
  <property fmtid="{D5CDD505-2E9C-101B-9397-08002B2CF9AE}" pid="3" name="version">
    <vt:lpwstr>mot2000_533_2012-02-24</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2011/12:64 Utvidgning av verksamhetsområdet för Europeiska utvecklingsbanken </vt:lpwstr>
  </property>
  <property fmtid="{D5CDD505-2E9C-101B-9397-08002B2CF9AE}" pid="11" name="SvarFrasKort">
    <vt:lpwstr>med anledning av prop. 2011/12:64</vt:lpwstr>
  </property>
  <property fmtid="{D5CDD505-2E9C-101B-9397-08002B2CF9AE}" pid="12" name="Svar">
    <vt:lpwstr>Proposition</vt:lpwstr>
  </property>
  <property fmtid="{D5CDD505-2E9C-101B-9397-08002B2CF9AE}" pid="13" name="SvarNr">
    <vt:lpwstr>2011/12:64</vt:lpwstr>
  </property>
  <property fmtid="{D5CDD505-2E9C-101B-9397-08002B2CF9AE}" pid="14" name="RubrikSvar">
    <vt:lpwstr>Utvidgning av verksamhetsområdet för Europeiska utvecklingsbanken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Erik Almqvist m.fl. (SD)</vt:lpwstr>
  </property>
  <property fmtid="{D5CDD505-2E9C-101B-9397-08002B2CF9AE}" pid="26" name="MotionarLista">
    <vt:lpwstr>Almqvist, Erik (SD)\Skalin, Johnny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Johnny Skalin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mars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20112012000000830068000002800069</vt:lpwstr>
  </property>
  <property fmtid="{D5CDD505-2E9C-101B-9397-08002B2CF9AE}" pid="47" name="datum">
    <vt:lpwstr>120301</vt:lpwstr>
  </property>
  <property fmtid="{D5CDD505-2E9C-101B-9397-08002B2CF9AE}" pid="48" name="avsändar-e-post">
    <vt:lpwstr>paula.bieler@riksdagen.se</vt:lpwstr>
  </property>
  <property fmtid="{D5CDD505-2E9C-101B-9397-08002B2CF9AE}" pid="49" name="id">
    <vt:lpwstr>20112012000000830068000002800069</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{04AA1C13-E078-4EDA-9EED-396F762795D4}</vt:lpwstr>
  </property>
  <property fmtid="{D5CDD505-2E9C-101B-9397-08002B2CF9AE}" pid="53" name="Överföringar">
    <vt:i4>0</vt:i4>
  </property>
  <property fmtid="{D5CDD505-2E9C-101B-9397-08002B2CF9AE}" pid="54" name="Checksum">
    <vt:lpwstr>*0005063537302*</vt:lpwstr>
  </property>
  <property fmtid="{D5CDD505-2E9C-101B-9397-08002B2CF9AE}" pid="55" name="skuggnummer">
    <vt:lpwstr>3210</vt:lpwstr>
  </property>
  <property fmtid="{D5CDD505-2E9C-101B-9397-08002B2CF9AE}" pid="56" name="urixVersion">
    <vt:lpwstr>4.5.0.25</vt:lpwstr>
  </property>
  <property fmtid="{D5CDD505-2E9C-101B-9397-08002B2CF9AE}" pid="57" name="urixOrigin">
    <vt:lpwstr>120723 10:29:40.009</vt:lpwstr>
  </property>
  <property fmtid="{D5CDD505-2E9C-101B-9397-08002B2CF9AE}" pid="58" name="urixGuid">
    <vt:lpwstr>{A520F90D-2F21-4B95-AA7C-FD08DE483512}</vt:lpwstr>
  </property>
</Properties>
</file>