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BBF" w:rsidRPr="007F1E1E" w:rsidRDefault="00736BBF">
      <w:pPr>
        <w:pStyle w:val="Frslagsrubrik"/>
        <w:shd w:val="clear" w:color="000000" w:fill="auto"/>
      </w:pPr>
      <w:r w:rsidRPr="007F1E1E">
        <w:t>Förslag till riksdagsbeslut</w:t>
      </w:r>
    </w:p>
    <w:p w:rsidR="00736BBF" w:rsidRPr="007F1E1E" w:rsidRDefault="00736BBF">
      <w:pPr>
        <w:pStyle w:val="Hemstlatt"/>
        <w:numPr>
          <w:ilvl w:val="0"/>
          <w:numId w:val="0"/>
        </w:numPr>
        <w:shd w:val="clear" w:color="000000" w:fill="auto"/>
      </w:pPr>
      <w:r w:rsidRPr="007F1E1E">
        <w:t>Riksdagen tillkännager för regeringen som sin mening vad som anförs i motionen om förändringar i den nationella läkemedelsstrat</w:t>
      </w:r>
      <w:r w:rsidRPr="007F1E1E">
        <w:t>e</w:t>
      </w:r>
      <w:r w:rsidRPr="007F1E1E">
        <w:t>gin.</w:t>
      </w:r>
    </w:p>
    <w:p w:rsidR="00736BBF" w:rsidRPr="007F1E1E" w:rsidRDefault="00736BBF">
      <w:pPr>
        <w:pStyle w:val="Rubrik1"/>
        <w:shd w:val="clear" w:color="000000" w:fill="auto"/>
      </w:pPr>
      <w:r w:rsidRPr="007F1E1E">
        <w:t>Bakgrund</w:t>
      </w:r>
    </w:p>
    <w:p w:rsidR="00736BBF" w:rsidRPr="007F1E1E" w:rsidRDefault="00736BBF">
      <w:pPr>
        <w:shd w:val="clear" w:color="000000" w:fill="auto"/>
      </w:pPr>
      <w:r w:rsidRPr="007F1E1E">
        <w:t>Alliansregeringen presenterade tillsammans med Sveriges Kommuner och Landsting (SKL) den 26 augusti 2011 en efterlängtad nationell läkemedel</w:t>
      </w:r>
      <w:r w:rsidRPr="007F1E1E">
        <w:t>s</w:t>
      </w:r>
      <w:r w:rsidRPr="007F1E1E">
        <w:t>strategi med fem övergripande mål (artikelnummer S2011.029). De synnerl</w:t>
      </w:r>
      <w:r w:rsidRPr="007F1E1E">
        <w:t>i</w:t>
      </w:r>
      <w:r w:rsidRPr="007F1E1E">
        <w:t>gen vällovliga målen med strategin är att uppnå medicinska resultat och pat</w:t>
      </w:r>
      <w:r w:rsidRPr="007F1E1E">
        <w:t>i</w:t>
      </w:r>
      <w:r w:rsidRPr="007F1E1E">
        <w:t>entsäkerhet i världsklass, jämlik vård, kostnadseffektiv läkemedelsanvän</w:t>
      </w:r>
      <w:r w:rsidRPr="007F1E1E">
        <w:t>d</w:t>
      </w:r>
      <w:r w:rsidRPr="007F1E1E">
        <w:t>ning, attraktivitet för innovation av produkter och tjänster och minimal milj</w:t>
      </w:r>
      <w:r w:rsidRPr="007F1E1E">
        <w:t>ö</w:t>
      </w:r>
      <w:r w:rsidRPr="007F1E1E">
        <w:t>påverkan. Handlingsplanen för detta består av totalt 32 punkter, som samtliga är mycket välkomna åtgärder för en förbättrad läkemedelspolicy i vårt land.</w:t>
      </w:r>
    </w:p>
    <w:p w:rsidR="00736BBF" w:rsidRPr="007F1E1E" w:rsidRDefault="00736BBF">
      <w:pPr>
        <w:pStyle w:val="Normaltindrag"/>
        <w:shd w:val="clear" w:color="000000" w:fill="auto"/>
      </w:pPr>
      <w:r w:rsidRPr="007F1E1E">
        <w:t>Men det räcker tyvärr inte med detta, utan ytterligare rik</w:t>
      </w:r>
      <w:r w:rsidRPr="007F1E1E">
        <w:t>tade åtgärder är nödvändiga för att optimera läkemedlens funktion och roll i sjukvården. I denna motion kompletteras därför strategin med några konkretiseringar och förslag som vi menar skulle förbättra vår läkemedelspolicy i Sverige.</w:t>
      </w:r>
    </w:p>
    <w:p w:rsidR="00736BBF" w:rsidRPr="007F1E1E" w:rsidRDefault="00736BBF">
      <w:pPr>
        <w:pStyle w:val="Rubrik1"/>
        <w:shd w:val="clear" w:color="000000" w:fill="auto"/>
      </w:pPr>
      <w:r w:rsidRPr="007F1E1E">
        <w:t>Motivering</w:t>
      </w:r>
    </w:p>
    <w:p w:rsidR="00736BBF" w:rsidRPr="007F1E1E" w:rsidRDefault="00736BBF">
      <w:pPr>
        <w:pStyle w:val="PunktlistaNummer"/>
        <w:shd w:val="clear" w:color="000000" w:fill="auto"/>
        <w:rPr>
          <w:u w:val="single"/>
        </w:rPr>
      </w:pPr>
      <w:r w:rsidRPr="007F1E1E">
        <w:rPr>
          <w:u w:val="single"/>
        </w:rPr>
        <w:t>Läkemedelstillverkning och miljöaspekter</w:t>
      </w:r>
    </w:p>
    <w:p w:rsidR="00736BBF" w:rsidRPr="007F1E1E" w:rsidRDefault="00736BBF">
      <w:pPr>
        <w:shd w:val="clear" w:color="000000" w:fill="auto"/>
      </w:pPr>
      <w:r w:rsidRPr="007F1E1E">
        <w:t xml:space="preserve">Förutom de påtagliga effekter på miljön här i Sverige som nedsmutsning av avloppsvatten med nedspolning av överblivna läkemedel kan innebära, så finns också en global problematik på området att beakta. Denna utgörs av att tillverkning av läkemedel för försäljning och bruk i rika länder ofta sker i fattigare länder som exempelvis Indien. Produktionen av läkemedel sker då </w:t>
      </w:r>
      <w:r w:rsidRPr="007F1E1E">
        <w:lastRenderedPageBreak/>
        <w:t>inte alltid med de höga krav på kvalitet för bland annat miljön som normalt gäller i länder med god ekonomi och ett välutvecklat miljötänkande. Kons</w:t>
      </w:r>
      <w:r w:rsidRPr="007F1E1E">
        <w:t>e</w:t>
      </w:r>
      <w:r w:rsidRPr="007F1E1E">
        <w:t>kvenserna av detta är att mycket läkemedelsrester och även rena läkemedel</w:t>
      </w:r>
      <w:r w:rsidRPr="007F1E1E">
        <w:t>s</w:t>
      </w:r>
      <w:r w:rsidRPr="007F1E1E">
        <w:t>substanser läcker ut från tillverkningsprocessen och kontaminerar jord och vattendrag. I nästa led i kedjan, djur och växter, anrikas sådana ämnen ytterl</w:t>
      </w:r>
      <w:r w:rsidRPr="007F1E1E">
        <w:t>i</w:t>
      </w:r>
      <w:r w:rsidRPr="007F1E1E">
        <w:t>gare för att till sist även direkt påverka människan på plats. I fall av exempe</w:t>
      </w:r>
      <w:r w:rsidRPr="007F1E1E">
        <w:t>l</w:t>
      </w:r>
      <w:r w:rsidRPr="007F1E1E">
        <w:t xml:space="preserve">vis antibiotikaproduktion är det inte enbart invånarna </w:t>
      </w:r>
      <w:r w:rsidRPr="007F1E1E">
        <w:t>i produktionslandet som påverkas av denna kontaminering av miljön med läkemedel, utan den utgör då ett större globalt hot. Detta orsakat av att antibiotika i miljön odlar fram resi</w:t>
      </w:r>
      <w:r w:rsidRPr="007F1E1E">
        <w:t>s</w:t>
      </w:r>
      <w:r w:rsidRPr="007F1E1E">
        <w:t>tenta bakterier, och i fallet med att många olika sådana antibiotika är aktuella kan den mest fruktade situationen med multiresistenta bakterier i stora män</w:t>
      </w:r>
      <w:r w:rsidRPr="007F1E1E">
        <w:t>g</w:t>
      </w:r>
      <w:r w:rsidRPr="007F1E1E">
        <w:t>der resultera.</w:t>
      </w:r>
    </w:p>
    <w:p w:rsidR="00736BBF" w:rsidRPr="007F1E1E" w:rsidRDefault="00736BBF">
      <w:pPr>
        <w:pStyle w:val="Normaltindrag"/>
        <w:shd w:val="clear" w:color="000000" w:fill="auto"/>
      </w:pPr>
      <w:r w:rsidRPr="007F1E1E">
        <w:t>Vid granskning av vilka företag som företrädesvis förlägger sin produktion av läkemedel till länder med sämre miljöstandard så är det föga förvånande att föret</w:t>
      </w:r>
      <w:r w:rsidRPr="007F1E1E">
        <w:t>ag som konkurrerar med pris snarare än kompetens kring läkemedel</w:t>
      </w:r>
      <w:r w:rsidRPr="007F1E1E">
        <w:t>s</w:t>
      </w:r>
      <w:r w:rsidRPr="007F1E1E">
        <w:t>utvecklingen, dvs. så kallade generikaföretag som tar fram likvärdiga (notera, inte likadana) läkemedelskopior på sådana läkemedel där originalpatentet löpt ut. Detta förhållande bör uppmärksammas tydligare av myndigheter som ansvarar för läkemedelskvalitet och läkemedelspriser i vårt land och därför också förtydligas under punkten 7 i den aktuella handlingsplanen (sidan 17) i den nyligen framlagda nationella läkemedelsstrategin.</w:t>
      </w:r>
    </w:p>
    <w:p w:rsidR="00736BBF" w:rsidRPr="007F1E1E" w:rsidRDefault="00736BBF">
      <w:pPr>
        <w:pStyle w:val="PunktlistaNummer"/>
        <w:shd w:val="clear" w:color="000000" w:fill="auto"/>
        <w:rPr>
          <w:u w:val="single"/>
        </w:rPr>
      </w:pPr>
      <w:r w:rsidRPr="007F1E1E">
        <w:rPr>
          <w:u w:val="single"/>
        </w:rPr>
        <w:t>Läkemedels hå</w:t>
      </w:r>
      <w:r w:rsidRPr="007F1E1E">
        <w:rPr>
          <w:u w:val="single"/>
        </w:rPr>
        <w:t>llbarhet i förhållande till kassationsproblematiken</w:t>
      </w:r>
    </w:p>
    <w:p w:rsidR="00736BBF" w:rsidRPr="007F1E1E" w:rsidRDefault="00736BBF">
      <w:pPr>
        <w:shd w:val="clear" w:color="000000" w:fill="auto"/>
      </w:pPr>
      <w:r w:rsidRPr="007F1E1E">
        <w:t>I den nyligen framlagda nationella läkemedelsstrategin nämns att en utre</w:t>
      </w:r>
      <w:r w:rsidRPr="007F1E1E">
        <w:t>d</w:t>
      </w:r>
      <w:r w:rsidRPr="007F1E1E">
        <w:t>ning ska tillsättas för att granska hur kassation av läkemedel kan minskas. Detta är ett utmärkt initiativ och vi vill i denna motion om en förbättrad läk</w:t>
      </w:r>
      <w:r w:rsidRPr="007F1E1E">
        <w:t>e</w:t>
      </w:r>
      <w:r w:rsidRPr="007F1E1E">
        <w:t>medelspolicy skicka med förslag till vad man har att beakta i samband denna utredning men som inte nämns i hittillsvarande underlag från regering och SKL.</w:t>
      </w:r>
    </w:p>
    <w:p w:rsidR="00736BBF" w:rsidRPr="007F1E1E" w:rsidRDefault="00736BBF">
      <w:pPr>
        <w:pStyle w:val="Normaltindrag"/>
        <w:shd w:val="clear" w:color="000000" w:fill="auto"/>
      </w:pPr>
      <w:r w:rsidRPr="007F1E1E">
        <w:t>De flesta läkemedel har en praktiskt taget obegränsad hållbarhet. De är vanl</w:t>
      </w:r>
      <w:r w:rsidRPr="007F1E1E">
        <w:t>i</w:t>
      </w:r>
      <w:r w:rsidRPr="007F1E1E">
        <w:t>gen syntetiska kemiska produkter och har som sådana lättare för att vara extremt hållbara vid vanlig förvaring i en naturlig omgivning. Dessutom ko</w:t>
      </w:r>
      <w:r w:rsidRPr="007F1E1E">
        <w:t>n</w:t>
      </w:r>
      <w:r w:rsidRPr="007F1E1E">
        <w:t>strueras läkemedel vanligen för att exempelvis klara av att passera saltsyrab</w:t>
      </w:r>
      <w:r w:rsidRPr="007F1E1E">
        <w:t>a</w:t>
      </w:r>
      <w:r w:rsidRPr="007F1E1E">
        <w:t>det i magsäcken för att därefter opåverkade tas upp av tarmen. Trots viss olikhet i hållbarhet mellan olika grupper av läkemedel, är den allmänna r</w:t>
      </w:r>
      <w:r w:rsidRPr="007F1E1E">
        <w:t>e</w:t>
      </w:r>
      <w:r w:rsidRPr="007F1E1E">
        <w:t>kommendationen till apoteken och konsumenten från producenten vanligen en hållbarhet på endast något till några år medan det i verklighet</w:t>
      </w:r>
      <w:r w:rsidRPr="007F1E1E">
        <w:t>en kan röra sig om betydligt längre hållbarhetstid för majoriteten av läkemedel som a</w:t>
      </w:r>
      <w:r w:rsidRPr="007F1E1E">
        <w:t>n</w:t>
      </w:r>
      <w:r w:rsidRPr="007F1E1E">
        <w:t>vänds idag.</w:t>
      </w:r>
    </w:p>
    <w:p w:rsidR="00736BBF" w:rsidRPr="007F1E1E" w:rsidRDefault="00736BBF">
      <w:pPr>
        <w:pStyle w:val="Normaltindrag"/>
        <w:shd w:val="clear" w:color="000000" w:fill="auto"/>
      </w:pPr>
      <w:r w:rsidRPr="007F1E1E">
        <w:t>Årligen kasseras därför fullt fungerande läkemedel för mångmiljardbelopp i Sverige på grund av att de passerat sista förbrukningsdag. Man räknar med att omkring 10 procent av den totala årliga försäljningen om cirka 35 milja</w:t>
      </w:r>
      <w:r w:rsidRPr="007F1E1E">
        <w:t>r</w:t>
      </w:r>
      <w:r w:rsidRPr="007F1E1E">
        <w:t>der kronor kasseras. Själva destruktionen kostar också stora belopp. I värsta fall destrueras inte ens sådana troligen välfungerande läkemedel, utan de spolas ut och kontaminerar våra vattendrag och utgör ett miljöhot. Persistens (hållba</w:t>
      </w:r>
      <w:r w:rsidRPr="007F1E1E">
        <w:t>r</w:t>
      </w:r>
      <w:r w:rsidRPr="007F1E1E">
        <w:t>het), bioackumulation och toxicitet är viktiga begrepp när läkemedels påverkan på miljön ska värderas. Det finns givetvis läkemedel med kort hål</w:t>
      </w:r>
      <w:r w:rsidRPr="007F1E1E">
        <w:t>l</w:t>
      </w:r>
      <w:r w:rsidRPr="007F1E1E">
        <w:t>barhet, varav de flesta är flytande snarare än fasta. Faktum kvarstår att mer än 90 procent av alla läkemedel är persistenta. De</w:t>
      </w:r>
      <w:r w:rsidRPr="007F1E1E">
        <w:t>n hållbarhetstid som gäller för läkemedel idag – normalt två eller fem år – har en godtycklig snarare än v</w:t>
      </w:r>
      <w:r w:rsidRPr="007F1E1E">
        <w:t>e</w:t>
      </w:r>
      <w:r w:rsidRPr="007F1E1E">
        <w:t>tenskaplig förklaring. Det senare ska inte enbart belastas tillverkaren av l</w:t>
      </w:r>
      <w:r w:rsidRPr="007F1E1E">
        <w:t>ä</w:t>
      </w:r>
      <w:r w:rsidRPr="007F1E1E">
        <w:t>kemedlet, ty denne har ett långtgående ansvar för att garantera att produkten inte kemiskt har förändrats så att dess farmakologiska egenskaper blivit a</w:t>
      </w:r>
      <w:r w:rsidRPr="007F1E1E">
        <w:t>n</w:t>
      </w:r>
      <w:r w:rsidRPr="007F1E1E">
        <w:t>norlunda.</w:t>
      </w:r>
    </w:p>
    <w:p w:rsidR="00736BBF" w:rsidRPr="007F1E1E" w:rsidRDefault="00736BBF">
      <w:pPr>
        <w:pStyle w:val="Normaltindrag"/>
        <w:shd w:val="clear" w:color="000000" w:fill="auto"/>
      </w:pPr>
      <w:r w:rsidRPr="007F1E1E">
        <w:t>Därför behöver frågan gällande regelverk för framtagning av sista förbru</w:t>
      </w:r>
      <w:r w:rsidRPr="007F1E1E">
        <w:t>k</w:t>
      </w:r>
      <w:r w:rsidRPr="007F1E1E">
        <w:t>ningsdag för läkemedel noga ses över, ett förhållande som bör förtydligas under punkten 7.3 i den aktuella handlingsplanen (sidan 17) i den nyligen framlagda nationella läkemedelsstrategin, och den av regeringen tillsatta Miljömålsberedningen ges tilläggsuppdraget att särskilt följa upp var läkem</w:t>
      </w:r>
      <w:r w:rsidRPr="007F1E1E">
        <w:t>e</w:t>
      </w:r>
      <w:r w:rsidRPr="007F1E1E">
        <w:t>del som säljs i Sverige produceras och med vilken kvalitet det sker.</w:t>
      </w:r>
    </w:p>
    <w:p w:rsidR="00736BBF" w:rsidRPr="007F1E1E" w:rsidRDefault="00736BBF">
      <w:pPr>
        <w:pStyle w:val="PunktlistaNummer"/>
        <w:shd w:val="clear" w:color="000000" w:fill="auto"/>
        <w:rPr>
          <w:u w:val="single"/>
        </w:rPr>
      </w:pPr>
      <w:r w:rsidRPr="007F1E1E">
        <w:rPr>
          <w:u w:val="single"/>
        </w:rPr>
        <w:t>Generikautbyte, klinisk funktionalitet och kostnadseffektivitet</w:t>
      </w:r>
    </w:p>
    <w:p w:rsidR="00736BBF" w:rsidRPr="007F1E1E" w:rsidRDefault="00736BBF">
      <w:pPr>
        <w:shd w:val="clear" w:color="000000" w:fill="auto"/>
      </w:pPr>
      <w:r w:rsidRPr="007F1E1E">
        <w:t>I Sverige gäller sedan 2002 så kallat generikautbyte av läkemedel vid exped</w:t>
      </w:r>
      <w:r w:rsidRPr="007F1E1E">
        <w:t>i</w:t>
      </w:r>
      <w:r w:rsidRPr="007F1E1E">
        <w:t>tion på apotek. Detta innebär att man på apoteket tillhandahåller fullt ut inom läkemedelsförmånen endast den för tillfället billigaste läkemedelsprodukten av likvärdig (notera, inte likadan!) natur, om det finns flera konkurrerande kopieprodukter vid sidan av originalet innehållande samma aktiva grundsu</w:t>
      </w:r>
      <w:r w:rsidRPr="007F1E1E">
        <w:t>b</w:t>
      </w:r>
      <w:r w:rsidRPr="007F1E1E">
        <w:t>stans/er. Regeringen och SKL konstaterar i målbeskrivningen för sin natione</w:t>
      </w:r>
      <w:r w:rsidRPr="007F1E1E">
        <w:t>l</w:t>
      </w:r>
      <w:r w:rsidRPr="007F1E1E">
        <w:t>la läkemedelsstrategi att vi via Tandvårds- och läkemedelsförmånsnämnden (TLV) ”tillämpar värdebaserad prissättning på läkemedel”</w:t>
      </w:r>
      <w:r w:rsidRPr="007F1E1E">
        <w:t xml:space="preserve"> (sidan 9) och att ”generiskt utbyte har varit ett viktigt led i att göra läkemedelsanvändningen mer kostnadseffektiv” (sidan 10).</w:t>
      </w:r>
    </w:p>
    <w:p w:rsidR="00736BBF" w:rsidRPr="007F1E1E" w:rsidRDefault="00736BBF">
      <w:pPr>
        <w:pStyle w:val="Normaltindrag"/>
        <w:shd w:val="clear" w:color="000000" w:fill="auto"/>
      </w:pPr>
      <w:r w:rsidRPr="007F1E1E">
        <w:t>Detta förhållande är dock en sanning som kan kräva viss modifikation om det övergripande målet med en verklig kostnadseffektiv läkemedelsanvän</w:t>
      </w:r>
      <w:r w:rsidRPr="007F1E1E">
        <w:t>d</w:t>
      </w:r>
      <w:r w:rsidRPr="007F1E1E">
        <w:t>ning ska uppnås.</w:t>
      </w:r>
    </w:p>
    <w:p w:rsidR="00736BBF" w:rsidRPr="007F1E1E" w:rsidRDefault="00736BBF">
      <w:pPr>
        <w:pStyle w:val="Normaltindrag"/>
        <w:shd w:val="clear" w:color="000000" w:fill="auto"/>
      </w:pPr>
      <w:r w:rsidRPr="007F1E1E">
        <w:t>Läkemedel för våra folksjukdomar brukar vanligen bestå av en handfull e</w:t>
      </w:r>
      <w:r w:rsidRPr="007F1E1E">
        <w:t>l</w:t>
      </w:r>
      <w:r w:rsidRPr="007F1E1E">
        <w:t>ler fler sådana konkurrerande produkter, vilket innebär att om ett recept hä</w:t>
      </w:r>
      <w:r w:rsidRPr="007F1E1E">
        <w:t>m</w:t>
      </w:r>
      <w:r w:rsidRPr="007F1E1E">
        <w:t>tas ut löpande var tredje månad och som är vanligt vid kronisk sjukdom så kan en patient i sitt hem samtidigt ha en rad olika produkter med olika namn och utseende att hålla reda på. I det fall man dessutom har flera olika typer av läkemedel, så kan antalet olika likvärdiga produkter i medicinskåpet öka exponentiellt. Det är då inte förvånande att förväxlingar vid den dagliga m</w:t>
      </w:r>
      <w:r w:rsidRPr="007F1E1E">
        <w:t>e</w:t>
      </w:r>
      <w:r w:rsidRPr="007F1E1E">
        <w:t xml:space="preserve">dicineringen lätt kan ske i hemmet, och särskilt hos </w:t>
      </w:r>
      <w:r w:rsidRPr="007F1E1E">
        <w:t>äldre som både har fler antal mediciner och kanske något svårare att hålla reda på denna komplexa ordning i badrumsskåpet. Risken för ett flertal negativa, t.o.m. allvarliga s</w:t>
      </w:r>
      <w:r w:rsidRPr="007F1E1E">
        <w:t>å</w:t>
      </w:r>
      <w:r w:rsidRPr="007F1E1E">
        <w:t>dana, medicinska konsekvenser av detta kan inte uteslutas. Snarare är med</w:t>
      </w:r>
      <w:r w:rsidRPr="007F1E1E">
        <w:t>i</w:t>
      </w:r>
      <w:r w:rsidRPr="007F1E1E">
        <w:t>cinska komplikationer rimliga att anta trots att ingen egentlig dokumentation kring problemet finns att tillgå även om generikautbyte pågått under lång tid och fortsatt gör så i vårt land.</w:t>
      </w:r>
    </w:p>
    <w:p w:rsidR="00736BBF" w:rsidRPr="007F1E1E" w:rsidRDefault="00736BBF">
      <w:pPr>
        <w:pStyle w:val="Normaltindrag"/>
        <w:shd w:val="clear" w:color="000000" w:fill="auto"/>
      </w:pPr>
      <w:r w:rsidRPr="007F1E1E">
        <w:t>En annan medicinsk konsekvens av generikautbyte som inte studerats är den</w:t>
      </w:r>
      <w:r w:rsidRPr="007F1E1E">
        <w:t xml:space="preserve"> potentiella kliniska skillnaden av ständig byten över tid vid långtidsb</w:t>
      </w:r>
      <w:r w:rsidRPr="007F1E1E">
        <w:t>e</w:t>
      </w:r>
      <w:r w:rsidRPr="007F1E1E">
        <w:t>handling mellan likvärdigt och likadant läkemedel. Enligt gällande godtyckl</w:t>
      </w:r>
      <w:r w:rsidRPr="007F1E1E">
        <w:t>i</w:t>
      </w:r>
      <w:r w:rsidRPr="007F1E1E">
        <w:t>ga regelverk så stipuleras att varje kopia, med originalläkemedlet som vete</w:t>
      </w:r>
      <w:r w:rsidRPr="007F1E1E">
        <w:t>n</w:t>
      </w:r>
      <w:r w:rsidRPr="007F1E1E">
        <w:t>skaplig referens, för att godkännas för allmän förskrivning av Läkemedel</w:t>
      </w:r>
      <w:r w:rsidRPr="007F1E1E">
        <w:t>s</w:t>
      </w:r>
      <w:r w:rsidRPr="007F1E1E">
        <w:t>verket (LMV) ska innehålla minst 80 % och inte mer än 120 % av originalets mängd i kopieprodukten. Detta godtycke i oprecis mängd av vanligen potenta läkemedel kan i ett extremt fall alltså innebära att patienten v</w:t>
      </w:r>
      <w:r w:rsidRPr="007F1E1E">
        <w:t>id en expedi</w:t>
      </w:r>
      <w:r w:rsidRPr="007F1E1E">
        <w:t>e</w:t>
      </w:r>
      <w:r w:rsidRPr="007F1E1E">
        <w:t>ring får ut en dos som vid nästa expediering är 40 % lägre, eller 40 % högre! Detta innebär åtminstone i teorin att en patient som vid den ursprungliga expedieringen får en kliniskt optimal (= rätt balans mellan effekt och biver</w:t>
      </w:r>
      <w:r w:rsidRPr="007F1E1E">
        <w:t>k</w:t>
      </w:r>
      <w:r w:rsidRPr="007F1E1E">
        <w:t xml:space="preserve">ningar) dos, vid nästa expediering i det förra fallet får en för låg dos som kan leda till behandlingssvikt av sjukdomen och i det senare fallet får en för hög dos som kan leda till förgiftning. Givet dessa mycket möjligt omfattande negativa medicinska konsekvenser med </w:t>
      </w:r>
      <w:r w:rsidRPr="007F1E1E">
        <w:t>ordning, eller oordning, med dagens generikautbyte parat med de övriga outforskade negativa konsekvenserna enligt ovan bör en genomgripande översyn ske av såväl myndigheternas roll som lagstiftningen på området. Den myndighet som beslutar om prissättning för full subvention enligt läkemedelsförordningen för gällande ”billigaste” produkt, vanligen enligt den troligen alltför samhällsekonomiska förenklade principen ”öre per tablett” som gäller idag, är TLV.</w:t>
      </w:r>
    </w:p>
    <w:p w:rsidR="00736BBF" w:rsidRPr="007F1E1E" w:rsidRDefault="00736BBF">
      <w:pPr>
        <w:pStyle w:val="Normaltindrag"/>
        <w:shd w:val="clear" w:color="000000" w:fill="auto"/>
      </w:pPr>
      <w:r w:rsidRPr="007F1E1E">
        <w:t>Regeringen har i juni 2011 lämnat direktiv till en u</w:t>
      </w:r>
      <w:r w:rsidRPr="007F1E1E">
        <w:t>tredning som bland a</w:t>
      </w:r>
      <w:r w:rsidRPr="007F1E1E">
        <w:t>n</w:t>
      </w:r>
      <w:r w:rsidRPr="007F1E1E">
        <w:t>nat ska se över hur prissättningen av originalläkemedel utan generisk konku</w:t>
      </w:r>
      <w:r w:rsidRPr="007F1E1E">
        <w:t>r</w:t>
      </w:r>
      <w:r w:rsidRPr="007F1E1E">
        <w:t>rens kan utvecklas och förbättras. I beskrivningen av läkemedelsstrategins insat</w:t>
      </w:r>
      <w:r w:rsidRPr="007F1E1E">
        <w:t>s</w:t>
      </w:r>
      <w:r w:rsidRPr="007F1E1E">
        <w:t>områden nämns att regeringen avser återkomma med tilläggsdirektiv som närmare i detalj belyser frågorna kring läkemedelsprissättning (sidan 11). Mitt förslag är att riksdagen ger regeringen tillkänna att redan nu ge ett tilläggsuppdrag till den aktuella utredningen att problematisera kring utby</w:t>
      </w:r>
      <w:r w:rsidRPr="007F1E1E">
        <w:t>t</w:t>
      </w:r>
      <w:r w:rsidRPr="007F1E1E">
        <w:t>barhetens ”likvärdighet” mellan origin</w:t>
      </w:r>
      <w:r w:rsidRPr="007F1E1E">
        <w:t>alprodukter och olika generika samt att därefter bättre kunna sätta in detta i ett kostnadseffektivitetssammanhang för bedömning av lämpligaste prissättningsmodell vid framtidens subvention</w:t>
      </w:r>
      <w:r w:rsidRPr="007F1E1E">
        <w:t>e</w:t>
      </w:r>
      <w:r w:rsidRPr="007F1E1E">
        <w:t>ring av läkemedel.</w:t>
      </w:r>
    </w:p>
    <w:p w:rsidR="00736BBF" w:rsidRPr="007F1E1E" w:rsidRDefault="00736BBF">
      <w:pPr>
        <w:pStyle w:val="PunktlistaNummer"/>
        <w:shd w:val="clear" w:color="000000" w:fill="auto"/>
        <w:rPr>
          <w:u w:val="single"/>
        </w:rPr>
      </w:pPr>
      <w:r w:rsidRPr="007F1E1E">
        <w:rPr>
          <w:u w:val="single"/>
        </w:rPr>
        <w:t>Hantering av utveckling och kostnader för särläkemedel</w:t>
      </w:r>
    </w:p>
    <w:p w:rsidR="00736BBF" w:rsidRPr="007F1E1E" w:rsidRDefault="00736BBF">
      <w:pPr>
        <w:shd w:val="clear" w:color="000000" w:fill="auto"/>
      </w:pPr>
      <w:r w:rsidRPr="007F1E1E">
        <w:t>De senaste decennierna har läkemedelsforskningen och den forskande läk</w:t>
      </w:r>
      <w:r w:rsidRPr="007F1E1E">
        <w:t>e</w:t>
      </w:r>
      <w:r w:rsidRPr="007F1E1E">
        <w:t>medelsindustrin varit framgångsrik i att ta fram nya läkemedel på områden för flertalet sedvanliga folksjukdomar. På områden där marknaden ter sig liten, exempelvis vid sällsynta sjukdomar, har det inte varit så. Sammantaget utgör emellertid alla de många olika sällsynta sjukdomarna ett stort gissel för befolkningen, särskilt om detta inte enbart ses i det snäva perspektivet av Sveriges drygt 9 miljoner innevånare, utan i ljuset av den nu utvidgade EU-kretsens över en halv miljard människor.</w:t>
      </w:r>
    </w:p>
    <w:p w:rsidR="00736BBF" w:rsidRPr="007F1E1E" w:rsidRDefault="00736BBF">
      <w:pPr>
        <w:pStyle w:val="Normaltindrag"/>
        <w:shd w:val="clear" w:color="000000" w:fill="auto"/>
      </w:pPr>
      <w:r w:rsidRPr="007F1E1E">
        <w:t>I normalfallet</w:t>
      </w:r>
      <w:r w:rsidRPr="007F1E1E">
        <w:t xml:space="preserve"> sätts i Sverige priset på ett läkemedel baserat på det värde läkemedlet tillför. I detta ingår att se på mervärde (i relation till befintliga alte</w:t>
      </w:r>
      <w:r w:rsidRPr="007F1E1E">
        <w:t>r</w:t>
      </w:r>
      <w:r w:rsidRPr="007F1E1E">
        <w:t>nativ) och kostnadseffektivitet med samtidigt beaktande av riksdagens prior</w:t>
      </w:r>
      <w:r w:rsidRPr="007F1E1E">
        <w:t>i</w:t>
      </w:r>
      <w:r w:rsidRPr="007F1E1E">
        <w:t>teringsriktlinjer för hälso- och sjukvården. Detta är den värdebaserade pri</w:t>
      </w:r>
      <w:r w:rsidRPr="007F1E1E">
        <w:t>s</w:t>
      </w:r>
      <w:r w:rsidRPr="007F1E1E">
        <w:t>sättningsmodell som tillämpas på läkemedel i vårt land och som oftast fungerar bra för de flesta läkemedel, men tyvärr sällan för läkemedel till säl</w:t>
      </w:r>
      <w:r w:rsidRPr="007F1E1E">
        <w:t>l</w:t>
      </w:r>
      <w:r w:rsidRPr="007F1E1E">
        <w:t>synta sjukdomar, så kallade särläkemedel. Till saken hör att ut</w:t>
      </w:r>
      <w:r w:rsidRPr="007F1E1E">
        <w:t>vecklingskos</w:t>
      </w:r>
      <w:r w:rsidRPr="007F1E1E">
        <w:t>t</w:t>
      </w:r>
      <w:r w:rsidRPr="007F1E1E">
        <w:t>naden för ett särläkemedel, samt andra kostnader som ett företag har (exe</w:t>
      </w:r>
      <w:r w:rsidRPr="007F1E1E">
        <w:t>m</w:t>
      </w:r>
      <w:r w:rsidRPr="007F1E1E">
        <w:t>pelvis kostnad för riskkapital och alla misslyckade projekt), ska täckas av en liten försäljningsvolym. Priset blir då per automatik högre än för andra läk</w:t>
      </w:r>
      <w:r w:rsidRPr="007F1E1E">
        <w:t>e</w:t>
      </w:r>
      <w:r w:rsidRPr="007F1E1E">
        <w:t>medel. Men även vid ett högt pris kan denna typ av läkemedel ha en avgöra</w:t>
      </w:r>
      <w:r w:rsidRPr="007F1E1E">
        <w:t>n</w:t>
      </w:r>
      <w:r w:rsidRPr="007F1E1E">
        <w:t>de fun</w:t>
      </w:r>
      <w:r w:rsidRPr="007F1E1E">
        <w:t>k</w:t>
      </w:r>
      <w:r w:rsidRPr="007F1E1E">
        <w:t>tion för om en patient med en sällsynt sjukdom kan få den vård som hon eller han enligt hälso- och sjukvårdslagens (HSL) prioriteringar är berä</w:t>
      </w:r>
      <w:r w:rsidRPr="007F1E1E">
        <w:t>t</w:t>
      </w:r>
      <w:r w:rsidRPr="007F1E1E">
        <w:t>tigad till i förhållande till de överordnade</w:t>
      </w:r>
      <w:r w:rsidRPr="007F1E1E">
        <w:t xml:space="preserve"> etiska människovärdes- och behovs- och sol</w:t>
      </w:r>
      <w:r w:rsidRPr="007F1E1E">
        <w:t>i</w:t>
      </w:r>
      <w:r w:rsidRPr="007F1E1E">
        <w:t>daritetsprinciperna framför den av TLV vid prissättning beaktade kostnadse</w:t>
      </w:r>
      <w:r w:rsidRPr="007F1E1E">
        <w:t>f</w:t>
      </w:r>
      <w:r w:rsidRPr="007F1E1E">
        <w:t>fektivitetsprincipen.</w:t>
      </w:r>
    </w:p>
    <w:p w:rsidR="00736BBF" w:rsidRPr="007F1E1E" w:rsidRDefault="00736BBF">
      <w:pPr>
        <w:pStyle w:val="Normaltindrag"/>
        <w:shd w:val="clear" w:color="000000" w:fill="auto"/>
      </w:pPr>
      <w:r w:rsidRPr="007F1E1E">
        <w:t>Konsekvent nog för att tackla detta problem införde EU år 2000 ett system för att stimulera utvecklingen av särläkemedel. Åtgärderna bestod i rådgi</w:t>
      </w:r>
      <w:r w:rsidRPr="007F1E1E">
        <w:t>v</w:t>
      </w:r>
      <w:r w:rsidRPr="007F1E1E">
        <w:t>ning under utvecklingsarbetet, befrielse från ansökningsavgift hos EMA (E</w:t>
      </w:r>
      <w:r w:rsidRPr="007F1E1E">
        <w:t>u</w:t>
      </w:r>
      <w:r w:rsidRPr="007F1E1E">
        <w:t>rop</w:t>
      </w:r>
      <w:r w:rsidRPr="007F1E1E">
        <w:t>e</w:t>
      </w:r>
      <w:r w:rsidRPr="007F1E1E">
        <w:t>iska läkemedelsverket) och en marknadsexklusivitet på maximalt tio år. G</w:t>
      </w:r>
      <w:r w:rsidRPr="007F1E1E">
        <w:t>e</w:t>
      </w:r>
      <w:r w:rsidRPr="007F1E1E">
        <w:t>nom att EMA utser läkemedelskandidater som särläkemedel, har det blivit lättare för små och medelstora företag att attrahera riskkapital. Så långt har systemet fungerat bra och fram till 2010 hade 622 kandidater utsetts och av dessa godkändes 55 som särläkemedel varav 47 för försäljning i Sverige. Under senare tid har ytterligare sådana läkemedel också tillk</w:t>
      </w:r>
      <w:r w:rsidRPr="007F1E1E">
        <w:t>ommit på en ökande marknad, särläkemedel som idag därmed kan lindra eller till och med avhjälpa sjukdomsproblem förknippade med en lång rad olika sällsynta sju</w:t>
      </w:r>
      <w:r w:rsidRPr="007F1E1E">
        <w:t>k</w:t>
      </w:r>
      <w:r w:rsidRPr="007F1E1E">
        <w:t>domar.</w:t>
      </w:r>
    </w:p>
    <w:p w:rsidR="00736BBF" w:rsidRPr="007F1E1E" w:rsidRDefault="00736BBF">
      <w:pPr>
        <w:pStyle w:val="Normaltindrag"/>
        <w:shd w:val="clear" w:color="000000" w:fill="auto"/>
      </w:pPr>
      <w:r w:rsidRPr="007F1E1E">
        <w:t>Men problemet i Sverige är fortsatt att TLV hanterar frågan om subventi</w:t>
      </w:r>
      <w:r w:rsidRPr="007F1E1E">
        <w:t>o</w:t>
      </w:r>
      <w:r w:rsidRPr="007F1E1E">
        <w:t>nering eller ej av sådana särläkemedel inom ramen för läkemedelsförmånen på ett för de drabbade patienterna närmast nyckfullt och oberäkneligt sätt enligt kostandseffektivitetsprincipen. Vissa subventioneras, andra inte, med hänvi</w:t>
      </w:r>
      <w:r w:rsidRPr="007F1E1E">
        <w:t>s</w:t>
      </w:r>
      <w:r w:rsidRPr="007F1E1E">
        <w:t>ning från TLV för hur regelverket är utformat idag när myndigheten primärt har att enbart bedöma kostnadseffektiviteten av ett läkemedel för en grupp och inte ur ett individperspektiv, vilket vore mera rimligt när det gäller att bedöma samhällsnyttan för att kunna behandla sällsy</w:t>
      </w:r>
      <w:r w:rsidRPr="007F1E1E">
        <w:t>nta sjukdomar där särl</w:t>
      </w:r>
      <w:r w:rsidRPr="007F1E1E">
        <w:t>ä</w:t>
      </w:r>
      <w:r w:rsidRPr="007F1E1E">
        <w:t>kemedel har utvecklats och godkänts för klinisk användning.</w:t>
      </w:r>
    </w:p>
    <w:p w:rsidR="00736BBF" w:rsidRPr="007F1E1E" w:rsidRDefault="00736BBF">
      <w:pPr>
        <w:pStyle w:val="Normaltindrag"/>
        <w:shd w:val="clear" w:color="000000" w:fill="auto"/>
      </w:pPr>
      <w:r w:rsidRPr="007F1E1E">
        <w:t>Sjukvårdshuvudmännen, landstingen, kan med den rådande ordningen ibland ställas inför etiska problem av gigantiska proportioner. När TLV efter en värdebaserad bedömning av subvention eller ej utifrån ett snävt kostnad</w:t>
      </w:r>
      <w:r w:rsidRPr="007F1E1E">
        <w:t>s</w:t>
      </w:r>
      <w:r w:rsidRPr="007F1E1E">
        <w:t>effektivitetsperspektiv på gruppnivå kommer till ett negativt utfall för de patienter som berörs, så bollas den humanitära, solidariska och behovsmäss</w:t>
      </w:r>
      <w:r w:rsidRPr="007F1E1E">
        <w:t>i</w:t>
      </w:r>
      <w:r w:rsidRPr="007F1E1E">
        <w:t>ga a</w:t>
      </w:r>
      <w:r w:rsidRPr="007F1E1E">
        <w:t>n</w:t>
      </w:r>
      <w:r w:rsidRPr="007F1E1E">
        <w:t xml:space="preserve">svarsfrågan om behandling eller ej över till respektive landsting. Skulle nu olyckan vara framme att just de relativt få som berörs råkar befinna sig i ett litet landsting och statlig subvention nekats patienternas särläkemedel av TLV, återstår vanligen för landstinget att ta ställning till om det är beretta att ikläda sig den vanligtvis höga kostnaden </w:t>
      </w:r>
      <w:r w:rsidRPr="007F1E1E">
        <w:t>för behandlingen eller ej då patie</w:t>
      </w:r>
      <w:r w:rsidRPr="007F1E1E">
        <w:t>n</w:t>
      </w:r>
      <w:r w:rsidRPr="007F1E1E">
        <w:t>terna sällan klara av detta själva. Detta är en orimlig situation, då HSL riml</w:t>
      </w:r>
      <w:r w:rsidRPr="007F1E1E">
        <w:t>i</w:t>
      </w:r>
      <w:r w:rsidRPr="007F1E1E">
        <w:t>gen tvingar dem till att bistå patienterna av etiskt–lagliga skäl medan en sådan kanske omfattande kostnadsökning för ett enskilt landsting för ett relativt fåtal patienter kan få allvarliga återverkningar på andra patientgruppers vård och/eller på skattebetalarnas utgifter för vården i en region.</w:t>
      </w:r>
    </w:p>
    <w:p w:rsidR="00736BBF" w:rsidRPr="007F1E1E" w:rsidRDefault="00736BBF">
      <w:pPr>
        <w:pStyle w:val="Normaltindrag"/>
        <w:shd w:val="clear" w:color="000000" w:fill="auto"/>
      </w:pPr>
      <w:r w:rsidRPr="007F1E1E">
        <w:t>Lösningen på kort sikt bör vara att staten övertar kostnadsansvaret för sä</w:t>
      </w:r>
      <w:r w:rsidRPr="007F1E1E">
        <w:t>r</w:t>
      </w:r>
      <w:r w:rsidRPr="007F1E1E">
        <w:t>läkemedel så att det solidariskt fördelas över hela landet. På längre sikt bör ansträngningar göras för att ytterligare integrera utvecklingen men också kostnadsfördelningen av utgifter orsakade av särläkemedel inom hela EU efter det att EMA godkänt en sådan behandling baserad på vetenskapligt hållbar evidensgrund. Tyvärr föreligger i regeringens och SKL:s i övrigt a</w:t>
      </w:r>
      <w:r w:rsidRPr="007F1E1E">
        <w:t>m</w:t>
      </w:r>
      <w:r w:rsidRPr="007F1E1E">
        <w:t>bitiösa nationella läkemedelsstrategi varken inget mål eller handlingsplan för att omhänderta frågan om särläkemedel på ett strukturerat sätt</w:t>
      </w:r>
      <w:r w:rsidRPr="007F1E1E">
        <w:t xml:space="preserve"> i framtiden. Vi anser därför att det behövs en strategi för att lösa den problemställning som de som har sällsynta sjukdomar drabbas av när särläkemedel finns tillgängliga men där finansieringen av desamma inte är löst på ett ansvarsfullt sätt utifrån vad portalparagraferna i HSL föreskriver om en lika och rättvis vård till alla med störst behov i vårt land.</w:t>
      </w:r>
    </w:p>
    <w:p w:rsidR="00736BBF" w:rsidRPr="007F1E1E" w:rsidRDefault="00736BBF">
      <w:pPr>
        <w:pStyle w:val="PunktlistaNummer"/>
        <w:shd w:val="clear" w:color="000000" w:fill="auto"/>
        <w:rPr>
          <w:u w:val="single"/>
        </w:rPr>
      </w:pPr>
      <w:r w:rsidRPr="007F1E1E">
        <w:rPr>
          <w:u w:val="single"/>
        </w:rPr>
        <w:t>Förfalskade läkemedel</w:t>
      </w:r>
    </w:p>
    <w:p w:rsidR="00736BBF" w:rsidRPr="007F1E1E" w:rsidRDefault="00736BBF">
      <w:pPr>
        <w:shd w:val="clear" w:color="000000" w:fill="auto"/>
      </w:pPr>
      <w:r w:rsidRPr="007F1E1E">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(antingen läkemedelsbolag för råsu</w:t>
      </w:r>
      <w:r w:rsidRPr="007F1E1E">
        <w:t>b</w:t>
      </w:r>
      <w:r w:rsidRPr="007F1E1E">
        <w:t>stans eller apoteksverksamhet för färdiga produkter) förefaller dessa i det närmaste oskiljaktiga från äkta varusubstanser och produkter som godkänts av myndigheter med ansvar för kvaliteten av läkemedel, i Sverige Läkemedel</w:t>
      </w:r>
      <w:r w:rsidRPr="007F1E1E">
        <w:t>s</w:t>
      </w:r>
      <w:r w:rsidRPr="007F1E1E">
        <w:t>verket.</w:t>
      </w:r>
    </w:p>
    <w:p w:rsidR="00736BBF" w:rsidRPr="007F1E1E" w:rsidRDefault="00736BBF">
      <w:pPr>
        <w:pStyle w:val="Normaltindrag"/>
        <w:shd w:val="clear" w:color="000000" w:fill="auto"/>
      </w:pPr>
      <w:r w:rsidRPr="007F1E1E">
        <w:t>Under 2010 deltog myndigheter i över 40 länder i en samordnad aktion, kallad Pangea III, riktad mot näthandeln med falska och illegala läkemedel. I Sverige har polisen, Tullverket och Läkemedelsverket samverkat, vilket bland annat resulterat i stora beslag och ett flertal gripa</w:t>
      </w:r>
      <w:r w:rsidRPr="007F1E1E">
        <w:t>nden.</w:t>
      </w:r>
    </w:p>
    <w:p w:rsidR="00736BBF" w:rsidRPr="007F1E1E" w:rsidRDefault="00736BBF">
      <w:pPr>
        <w:pStyle w:val="Normaltindrag"/>
        <w:shd w:val="clear" w:color="000000" w:fill="auto"/>
      </w:pPr>
      <w:r w:rsidRPr="007F1E1E">
        <w:t>Men problemet med ett alltför lågt straffvärde i gällande lagstiftning har gjort verksamheten extremt lönsam med liten risk för upptäckt. Det finns till och med exempel på att åklagare avstått från utredning i klart misstänkta fall, varför beivran och påföljd för dessa brott idag närmast lyser helt med sin frånvaro. Traditionella narkotikaligor har därför visat en tendens att övergå från en typ av illegala substanser till en annan som är svårare att kontrollera.</w:t>
      </w:r>
    </w:p>
    <w:p w:rsidR="00736BBF" w:rsidRPr="007F1E1E" w:rsidRDefault="00736BBF">
      <w:pPr>
        <w:pStyle w:val="Normaltindrag"/>
        <w:shd w:val="clear" w:color="000000" w:fill="auto"/>
      </w:pPr>
      <w:r w:rsidRPr="007F1E1E">
        <w:t>De omfattande medicinska komplikationer som falska läkemedel leder till är väl kända. Hur stort det potentiella hotet mot patientsäkerheten som en sådan idag okontrollerad men illegal verksamhet innebär för Sveriges vi</w:t>
      </w:r>
      <w:r w:rsidRPr="007F1E1E">
        <w:t>d</w:t>
      </w:r>
      <w:r w:rsidRPr="007F1E1E">
        <w:t>kommande är dock okänt och måste därför omgående utredas och analyseras.</w:t>
      </w:r>
    </w:p>
    <w:p w:rsidR="00736BBF" w:rsidRPr="007F1E1E" w:rsidRDefault="00736BBF">
      <w:pPr>
        <w:pStyle w:val="Normaltindrag"/>
        <w:shd w:val="clear" w:color="000000" w:fill="auto"/>
      </w:pPr>
      <w:r w:rsidRPr="007F1E1E">
        <w:t>Tull-, polis- och åklagarväsenden utgör i detta sammanhang centrala i</w:t>
      </w:r>
      <w:r w:rsidRPr="007F1E1E">
        <w:t>n</w:t>
      </w:r>
      <w:r w:rsidRPr="007F1E1E">
        <w:t>stanser för att ta initiativet till en mera noggrann analys av problemets o</w:t>
      </w:r>
      <w:r w:rsidRPr="007F1E1E">
        <w:t>m</w:t>
      </w:r>
      <w:r w:rsidRPr="007F1E1E">
        <w:t>fattning för svenskt vidkommande. Dessutom bör straffbestämmelserna för denna typ av brottslighet ses över och eventuellt skärpas.</w:t>
      </w:r>
    </w:p>
    <w:p w:rsidR="00736BBF" w:rsidRPr="007F1E1E" w:rsidRDefault="00736BBF">
      <w:pPr>
        <w:pStyle w:val="Normaltindrag"/>
        <w:shd w:val="clear" w:color="000000" w:fill="auto"/>
      </w:pPr>
      <w:r w:rsidRPr="007F1E1E">
        <w:t>Läkemedelsverket ansvarar idag på uppdrag av regeringen för inform</w:t>
      </w:r>
      <w:r w:rsidRPr="007F1E1E">
        <w:t>a</w:t>
      </w:r>
      <w:r w:rsidRPr="007F1E1E">
        <w:t>tionsarbete och samråd med skola, sjukvård och rättsvårdande myndigheter kring förfalskade läkemedel. När problemet togs upp i två motioner under förra riksmötet (2010/11:So564 och So286) ansågs dessa av utskottet i betä</w:t>
      </w:r>
      <w:r w:rsidRPr="007F1E1E">
        <w:t>n</w:t>
      </w:r>
      <w:r w:rsidRPr="007F1E1E">
        <w:t>kande 2010/11:SoU15 delvis besvarade mot bakgrund av främst denna info</w:t>
      </w:r>
      <w:r w:rsidRPr="007F1E1E">
        <w:t>r</w:t>
      </w:r>
      <w:r w:rsidRPr="007F1E1E">
        <w:t>mationssamordning. Men frågan om en översyn av straffbestämmelserna vid illegal verksamhet med förfalskade läkemedel, och de sannolikt positiva ko</w:t>
      </w:r>
      <w:r w:rsidRPr="007F1E1E">
        <w:t>n</w:t>
      </w:r>
      <w:r w:rsidRPr="007F1E1E">
        <w:t>sekvenserna av detta för tull, polis och åklagare, lämnades beklagligtvi</w:t>
      </w:r>
      <w:r w:rsidRPr="007F1E1E">
        <w:t>s dä</w:t>
      </w:r>
      <w:r w:rsidRPr="007F1E1E">
        <w:t>r</w:t>
      </w:r>
      <w:r w:rsidRPr="007F1E1E">
        <w:t>hän i utskottets beredning av ärendet. På samma sätt är det beklagligt att de</w:t>
      </w:r>
      <w:r w:rsidRPr="007F1E1E">
        <w:t>n</w:t>
      </w:r>
      <w:r w:rsidRPr="007F1E1E">
        <w:t>na viktiga folkhälsofråga inte finns med i handlingsplanen för den nationella läkemedelsstrategin, trots att frågan aktualiserades av Sverige med hög prior</w:t>
      </w:r>
      <w:r w:rsidRPr="007F1E1E">
        <w:t>i</w:t>
      </w:r>
      <w:r w:rsidRPr="007F1E1E">
        <w:t>tet under EU-ordförandeskapet förra mandatperioden och frågan har fortsatt hög prioritet inom de övriga EU-länderna.</w:t>
      </w:r>
    </w:p>
    <w:p w:rsidR="00736BBF" w:rsidRPr="007F1E1E" w:rsidRDefault="00736BBF">
      <w:pPr>
        <w:pStyle w:val="Normaltindrag"/>
        <w:shd w:val="clear" w:color="000000" w:fill="auto"/>
      </w:pPr>
      <w:r w:rsidRPr="007F1E1E">
        <w:t>Vi föreslår därför att förfalskade läkemedel tydligare arbetas in den nati</w:t>
      </w:r>
      <w:r w:rsidRPr="007F1E1E">
        <w:t>o</w:t>
      </w:r>
      <w:r w:rsidRPr="007F1E1E">
        <w:t>nella läkemedelsstrategin vid sidan av det uppdrag som Läkemedelsverket idag har för att följa frågan. Vi föreslår också att man gör en översyn över problemområdet med fokus på de idag vanligen bristfälliga juridiska kons</w:t>
      </w:r>
      <w:r w:rsidRPr="007F1E1E">
        <w:t>e</w:t>
      </w:r>
      <w:r w:rsidRPr="007F1E1E">
        <w:t>kvenserna av sådan kriminell verksamhet med stor risk för farligt hälsovådl</w:t>
      </w:r>
      <w:r w:rsidRPr="007F1E1E">
        <w:t>i</w:t>
      </w:r>
      <w:r w:rsidRPr="007F1E1E">
        <w:t>ga effekter för många patientgrupper.</w:t>
      </w:r>
    </w:p>
    <w:p w:rsidR="00736BBF" w:rsidRPr="007F1E1E" w:rsidRDefault="00736BBF">
      <w:pPr>
        <w:pStyle w:val="PunktlistaNummer"/>
        <w:shd w:val="clear" w:color="000000" w:fill="auto"/>
        <w:rPr>
          <w:u w:val="single"/>
        </w:rPr>
      </w:pPr>
      <w:r w:rsidRPr="007F1E1E">
        <w:rPr>
          <w:u w:val="single"/>
        </w:rPr>
        <w:t>Läkemedelsutprövning på medvetslösa personer</w:t>
      </w:r>
    </w:p>
    <w:p w:rsidR="00736BBF" w:rsidRPr="007F1E1E" w:rsidRDefault="00736BBF">
      <w:pPr>
        <w:shd w:val="clear" w:color="000000" w:fill="auto"/>
      </w:pPr>
      <w:r w:rsidRPr="007F1E1E">
        <w:t>Ett negligerat men viktigt problem som hotar utvecklingen av läkemedel är den situation som gäller för medvetslösa, vanligen akut medvetslösa patienter, som vanligen behandlas på landets intensivvårdsavdelningar, inte sällan på universitetssjukhusen.</w:t>
      </w:r>
    </w:p>
    <w:p w:rsidR="00736BBF" w:rsidRPr="007F1E1E" w:rsidRDefault="00736BBF">
      <w:pPr>
        <w:pStyle w:val="Normaltindrag"/>
        <w:shd w:val="clear" w:color="000000" w:fill="auto"/>
      </w:pPr>
      <w:r w:rsidRPr="007F1E1E">
        <w:t>God tillgång till potenta läkemedel för att behandla svårt sjuka och me</w:t>
      </w:r>
      <w:r w:rsidRPr="007F1E1E">
        <w:t>d</w:t>
      </w:r>
      <w:r w:rsidRPr="007F1E1E">
        <w:t>vetslösa patienter är inte sällan av livräddande karaktär. Samtidigt är denna grupp av läkemedel vanligen kraftfulla behandlingsverktyg som ständigt måste utvecklas för att optimera möjligheterna till att vara både effektiva och säkra att hantera inom intensivvården.</w:t>
      </w:r>
    </w:p>
    <w:p w:rsidR="00736BBF" w:rsidRPr="007F1E1E" w:rsidRDefault="00736BBF">
      <w:pPr>
        <w:pStyle w:val="Normaltindrag"/>
        <w:shd w:val="clear" w:color="000000" w:fill="auto"/>
      </w:pPr>
      <w:r w:rsidRPr="007F1E1E">
        <w:t>Ett problem är att denna typ av prövning av läkemedel idag i princip är omö</w:t>
      </w:r>
      <w:r w:rsidRPr="007F1E1E">
        <w:t>j</w:t>
      </w:r>
      <w:r w:rsidRPr="007F1E1E">
        <w:t>lig att genomföra i Sverige. Detta för att en medvetslös person inte kan lämna ett så kallat informerat samtycke om att delta i utprovningen. Såsom lagen är utformad är därmed Läkemedelsverket, som måste godkänna alla läkemede</w:t>
      </w:r>
      <w:r w:rsidRPr="007F1E1E">
        <w:t>l</w:t>
      </w:r>
      <w:r w:rsidRPr="007F1E1E">
        <w:t>prövningar som sker i Sverige, förhindrad att ge sitt godkännande för detta. Någon nyutveckling av läkemedelsstrategier för svårt sjuka me</w:t>
      </w:r>
      <w:r w:rsidRPr="007F1E1E">
        <w:t>d</w:t>
      </w:r>
      <w:r w:rsidRPr="007F1E1E">
        <w:t>vetslösa pe</w:t>
      </w:r>
      <w:r w:rsidRPr="007F1E1E">
        <w:t>r</w:t>
      </w:r>
      <w:r w:rsidRPr="007F1E1E">
        <w:t>soner förekommer alltså inte i vårt land.</w:t>
      </w:r>
    </w:p>
    <w:p w:rsidR="00736BBF" w:rsidRPr="007F1E1E" w:rsidRDefault="00736BBF">
      <w:pPr>
        <w:pStyle w:val="Normaltindrag"/>
        <w:shd w:val="clear" w:color="000000" w:fill="auto"/>
      </w:pPr>
      <w:r w:rsidRPr="007F1E1E">
        <w:t>Detta har två allvarliga konsekvenser. Den första är en allmän konsekvens i det att Sverige</w:t>
      </w:r>
      <w:r w:rsidRPr="007F1E1E">
        <w:t xml:space="preserve"> och svenska patienter inte kan undersökas för hur nya och potentiellt livräddande läkemedelsstrategier inom intensivvården faller ut. Vi är alltså helt hänvisade till enbart andra länders erfarenheter på området, där man redan löst ut denna etiska problematik. Detta är olyckligt då andra lä</w:t>
      </w:r>
      <w:r w:rsidRPr="007F1E1E">
        <w:t>n</w:t>
      </w:r>
      <w:r w:rsidRPr="007F1E1E">
        <w:t>ders sjukvårdsrutiner, patientunderlag m.m. i övrigt inte nödvändigtvis måste vara identiskt med de förhållanden som råder här i Sverige. Den andra är en specifik konsekvens för den enskilda patienten som berörs i det a</w:t>
      </w:r>
      <w:r w:rsidRPr="007F1E1E">
        <w:t>tt de</w:t>
      </w:r>
      <w:r w:rsidRPr="007F1E1E">
        <w:t>n</w:t>
      </w:r>
      <w:r w:rsidRPr="007F1E1E">
        <w:t>na/ denne förhindras prova en behandling som med rimligt stor sannolikhet kan vara till gagn för denna person.</w:t>
      </w:r>
    </w:p>
    <w:p w:rsidR="00736BBF" w:rsidRPr="007F1E1E" w:rsidRDefault="00736BBF">
      <w:pPr>
        <w:pStyle w:val="Normaltindrag"/>
        <w:shd w:val="clear" w:color="000000" w:fill="auto"/>
      </w:pPr>
      <w:r w:rsidRPr="007F1E1E">
        <w:t>Andra länder har löst detta ”moment 22”-liknande problem med att me</w:t>
      </w:r>
      <w:r w:rsidRPr="007F1E1E">
        <w:t>d</w:t>
      </w:r>
      <w:r w:rsidRPr="007F1E1E">
        <w:t>vetslösa personer naturligt nog inte kan ge sitt informerade samtycke med att en sådan person tilldelas en så kallad ställföreträdare som fungerar ungefär som en god man för att tillvarata den medvetslösas medicinska intressen u</w:t>
      </w:r>
      <w:r w:rsidRPr="007F1E1E">
        <w:t>n</w:t>
      </w:r>
      <w:r w:rsidRPr="007F1E1E">
        <w:t>der den tid det inte går att erhålla ett sådant samtycke på annat sätt.</w:t>
      </w:r>
    </w:p>
    <w:p w:rsidR="00736BBF" w:rsidRPr="007F1E1E" w:rsidRDefault="00736BBF">
      <w:pPr>
        <w:pStyle w:val="Normaltindrag"/>
        <w:shd w:val="clear" w:color="000000" w:fill="auto"/>
      </w:pPr>
      <w:r w:rsidRPr="007F1E1E">
        <w:t>Vi anser att detta problem behöver lösas och att det arbetas in i den nati</w:t>
      </w:r>
      <w:r w:rsidRPr="007F1E1E">
        <w:t>o</w:t>
      </w:r>
      <w:r w:rsidRPr="007F1E1E">
        <w:t>nella läkemedelsstrategin hur läkemedel ska kunna utprovas på medvetslösa pers</w:t>
      </w:r>
      <w:r w:rsidRPr="007F1E1E">
        <w:t>o</w:t>
      </w:r>
      <w:r w:rsidRPr="007F1E1E">
        <w:t xml:space="preserve">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E1E">
        <w:trPr>
          <w:cantSplit/>
        </w:trPr>
        <w:tc>
          <w:tcPr>
            <w:tcW w:w="3046" w:type="dxa"/>
          </w:tcPr>
          <w:p w:rsidR="00736BBF" w:rsidRPr="007F1E1E" w:rsidRDefault="00736BBF">
            <w:pPr>
              <w:pStyle w:val="UnderskriftDatum"/>
              <w:shd w:val="clear" w:color="000000" w:fill="auto"/>
              <w:spacing w:before="240"/>
            </w:pPr>
            <w:r w:rsidRPr="007F1E1E">
              <w:t>Stockholm den 28 september 2011</w:t>
            </w:r>
          </w:p>
        </w:tc>
        <w:tc>
          <w:tcPr>
            <w:tcW w:w="3047" w:type="dxa"/>
          </w:tcPr>
          <w:p w:rsidR="00736BBF" w:rsidRPr="007F1E1E" w:rsidRDefault="00736BBF">
            <w:pPr>
              <w:pStyle w:val="Underskrifter"/>
              <w:shd w:val="clear" w:color="000000" w:fill="auto"/>
              <w:spacing w:before="240"/>
            </w:pPr>
          </w:p>
        </w:tc>
      </w:tr>
      <w:tr w:rsidR="00000000" w:rsidRPr="007F1E1E">
        <w:trPr>
          <w:cantSplit/>
        </w:trPr>
        <w:tc>
          <w:tcPr>
            <w:tcW w:w="3046" w:type="dxa"/>
          </w:tcPr>
          <w:p w:rsidR="00736BBF" w:rsidRPr="007F1E1E" w:rsidRDefault="00736BBF">
            <w:pPr>
              <w:pStyle w:val="Underskrifter"/>
              <w:shd w:val="clear" w:color="000000" w:fill="auto"/>
            </w:pPr>
            <w:r w:rsidRPr="007F1E1E">
              <w:t>Finn Bengtsson (M)</w:t>
            </w:r>
          </w:p>
        </w:tc>
        <w:tc>
          <w:tcPr>
            <w:tcW w:w="3046" w:type="dxa"/>
          </w:tcPr>
          <w:p w:rsidR="00736BBF" w:rsidRPr="007F1E1E" w:rsidRDefault="00736BBF">
            <w:pPr>
              <w:pStyle w:val="Underskrifter"/>
              <w:shd w:val="clear" w:color="000000" w:fill="auto"/>
            </w:pPr>
          </w:p>
        </w:tc>
      </w:tr>
      <w:tr w:rsidR="00000000" w:rsidRPr="007F1E1E">
        <w:trPr>
          <w:cantSplit/>
        </w:trPr>
        <w:tc>
          <w:tcPr>
            <w:tcW w:w="3046" w:type="dxa"/>
          </w:tcPr>
          <w:p w:rsidR="00736BBF" w:rsidRPr="007F1E1E" w:rsidRDefault="00736BBF">
            <w:pPr>
              <w:pStyle w:val="Underskrifter"/>
              <w:shd w:val="clear" w:color="000000" w:fill="auto"/>
            </w:pPr>
            <w:r w:rsidRPr="007F1E1E">
              <w:t>Mikael Cederbratt (M)</w:t>
            </w:r>
          </w:p>
        </w:tc>
        <w:tc>
          <w:tcPr>
            <w:tcW w:w="3046" w:type="dxa"/>
          </w:tcPr>
          <w:p w:rsidR="00736BBF" w:rsidRPr="007F1E1E" w:rsidRDefault="00736BBF">
            <w:pPr>
              <w:pStyle w:val="Underskrifter"/>
              <w:shd w:val="clear" w:color="000000" w:fill="auto"/>
            </w:pPr>
            <w:r w:rsidRPr="007F1E1E">
              <w:t>Andreas Norlén (M)</w:t>
            </w:r>
          </w:p>
        </w:tc>
      </w:tr>
      <w:tr w:rsidR="00000000" w:rsidRPr="007F1E1E">
        <w:trPr>
          <w:cantSplit/>
        </w:trPr>
        <w:tc>
          <w:tcPr>
            <w:tcW w:w="3046" w:type="dxa"/>
          </w:tcPr>
          <w:p w:rsidR="00736BBF" w:rsidRPr="007F1E1E" w:rsidRDefault="00736BBF">
            <w:pPr>
              <w:pStyle w:val="Underskrifter"/>
              <w:shd w:val="clear" w:color="000000" w:fill="auto"/>
            </w:pPr>
            <w:r w:rsidRPr="007F1E1E">
              <w:t>Gustav Nilsson (M)</w:t>
            </w:r>
          </w:p>
        </w:tc>
        <w:tc>
          <w:tcPr>
            <w:tcW w:w="3046" w:type="dxa"/>
          </w:tcPr>
          <w:p w:rsidR="00736BBF" w:rsidRPr="007F1E1E" w:rsidRDefault="00736BBF">
            <w:pPr>
              <w:pStyle w:val="Underskrifter"/>
              <w:shd w:val="clear" w:color="000000" w:fill="auto"/>
            </w:pPr>
            <w:r w:rsidRPr="007F1E1E">
              <w:t>Gustaf Hoffstedt (M)</w:t>
            </w:r>
          </w:p>
        </w:tc>
      </w:tr>
      <w:tr w:rsidR="00000000" w:rsidRPr="007F1E1E">
        <w:trPr>
          <w:cantSplit/>
        </w:trPr>
        <w:tc>
          <w:tcPr>
            <w:tcW w:w="3046" w:type="dxa"/>
          </w:tcPr>
          <w:p w:rsidR="00736BBF" w:rsidRPr="007F1E1E" w:rsidRDefault="00736BBF">
            <w:pPr>
              <w:pStyle w:val="Underskrifter"/>
              <w:shd w:val="clear" w:color="000000" w:fill="auto"/>
            </w:pPr>
            <w:r w:rsidRPr="007F1E1E">
              <w:t>Amir Adan (M)</w:t>
            </w:r>
          </w:p>
        </w:tc>
        <w:tc>
          <w:tcPr>
            <w:tcW w:w="3046" w:type="dxa"/>
          </w:tcPr>
          <w:p w:rsidR="00736BBF" w:rsidRPr="007F1E1E" w:rsidRDefault="00736BBF">
            <w:pPr>
              <w:pStyle w:val="Underskrifter"/>
              <w:shd w:val="clear" w:color="000000" w:fill="auto"/>
            </w:pPr>
            <w:r w:rsidRPr="007F1E1E">
              <w:t>Cecilia Magnusson (M)</w:t>
            </w:r>
          </w:p>
        </w:tc>
      </w:tr>
      <w:tr w:rsidR="00000000" w:rsidRPr="007F1E1E">
        <w:trPr>
          <w:cantSplit/>
        </w:trPr>
        <w:tc>
          <w:tcPr>
            <w:tcW w:w="3046" w:type="dxa"/>
          </w:tcPr>
          <w:p w:rsidR="00736BBF" w:rsidRPr="007F1E1E" w:rsidRDefault="00736BBF">
            <w:pPr>
              <w:pStyle w:val="Underskrifter"/>
              <w:shd w:val="clear" w:color="000000" w:fill="auto"/>
            </w:pPr>
            <w:r w:rsidRPr="007F1E1E">
              <w:t>Hans Wallmark (M)</w:t>
            </w:r>
          </w:p>
        </w:tc>
        <w:tc>
          <w:tcPr>
            <w:tcW w:w="3046" w:type="dxa"/>
          </w:tcPr>
          <w:p w:rsidR="00736BBF" w:rsidRPr="007F1E1E" w:rsidRDefault="00736BBF">
            <w:pPr>
              <w:pStyle w:val="Underskrifter"/>
              <w:shd w:val="clear" w:color="000000" w:fill="auto"/>
            </w:pPr>
          </w:p>
        </w:tc>
      </w:tr>
    </w:tbl>
    <w:p w:rsidR="00736BBF" w:rsidRPr="007F1E1E" w:rsidRDefault="00736BBF">
      <w:pPr>
        <w:pStyle w:val="Normaltindrag"/>
        <w:shd w:val="clear" w:color="000000" w:fill="auto"/>
      </w:pPr>
    </w:p>
    <w:sectPr w:rsidR="00736BBF" w:rsidRPr="007F1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BBF" w:rsidRPr="007F1E1E" w:rsidRDefault="00736BBF">
      <w:r w:rsidRPr="007F1E1E">
        <w:separator/>
      </w:r>
    </w:p>
  </w:endnote>
  <w:endnote w:type="continuationSeparator" w:id="0">
    <w:p w:rsidR="00736BBF" w:rsidRPr="007F1E1E" w:rsidRDefault="00736BBF">
      <w:r w:rsidRPr="007F1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F1E1E">
    <w:pPr>
      <w:pStyle w:val="Sidfot"/>
    </w:pPr>
    <w:r w:rsidRPr="007F1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206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BF" w:rsidRDefault="00736BB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BBF" w:rsidRDefault="00736BB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F1E1E">
    <w:pPr>
      <w:pStyle w:val="Sidfot"/>
    </w:pPr>
    <w:r w:rsidRPr="007F1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709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BF" w:rsidRDefault="00736BB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BBF" w:rsidRDefault="00736BB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F1E1E">
    <w:pPr>
      <w:pStyle w:val="Sidfot"/>
    </w:pPr>
    <w:r w:rsidRPr="007F1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702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BF" w:rsidRDefault="00736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BBF" w:rsidRDefault="00736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BBF" w:rsidRPr="007F1E1E" w:rsidRDefault="00736BBF">
      <w:r w:rsidRPr="007F1E1E">
        <w:separator/>
      </w:r>
    </w:p>
  </w:footnote>
  <w:footnote w:type="continuationSeparator" w:id="0">
    <w:p w:rsidR="00736BBF" w:rsidRPr="007F1E1E" w:rsidRDefault="00736BBF">
      <w:r w:rsidRPr="007F1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F1E1E">
    <w:pPr>
      <w:pStyle w:val="Sidhuvud"/>
    </w:pPr>
    <w:r w:rsidRPr="007F1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101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BF" w:rsidRDefault="00736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BBF" w:rsidRDefault="00736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F1E1E">
    <w:pPr>
      <w:pStyle w:val="Sidhuvud"/>
    </w:pPr>
    <w:r w:rsidRPr="007F1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316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BF" w:rsidRDefault="00736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BBF" w:rsidRDefault="00736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BBF" w:rsidRPr="007F1E1E" w:rsidRDefault="00736BBF">
    <w:pPr>
      <w:pStyle w:val="FSHNormal"/>
      <w:tabs>
        <w:tab w:val="right" w:pos="5840"/>
      </w:tabs>
    </w:pPr>
    <w:r w:rsidRPr="007F1E1E">
      <w:br/>
    </w:r>
    <w:r w:rsidRPr="007F1E1E">
      <w:fldChar w:fldCharType="begin" w:fldLock="1"/>
    </w:r>
    <w:r w:rsidRPr="007F1E1E">
      <w:instrText xml:space="preserve"> DOCPROPERTY</w:instrText>
    </w:r>
    <w:r w:rsidRPr="007F1E1E">
      <w:rPr>
        <w:sz w:val="18"/>
      </w:rPr>
      <w:instrText xml:space="preserve"> "YearUser" *\charformat </w:instrText>
    </w:r>
    <w:r w:rsidRPr="007F1E1E">
      <w:fldChar w:fldCharType="separate"/>
    </w:r>
    <w:r w:rsidRPr="007F1E1E">
      <w:t>2011/12</w:t>
    </w:r>
    <w:r w:rsidRPr="007F1E1E">
      <w:fldChar w:fldCharType="end"/>
    </w:r>
    <w:r w:rsidRPr="007F1E1E">
      <w:t xml:space="preserve"> </w:t>
    </w:r>
    <w:r w:rsidRPr="007F1E1E">
      <w:tab/>
      <w:t xml:space="preserve">mnr: </w:t>
    </w:r>
    <w:r w:rsidRPr="007F1E1E">
      <w:fldChar w:fldCharType="begin" w:fldLock="1"/>
    </w:r>
    <w:r w:rsidRPr="007F1E1E">
      <w:instrText xml:space="preserve"> DOCPROPERTY</w:instrText>
    </w:r>
    <w:r w:rsidRPr="007F1E1E">
      <w:rPr>
        <w:sz w:val="18"/>
      </w:rPr>
      <w:instrText xml:space="preserve"> "Motionsnummer" *\charformat </w:instrText>
    </w:r>
    <w:r w:rsidRPr="007F1E1E">
      <w:fldChar w:fldCharType="separate"/>
    </w:r>
    <w:r w:rsidRPr="007F1E1E">
      <w:t>So584</w:t>
    </w:r>
    <w:r w:rsidRPr="007F1E1E">
      <w:fldChar w:fldCharType="end"/>
    </w:r>
    <w:r w:rsidRPr="007F1E1E">
      <w:br/>
    </w:r>
    <w:r w:rsidRPr="007F1E1E">
      <w:fldChar w:fldCharType="begin" w:fldLock="1"/>
    </w:r>
    <w:r w:rsidRPr="007F1E1E">
      <w:instrText xml:space="preserve"> DOCPROPERTY</w:instrText>
    </w:r>
    <w:r w:rsidRPr="007F1E1E">
      <w:rPr>
        <w:sz w:val="18"/>
      </w:rPr>
      <w:instrText xml:space="preserve"> "Samling" *\charformat </w:instrText>
    </w:r>
    <w:r w:rsidRPr="007F1E1E">
      <w:fldChar w:fldCharType="end"/>
    </w:r>
    <w:r w:rsidRPr="007F1E1E">
      <w:tab/>
      <w:t xml:space="preserve">pnr: </w:t>
    </w:r>
    <w:r w:rsidRPr="007F1E1E">
      <w:fldChar w:fldCharType="begin" w:fldLock="1"/>
    </w:r>
    <w:r w:rsidRPr="007F1E1E">
      <w:instrText xml:space="preserve"> DOCPROPERTY</w:instrText>
    </w:r>
    <w:r w:rsidRPr="007F1E1E">
      <w:rPr>
        <w:sz w:val="18"/>
      </w:rPr>
      <w:instrText xml:space="preserve"> "Partinummer" *\charformat </w:instrText>
    </w:r>
    <w:r w:rsidRPr="007F1E1E">
      <w:fldChar w:fldCharType="separate"/>
    </w:r>
    <w:r w:rsidRPr="007F1E1E">
      <w:t>M493</w:t>
    </w:r>
    <w:r w:rsidRPr="007F1E1E">
      <w:fldChar w:fldCharType="end"/>
    </w:r>
  </w:p>
  <w:p w:rsidR="00736BBF" w:rsidRPr="007F1E1E" w:rsidRDefault="00736BBF">
    <w:pPr>
      <w:pStyle w:val="FSHRub1"/>
    </w:pPr>
    <w:r w:rsidRPr="007F1E1E">
      <w:t>Motion till riksdagen</w:t>
    </w:r>
    <w:r w:rsidRPr="007F1E1E">
      <w:br/>
    </w:r>
    <w:r w:rsidRPr="007F1E1E">
      <w:fldChar w:fldCharType="begin" w:fldLock="1"/>
    </w:r>
    <w:r w:rsidRPr="007F1E1E">
      <w:instrText xml:space="preserve"> DOCPROPERTY "YearUser" *\charformat </w:instrText>
    </w:r>
    <w:r w:rsidRPr="007F1E1E">
      <w:fldChar w:fldCharType="separate"/>
    </w:r>
    <w:r w:rsidRPr="007F1E1E">
      <w:t>2011/12</w:t>
    </w:r>
    <w:r w:rsidRPr="007F1E1E">
      <w:fldChar w:fldCharType="end"/>
    </w:r>
    <w:r w:rsidRPr="007F1E1E">
      <w:t>:</w:t>
    </w:r>
    <w:r w:rsidRPr="007F1E1E">
      <w:fldChar w:fldCharType="begin" w:fldLock="1"/>
    </w:r>
    <w:r w:rsidRPr="007F1E1E">
      <w:instrText xml:space="preserve"> DOCPROPERTY "Motionsnummer" *\charformat </w:instrText>
    </w:r>
    <w:r w:rsidRPr="007F1E1E">
      <w:fldChar w:fldCharType="separate"/>
    </w:r>
    <w:r w:rsidRPr="007F1E1E">
      <w:t>So584</w:t>
    </w:r>
    <w:r w:rsidRPr="007F1E1E">
      <w:fldChar w:fldCharType="end"/>
    </w:r>
  </w:p>
  <w:p w:rsidR="00736BBF" w:rsidRPr="007F1E1E" w:rsidRDefault="00736BBF">
    <w:pPr>
      <w:pStyle w:val="FSHNormalS5"/>
    </w:pPr>
    <w:r w:rsidRPr="007F1E1E">
      <w:fldChar w:fldCharType="begin" w:fldLock="1"/>
    </w:r>
    <w:r w:rsidRPr="007F1E1E">
      <w:instrText xml:space="preserve"> DOCPROPERTY "MotionarText" *\charformat </w:instrText>
    </w:r>
    <w:r w:rsidRPr="007F1E1E">
      <w:fldChar w:fldCharType="separate"/>
    </w:r>
    <w:r w:rsidRPr="007F1E1E">
      <w:t>av Finn Bengtsson m.fl. (M)</w:t>
    </w:r>
    <w:r w:rsidRPr="007F1E1E">
      <w:fldChar w:fldCharType="end"/>
    </w:r>
    <w:r w:rsidRPr="007F1E1E">
      <w:br/>
    </w:r>
    <w:r w:rsidRPr="007F1E1E">
      <w:fldChar w:fldCharType="begin" w:fldLock="1"/>
    </w:r>
    <w:r w:rsidRPr="007F1E1E">
      <w:instrText xml:space="preserve"> DOCPROPERTY "SvarFrasKort" *\charformat </w:instrText>
    </w:r>
    <w:r w:rsidRPr="007F1E1E">
      <w:fldChar w:fldCharType="end"/>
    </w:r>
  </w:p>
  <w:p w:rsidR="00736BBF" w:rsidRPr="007F1E1E" w:rsidRDefault="00736BBF">
    <w:pPr>
      <w:pStyle w:val="FSHTitel"/>
    </w:pPr>
    <w:r w:rsidRPr="007F1E1E">
      <w:fldChar w:fldCharType="begin" w:fldLock="1"/>
    </w:r>
    <w:r w:rsidRPr="007F1E1E">
      <w:instrText xml:space="preserve"> DOCPROPERTY</w:instrText>
    </w:r>
    <w:r w:rsidRPr="007F1E1E">
      <w:rPr>
        <w:sz w:val="18"/>
      </w:rPr>
      <w:instrText xml:space="preserve"> "RubrikSvar" *\charformat </w:instrText>
    </w:r>
    <w:r w:rsidRPr="007F1E1E">
      <w:fldChar w:fldCharType="separate"/>
    </w:r>
    <w:r w:rsidRPr="007F1E1E">
      <w:t>Förbättrad läkemedelspolicy</w:t>
    </w:r>
    <w:r w:rsidRPr="007F1E1E">
      <w:fldChar w:fldCharType="end"/>
    </w:r>
  </w:p>
  <w:p w:rsidR="00736BBF" w:rsidRPr="007F1E1E" w:rsidRDefault="00736BBF">
    <w:pPr>
      <w:pStyle w:val="Normal00"/>
    </w:pPr>
  </w:p>
  <w:p w:rsidR="00736BBF" w:rsidRPr="007F1E1E" w:rsidRDefault="00736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271DC"/>
    <w:multiLevelType w:val="hybridMultilevel"/>
    <w:tmpl w:val="1AB0506C"/>
    <w:lvl w:ilvl="0" w:tplc="631A61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2823956">
    <w:abstractNumId w:val="3"/>
  </w:num>
  <w:num w:numId="2" w16cid:durableId="192038899">
    <w:abstractNumId w:val="2"/>
  </w:num>
  <w:num w:numId="3" w16cid:durableId="1764643589">
    <w:abstractNumId w:val="1"/>
  </w:num>
  <w:num w:numId="4" w16cid:durableId="1076703072">
    <w:abstractNumId w:val="0"/>
  </w:num>
  <w:num w:numId="5" w16cid:durableId="861675466">
    <w:abstractNumId w:val="7"/>
  </w:num>
  <w:num w:numId="6" w16cid:durableId="1228569985">
    <w:abstractNumId w:val="6"/>
  </w:num>
  <w:num w:numId="7" w16cid:durableId="461583905">
    <w:abstractNumId w:val="5"/>
  </w:num>
  <w:num w:numId="8" w16cid:durableId="1418403207">
    <w:abstractNumId w:val="4"/>
  </w:num>
  <w:num w:numId="9" w16cid:durableId="2012944511">
    <w:abstractNumId w:val="8"/>
  </w:num>
  <w:num w:numId="10" w16cid:durableId="22899885">
    <w:abstractNumId w:val="9"/>
  </w:num>
  <w:num w:numId="11" w16cid:durableId="1938905477">
    <w:abstractNumId w:val="10"/>
  </w:num>
  <w:num w:numId="12" w16cid:durableId="305937002">
    <w:abstractNumId w:val="13"/>
  </w:num>
  <w:num w:numId="13" w16cid:durableId="1089077912">
    <w:abstractNumId w:val="16"/>
  </w:num>
  <w:num w:numId="14" w16cid:durableId="1052265889">
    <w:abstractNumId w:val="17"/>
  </w:num>
  <w:num w:numId="15" w16cid:durableId="1462110949">
    <w:abstractNumId w:val="11"/>
  </w:num>
  <w:num w:numId="16" w16cid:durableId="298730648">
    <w:abstractNumId w:val="19"/>
  </w:num>
  <w:num w:numId="17" w16cid:durableId="1206025022">
    <w:abstractNumId w:val="18"/>
  </w:num>
  <w:num w:numId="18" w16cid:durableId="1080562806">
    <w:abstractNumId w:val="14"/>
  </w:num>
  <w:num w:numId="19" w16cid:durableId="389233866">
    <w:abstractNumId w:val="12"/>
  </w:num>
  <w:num w:numId="20" w16cid:durableId="1539395181">
    <w:abstractNumId w:val="15"/>
  </w:num>
  <w:num w:numId="21" w16cid:durableId="1989236743">
    <w:abstractNumId w:val="1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1C0FD78-9D14-42EA-B1B2-0CE5B9AA8DA9},{88026C25-9173-43A0-9655-4FA569F844BA},{0C0EA59F-6F6F-4D5D-BE37-EDB2147FB809},{7BAADBC0-E2E7-41F2-ABC7-1DED8B09AAFB},{0E5939DE-22F5-483C-B07A-EB6FC94636F4},{AF63673D-0404-452A-8E6B-EC8F482F2C99},{1093AE14-BF4C-47AB-A88B-20EC523F75DD},{7BBF5A05-D401-4E98-91B5-5785C7FE7389}"/>
  </w:docVars>
  <w:rsids>
    <w:rsidRoot w:val="000C7B41"/>
    <w:rsid w:val="000C7B41"/>
    <w:rsid w:val="00736BBF"/>
    <w:rsid w:val="007F1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9D1AB-4B2B-4D6C-8D6F-C720D9C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3007</Words>
  <Characters>18136</Characters>
  <Application>Microsoft Office Word</Application>
  <DocSecurity>4</DocSecurity>
  <Lines>312</Lines>
  <Paragraphs>59</Paragraphs>
  <ScaleCrop>false</ScaleCrop>
  <HeadingPairs>
    <vt:vector size="2" baseType="variant">
      <vt:variant>
        <vt:lpstr>Rubrik</vt:lpstr>
      </vt:variant>
      <vt:variant>
        <vt:i4>1</vt:i4>
      </vt:variant>
    </vt:vector>
  </HeadingPairs>
  <TitlesOfParts>
    <vt:vector size="1" baseType="lpstr">
      <vt:lpstr>M493</vt:lpstr>
    </vt:vector>
  </TitlesOfParts>
  <Company>Riksdagen</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M493</dc:title>
  <dc:subject>M493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2011-12-21T07:10:00Z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läkemedelspolicy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läkemedelspolicy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Finn Bengtsson m.fl. (M)</vt:lpwstr>
  </property>
  <property fmtid="{D5CDD505-2E9C-101B-9397-08002B2CF9AE}" pid="26" name="MotionarLista">
    <vt:lpwstr>Bengtsson, Finn (M)\Cederbratt, Mikael (M)\Norlén, Andreas (M)\Nilsson, Gustav (M)\Hoffstedt, Gustaf (M)\Adan, Amir (M)\Magnusson, Cecilia (M)\Wallmark,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Mikael Cederbratt (M), Andreas Norlén (M), Gustav Nilsson (M), Gustaf Hoffstedt (M), Amir Adan (M), Cecilia Magnusson (M), 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20112012000000000077000004930069</vt:lpwstr>
  </property>
  <property fmtid="{D5CDD505-2E9C-101B-9397-08002B2CF9AE}" pid="47" name="datum">
    <vt:lpwstr>110928</vt:lpwstr>
  </property>
  <property fmtid="{D5CDD505-2E9C-101B-9397-08002B2CF9AE}" pid="48" name="avsändar-e-post">
    <vt:lpwstr>felicia.roel@riksdagen.se</vt:lpwstr>
  </property>
  <property fmtid="{D5CDD505-2E9C-101B-9397-08002B2CF9AE}" pid="49" name="id">
    <vt:lpwstr>20112012000000000077000004930069</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{EF0098E2-1DFA-4576-B341-C4ADADA5F819}</vt:lpwstr>
  </property>
  <property fmtid="{D5CDD505-2E9C-101B-9397-08002B2CF9AE}" pid="53" name="Överföringar">
    <vt:i4>0</vt:i4>
  </property>
  <property fmtid="{D5CDD505-2E9C-101B-9397-08002B2CF9AE}" pid="54" name="Checksum">
    <vt:lpwstr>*0010674949444*</vt:lpwstr>
  </property>
  <property fmtid="{D5CDD505-2E9C-101B-9397-08002B2CF9AE}" pid="55" name="skuggnummer">
    <vt:lpwstr>2599</vt:lpwstr>
  </property>
  <property fmtid="{D5CDD505-2E9C-101B-9397-08002B2CF9AE}" pid="56" name="urixVersion">
    <vt:lpwstr>4.5.0.25</vt:lpwstr>
  </property>
  <property fmtid="{D5CDD505-2E9C-101B-9397-08002B2CF9AE}" pid="57" name="urixOrigin">
    <vt:lpwstr>111221 08:10:23.044</vt:lpwstr>
  </property>
  <property fmtid="{D5CDD505-2E9C-101B-9397-08002B2CF9AE}" pid="58" name="urixGuid">
    <vt:lpwstr>{440F91A4-5535-4F10-8955-A02E974E5C2F}</vt:lpwstr>
  </property>
</Properties>
</file>