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5B05B8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AC3BCB">
              <w:rPr>
                <w:b/>
              </w:rPr>
              <w:t>42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34BDA99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515552">
              <w:t>-04-10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8AE327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893917">
              <w:t>.</w:t>
            </w:r>
            <w:r w:rsidR="002349AE" w:rsidRPr="00893917">
              <w:t xml:space="preserve"> </w:t>
            </w:r>
            <w:r w:rsidR="00515552" w:rsidRPr="00893917">
              <w:t>10.30-</w:t>
            </w:r>
            <w:r w:rsidR="00893917">
              <w:t>11.01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3EBED51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3A01B4C3" w14:textId="6E807BC5" w:rsidR="00EB0F0E" w:rsidRDefault="00EB0F0E" w:rsidP="0096348C">
      <w:pPr>
        <w:tabs>
          <w:tab w:val="left" w:pos="1701"/>
        </w:tabs>
        <w:rPr>
          <w:snapToGrid w:val="0"/>
          <w:color w:val="000000"/>
        </w:rPr>
      </w:pPr>
    </w:p>
    <w:p w14:paraId="52193A16" w14:textId="77777777" w:rsidR="00EB0F0E" w:rsidRDefault="00EB0F0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40D7141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E3503F">
              <w:rPr>
                <w:b/>
              </w:rPr>
              <w:t>1</w:t>
            </w:r>
          </w:p>
        </w:tc>
        <w:tc>
          <w:tcPr>
            <w:tcW w:w="7655" w:type="dxa"/>
          </w:tcPr>
          <w:p w14:paraId="545DF6A0" w14:textId="0E77F0B3" w:rsidR="00B75C46" w:rsidRDefault="002349AE" w:rsidP="00B75C46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B75C46">
              <w:rPr>
                <w:b/>
              </w:rPr>
              <w:br/>
            </w:r>
            <w:r w:rsidR="00E3503F">
              <w:rPr>
                <w:bCs/>
              </w:rPr>
              <w:t>Utskottet beslutade att bjuda in</w:t>
            </w:r>
            <w:r w:rsidR="00B75C46">
              <w:rPr>
                <w:bCs/>
              </w:rPr>
              <w:t>:</w:t>
            </w:r>
            <w:r w:rsidR="00E3503F">
              <w:rPr>
                <w:bCs/>
              </w:rPr>
              <w:t xml:space="preserve"> </w:t>
            </w:r>
            <w:r w:rsidR="00B75C46">
              <w:rPr>
                <w:bCs/>
              </w:rPr>
              <w:br/>
            </w:r>
          </w:p>
          <w:p w14:paraId="5AF2656A" w14:textId="348A49CE" w:rsidR="00B75C46" w:rsidRDefault="00B75C46" w:rsidP="00B75C46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B75C46">
              <w:rPr>
                <w:bCs/>
              </w:rPr>
              <w:t>S</w:t>
            </w:r>
            <w:r w:rsidR="00E3503F" w:rsidRPr="00B75C46">
              <w:rPr>
                <w:bCs/>
              </w:rPr>
              <w:t>tatssekreterare Johanna Lybeck Lilja till sammanträdet den 29 april för överläggning</w:t>
            </w:r>
            <w:r w:rsidR="00191D88">
              <w:rPr>
                <w:bCs/>
              </w:rPr>
              <w:t>ar</w:t>
            </w:r>
            <w:r w:rsidR="00E3503F" w:rsidRPr="00B75C46">
              <w:rPr>
                <w:bCs/>
              </w:rPr>
              <w:t xml:space="preserve"> om</w:t>
            </w:r>
            <w:r w:rsidRPr="00B75C46">
              <w:rPr>
                <w:bCs/>
              </w:rPr>
              <w:t xml:space="preserve"> f</w:t>
            </w:r>
            <w:r w:rsidR="00E3503F" w:rsidRPr="00B75C46">
              <w:rPr>
                <w:bCs/>
              </w:rPr>
              <w:t>örslag om inrättande av instrumentet säkerhetsaktion för Europa (SAFE) genom förstärkning av europeisk försvarsindustri (i de delar som berör finansdepartementets ansvarsområden)</w:t>
            </w:r>
            <w:r w:rsidRPr="00B75C46">
              <w:rPr>
                <w:bCs/>
              </w:rPr>
              <w:t xml:space="preserve"> och ä</w:t>
            </w:r>
            <w:r w:rsidR="00E3503F" w:rsidRPr="00B75C46">
              <w:rPr>
                <w:bCs/>
              </w:rPr>
              <w:t>ndring i förordningen om InvestEU</w:t>
            </w:r>
          </w:p>
          <w:p w14:paraId="0ED81A8D" w14:textId="162874FE" w:rsidR="00B75C46" w:rsidRDefault="00B75C46" w:rsidP="00B75C46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>Statssekreterare Christian Danielsson, statsrådsberedningen, och statssekreterare Johanna Lybeck Lilja till sammanträdet den 6 maj för information om EU:s kommande långtidsbudget</w:t>
            </w:r>
          </w:p>
          <w:p w14:paraId="5643D34A" w14:textId="77777777" w:rsidR="00B75C46" w:rsidRDefault="00B75C46" w:rsidP="00B75C46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>
              <w:rPr>
                <w:bCs/>
              </w:rPr>
              <w:t xml:space="preserve">Statssekreterare </w:t>
            </w:r>
            <w:r w:rsidRPr="00B75C46">
              <w:rPr>
                <w:bCs/>
              </w:rPr>
              <w:t>Natasa Ristic Davidson, finansdepartementet, till sammanträdet 8 maj för överläggning om förordning om statistik över kommersiella fastigheter.</w:t>
            </w:r>
          </w:p>
          <w:p w14:paraId="561251C6" w14:textId="6DAFDCB0" w:rsidR="00A44FE3" w:rsidRPr="00893917" w:rsidRDefault="00B75C46" w:rsidP="00B75C46">
            <w:pPr>
              <w:pStyle w:val="Liststycke"/>
              <w:numPr>
                <w:ilvl w:val="0"/>
                <w:numId w:val="14"/>
              </w:numPr>
              <w:outlineLvl w:val="0"/>
              <w:rPr>
                <w:b/>
                <w:bCs/>
              </w:rPr>
            </w:pPr>
            <w:r>
              <w:rPr>
                <w:bCs/>
              </w:rPr>
              <w:t>Hans Lindblad</w:t>
            </w:r>
            <w:r w:rsidRPr="00B75C46">
              <w:rPr>
                <w:bCs/>
              </w:rPr>
              <w:t>, ledamot av Europeiska revisionsrätten, till sammanträdet 8 maj för information om två av ECA:s särskilda rapporter inom utskottets beredningsområde</w:t>
            </w:r>
            <w:r>
              <w:rPr>
                <w:bCs/>
              </w:rPr>
              <w:t xml:space="preserve">: </w:t>
            </w:r>
            <w:r w:rsidRPr="00B75C46">
              <w:rPr>
                <w:bCs/>
              </w:rPr>
              <w:t>Halvtidsutvärdering av faciliteten för återhämtning och resiliens</w:t>
            </w:r>
            <w:r>
              <w:rPr>
                <w:bCs/>
              </w:rPr>
              <w:t xml:space="preserve"> och </w:t>
            </w:r>
            <w:r w:rsidR="00191D88">
              <w:rPr>
                <w:bCs/>
              </w:rPr>
              <w:t>G</w:t>
            </w:r>
            <w:r w:rsidRPr="00B75C46">
              <w:rPr>
                <w:bCs/>
              </w:rPr>
              <w:t>ranskning av Europeiska fonden för strategiska investeringar (EFSI</w:t>
            </w:r>
            <w:r w:rsidR="00893917">
              <w:rPr>
                <w:bCs/>
              </w:rPr>
              <w:t>)</w:t>
            </w:r>
            <w:r w:rsidR="00191D88">
              <w:rPr>
                <w:bCs/>
              </w:rPr>
              <w:t>.</w:t>
            </w:r>
          </w:p>
          <w:p w14:paraId="0B7F6D8E" w14:textId="6A113D5A" w:rsidR="00893917" w:rsidRPr="00893917" w:rsidRDefault="00893917" w:rsidP="00893917">
            <w:pPr>
              <w:outlineLvl w:val="0"/>
            </w:pPr>
            <w:r>
              <w:rPr>
                <w:b/>
                <w:bCs/>
              </w:rPr>
              <w:br/>
            </w:r>
            <w:r w:rsidRPr="00893917">
              <w:t xml:space="preserve">Kanslichefen </w:t>
            </w:r>
            <w:r>
              <w:t xml:space="preserve">informerade om ett besök från </w:t>
            </w:r>
            <w:r w:rsidR="00191D88">
              <w:t>Färöarnas</w:t>
            </w:r>
            <w:r>
              <w:t xml:space="preserve"> finansutskott den 14 maj kl. 13.30-14.</w:t>
            </w:r>
            <w:r w:rsidR="00191D88">
              <w:t>15</w:t>
            </w:r>
            <w:r>
              <w:t>. Anmäl intresse av deltagande till kansliet.</w:t>
            </w:r>
          </w:p>
          <w:p w14:paraId="17EE5049" w14:textId="77AA29CB" w:rsidR="00E3503F" w:rsidRPr="00E3503F" w:rsidRDefault="00E3503F" w:rsidP="00E3503F">
            <w:pPr>
              <w:ind w:left="7" w:hanging="7"/>
              <w:outlineLvl w:val="0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7D30B817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F0C14">
              <w:rPr>
                <w:b/>
                <w:snapToGrid w:val="0"/>
              </w:rPr>
              <w:t xml:space="preserve"> 2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7655" w:type="dxa"/>
          </w:tcPr>
          <w:p w14:paraId="14DD40BE" w14:textId="2A76FAE6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515552">
              <w:rPr>
                <w:b/>
              </w:rPr>
              <w:br/>
            </w:r>
            <w:r w:rsidR="00515552">
              <w:rPr>
                <w:bCs/>
              </w:rPr>
              <w:t>Utskottet justerade protokoll nr 2024/25:41.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11352E9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0C1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BBF50B3" w14:textId="45E4D8FD" w:rsidR="00DC5A2B" w:rsidRPr="00AF41B4" w:rsidRDefault="00AF41B4" w:rsidP="000E6D32">
            <w:pPr>
              <w:outlineLvl w:val="0"/>
              <w:rPr>
                <w:bCs/>
              </w:rPr>
            </w:pPr>
            <w:r w:rsidRPr="00AF41B4">
              <w:rPr>
                <w:b/>
              </w:rPr>
              <w:t>Extra ändringsbudget för 2025 – Ytterligare stöd till Ukraina (FiU31)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2024/25:146.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AF41B4" w14:paraId="72FC0837" w14:textId="77777777" w:rsidTr="008035C8">
        <w:tc>
          <w:tcPr>
            <w:tcW w:w="567" w:type="dxa"/>
          </w:tcPr>
          <w:p w14:paraId="1A05A408" w14:textId="2F6618C4" w:rsidR="00AF41B4" w:rsidRDefault="00AF41B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F0C14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657274E9" w14:textId="01B90342" w:rsidR="00AF41B4" w:rsidRPr="00AF41B4" w:rsidRDefault="00AF41B4" w:rsidP="000E6D32">
            <w:pPr>
              <w:outlineLvl w:val="0"/>
              <w:rPr>
                <w:b/>
              </w:rPr>
            </w:pPr>
            <w:r>
              <w:rPr>
                <w:b/>
              </w:rPr>
              <w:t>Verksamheten i Europeiska unionen under 2024 (FiU2y)</w:t>
            </w:r>
            <w:r>
              <w:rPr>
                <w:b/>
              </w:rPr>
              <w:br/>
            </w:r>
            <w:r w:rsidRPr="00AF41B4">
              <w:rPr>
                <w:bCs/>
              </w:rPr>
              <w:t xml:space="preserve">Utskottet fortsatte behandlingen </w:t>
            </w:r>
            <w:r w:rsidR="006D5ED7">
              <w:rPr>
                <w:bCs/>
              </w:rPr>
              <w:t xml:space="preserve">av </w:t>
            </w:r>
            <w:r>
              <w:rPr>
                <w:bCs/>
              </w:rPr>
              <w:t>ett</w:t>
            </w:r>
            <w:r w:rsidRPr="00AF41B4">
              <w:rPr>
                <w:bCs/>
              </w:rPr>
              <w:t xml:space="preserve"> yttrande till utrikesutskottet</w:t>
            </w:r>
            <w:r>
              <w:rPr>
                <w:bCs/>
              </w:rPr>
              <w:t xml:space="preserve"> över skrivelse 2024/25:115 och motion.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490A8B" w14:paraId="33C7ED01" w14:textId="77777777" w:rsidTr="008035C8">
        <w:tc>
          <w:tcPr>
            <w:tcW w:w="567" w:type="dxa"/>
          </w:tcPr>
          <w:p w14:paraId="59B3A8D3" w14:textId="77777777" w:rsidR="004078AA" w:rsidRDefault="004078A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</w:p>
          <w:p w14:paraId="6C39A54C" w14:textId="5C608416" w:rsidR="00490A8B" w:rsidRDefault="004078A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490A8B">
              <w:rPr>
                <w:b/>
                <w:snapToGrid w:val="0"/>
              </w:rPr>
              <w:t>§</w:t>
            </w:r>
            <w:r w:rsidR="007F0C14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1B780223" w14:textId="77777777" w:rsidR="00EB0F0E" w:rsidRDefault="004078AA" w:rsidP="000E6D32">
            <w:pPr>
              <w:outlineLvl w:val="0"/>
              <w:rPr>
                <w:b/>
              </w:rPr>
            </w:pPr>
            <w:r>
              <w:rPr>
                <w:b/>
              </w:rPr>
              <w:lastRenderedPageBreak/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  <w:p w14:paraId="45101043" w14:textId="77777777" w:rsidR="00EB0F0E" w:rsidRDefault="00EB0F0E" w:rsidP="000E6D32">
            <w:pPr>
              <w:outlineLvl w:val="0"/>
              <w:rPr>
                <w:b/>
              </w:rPr>
            </w:pPr>
          </w:p>
          <w:p w14:paraId="7A874DFD" w14:textId="65F6B87A" w:rsidR="00490A8B" w:rsidRDefault="00490A8B" w:rsidP="000E6D32">
            <w:pPr>
              <w:outlineLvl w:val="0"/>
              <w:rPr>
                <w:b/>
              </w:rPr>
            </w:pPr>
            <w:r>
              <w:rPr>
                <w:b/>
              </w:rPr>
              <w:t>Riksbankens verksamhet och förvaltning 2024 (FiU23)</w:t>
            </w:r>
            <w:r>
              <w:rPr>
                <w:bCs/>
              </w:rPr>
              <w:br/>
            </w:r>
            <w:r w:rsidRPr="00490A8B">
              <w:rPr>
                <w:bCs/>
              </w:rPr>
              <w:t>Ut</w:t>
            </w:r>
            <w:r w:rsidR="005E75D2">
              <w:rPr>
                <w:bCs/>
              </w:rPr>
              <w:t>s</w:t>
            </w:r>
            <w:r w:rsidRPr="00490A8B">
              <w:rPr>
                <w:bCs/>
              </w:rPr>
              <w:t>kottet inledde beredningen av framställning 2024/25:RB1 och 2024/25:RB2 och redogörelse</w:t>
            </w:r>
            <w:r>
              <w:rPr>
                <w:bCs/>
              </w:rPr>
              <w:t xml:space="preserve"> 2024/25:RR2.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Ärendet bordlades.</w:t>
            </w:r>
            <w:r>
              <w:rPr>
                <w:bCs/>
              </w:rPr>
              <w:br/>
            </w:r>
          </w:p>
        </w:tc>
      </w:tr>
      <w:tr w:rsidR="005E75D2" w14:paraId="02C9DE1F" w14:textId="77777777" w:rsidTr="008035C8">
        <w:tc>
          <w:tcPr>
            <w:tcW w:w="567" w:type="dxa"/>
          </w:tcPr>
          <w:p w14:paraId="2423DC62" w14:textId="3BBB2926" w:rsidR="005E75D2" w:rsidRDefault="005E75D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3F0EFF">
              <w:rPr>
                <w:b/>
                <w:snapToGrid w:val="0"/>
              </w:rPr>
              <w:t xml:space="preserve"> 6</w:t>
            </w:r>
          </w:p>
        </w:tc>
        <w:tc>
          <w:tcPr>
            <w:tcW w:w="7655" w:type="dxa"/>
          </w:tcPr>
          <w:p w14:paraId="1658FB45" w14:textId="1DAC508F" w:rsidR="005E75D2" w:rsidRDefault="005E75D2" w:rsidP="000E6D32">
            <w:pPr>
              <w:outlineLvl w:val="0"/>
              <w:rPr>
                <w:bCs/>
              </w:rPr>
            </w:pPr>
            <w:r>
              <w:rPr>
                <w:b/>
              </w:rPr>
              <w:t>Riksrevisionens rapport om distansarbete vid statliga myndigheter (FiU28)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skrivelse 2024/25:95.</w:t>
            </w:r>
          </w:p>
          <w:p w14:paraId="5FCF3F2D" w14:textId="77777777" w:rsidR="005E75D2" w:rsidRDefault="005E75D2" w:rsidP="000E6D32">
            <w:pPr>
              <w:outlineLvl w:val="0"/>
              <w:rPr>
                <w:bCs/>
              </w:rPr>
            </w:pPr>
          </w:p>
          <w:p w14:paraId="0ECA5274" w14:textId="5F0BFD21" w:rsidR="005E75D2" w:rsidRPr="005E75D2" w:rsidRDefault="005E75D2" w:rsidP="000E6D32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Cs/>
              </w:rPr>
              <w:br/>
            </w:r>
          </w:p>
        </w:tc>
      </w:tr>
      <w:tr w:rsidR="00511BCC" w14:paraId="21A05559" w14:textId="77777777" w:rsidTr="008035C8">
        <w:tc>
          <w:tcPr>
            <w:tcW w:w="567" w:type="dxa"/>
          </w:tcPr>
          <w:p w14:paraId="3EC11924" w14:textId="5BF78C79" w:rsidR="00511BCC" w:rsidRDefault="00511BC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F0EFF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10EE50D9" w14:textId="5FEAD127" w:rsidR="00511BCC" w:rsidRDefault="00511BCC" w:rsidP="000E6D32">
            <w:pPr>
              <w:outlineLvl w:val="0"/>
              <w:rPr>
                <w:b/>
              </w:rPr>
            </w:pPr>
            <w:r>
              <w:rPr>
                <w:b/>
              </w:rPr>
              <w:t xml:space="preserve">Riksdagens skrivelser till regeringen – åtgärder under 2024 </w:t>
            </w:r>
            <w:r>
              <w:rPr>
                <w:b/>
              </w:rPr>
              <w:br/>
            </w:r>
            <w:r w:rsidR="00A9276D" w:rsidRPr="00A9276D">
              <w:rPr>
                <w:bCs/>
              </w:rPr>
              <w:t xml:space="preserve">Utskottet behandlade frågan om yttrande till konstitutionsutskottet över </w:t>
            </w:r>
            <w:r w:rsidR="00A9276D">
              <w:rPr>
                <w:bCs/>
              </w:rPr>
              <w:t>skrivelse</w:t>
            </w:r>
            <w:r w:rsidR="00A9276D" w:rsidRPr="00A9276D">
              <w:rPr>
                <w:bCs/>
              </w:rPr>
              <w:t xml:space="preserve"> 2024/25:75.</w:t>
            </w:r>
            <w:r w:rsidR="00A9276D" w:rsidRPr="00A9276D">
              <w:rPr>
                <w:bCs/>
              </w:rPr>
              <w:br/>
            </w:r>
            <w:r w:rsidR="00A9276D" w:rsidRPr="00A9276D">
              <w:rPr>
                <w:bCs/>
              </w:rPr>
              <w:br/>
              <w:t>Frågan bordlades.</w:t>
            </w:r>
            <w:r w:rsidR="00A9276D" w:rsidRPr="00A9276D">
              <w:rPr>
                <w:b/>
              </w:rPr>
              <w:br/>
            </w:r>
          </w:p>
        </w:tc>
      </w:tr>
      <w:tr w:rsidR="00043986" w14:paraId="2B9F46A0" w14:textId="77777777" w:rsidTr="008035C8">
        <w:tc>
          <w:tcPr>
            <w:tcW w:w="567" w:type="dxa"/>
          </w:tcPr>
          <w:p w14:paraId="1FB981D3" w14:textId="7BC06F42" w:rsidR="00043986" w:rsidRDefault="0004398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F0EFF">
              <w:rPr>
                <w:b/>
                <w:snapToGrid w:val="0"/>
              </w:rPr>
              <w:t xml:space="preserve"> 8</w:t>
            </w:r>
          </w:p>
        </w:tc>
        <w:tc>
          <w:tcPr>
            <w:tcW w:w="7655" w:type="dxa"/>
          </w:tcPr>
          <w:p w14:paraId="2AB6386C" w14:textId="1F5EABA0" w:rsidR="00043986" w:rsidRPr="00522D24" w:rsidRDefault="00043986" w:rsidP="000E6D32">
            <w:pPr>
              <w:outlineLvl w:val="0"/>
              <w:rPr>
                <w:bCs/>
              </w:rPr>
            </w:pPr>
            <w:r>
              <w:rPr>
                <w:b/>
              </w:rPr>
              <w:t>Förslag till Europaparlamentets och rådets förordning om icke-finansiell statistik över kommersiella fastigheter</w:t>
            </w:r>
            <w:r w:rsidR="00522D24">
              <w:rPr>
                <w:b/>
              </w:rPr>
              <w:br/>
            </w:r>
            <w:r w:rsidR="00522D24">
              <w:rPr>
                <w:bCs/>
              </w:rPr>
              <w:t>Utskottet inledde subsidiaritetsprövningen av COM(2025) 100.</w:t>
            </w:r>
            <w:r w:rsidR="00522D24">
              <w:rPr>
                <w:bCs/>
              </w:rPr>
              <w:br/>
            </w:r>
            <w:r w:rsidR="00522D24">
              <w:rPr>
                <w:bCs/>
              </w:rPr>
              <w:br/>
            </w:r>
            <w:r w:rsidR="00522D24" w:rsidRPr="004078AA">
              <w:rPr>
                <w:bCs/>
              </w:rPr>
              <w:t>Utskottet ansåg att förslaget inte strider mot subsidiaritetsprincipen.</w:t>
            </w:r>
            <w:r w:rsidR="00522D24">
              <w:rPr>
                <w:bCs/>
              </w:rPr>
              <w:br/>
            </w:r>
          </w:p>
        </w:tc>
      </w:tr>
      <w:tr w:rsidR="00614C70" w14:paraId="72ED7E90" w14:textId="77777777" w:rsidTr="008035C8">
        <w:tc>
          <w:tcPr>
            <w:tcW w:w="567" w:type="dxa"/>
          </w:tcPr>
          <w:p w14:paraId="44F6A401" w14:textId="65D66AFD" w:rsidR="00614C70" w:rsidRDefault="00614C70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F0EFF">
              <w:rPr>
                <w:b/>
                <w:snapToGrid w:val="0"/>
              </w:rPr>
              <w:t xml:space="preserve"> 9</w:t>
            </w:r>
          </w:p>
        </w:tc>
        <w:tc>
          <w:tcPr>
            <w:tcW w:w="7655" w:type="dxa"/>
          </w:tcPr>
          <w:p w14:paraId="44FE82D2" w14:textId="2DD81FE8" w:rsidR="00614C70" w:rsidRPr="00614C70" w:rsidRDefault="00614C70" w:rsidP="000E6D32">
            <w:pPr>
              <w:outlineLvl w:val="0"/>
              <w:rPr>
                <w:bCs/>
              </w:rPr>
            </w:pPr>
            <w:r>
              <w:rPr>
                <w:b/>
              </w:rPr>
              <w:t>Inkomna dokument</w:t>
            </w:r>
            <w:r>
              <w:rPr>
                <w:b/>
              </w:rPr>
              <w:br/>
            </w:r>
            <w:r w:rsidR="006F35AF">
              <w:rPr>
                <w:bCs/>
              </w:rPr>
              <w:t>2 i</w:t>
            </w:r>
            <w:r>
              <w:rPr>
                <w:bCs/>
              </w:rPr>
              <w:t>nkomna dokument anmäldes (</w:t>
            </w:r>
            <w:r w:rsidR="006F35AF">
              <w:rPr>
                <w:bCs/>
              </w:rPr>
              <w:t xml:space="preserve">dnr </w:t>
            </w:r>
            <w:r w:rsidR="004078AA">
              <w:rPr>
                <w:bCs/>
              </w:rPr>
              <w:t>1513–2024</w:t>
            </w:r>
            <w:r w:rsidR="006F35AF">
              <w:rPr>
                <w:bCs/>
              </w:rPr>
              <w:t>/25 och 1508-2024/25).</w:t>
            </w:r>
            <w:r w:rsidR="004078AA">
              <w:rPr>
                <w:bCs/>
              </w:rPr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368C3263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078AA">
              <w:rPr>
                <w:b/>
                <w:snapToGrid w:val="0"/>
              </w:rPr>
              <w:t xml:space="preserve"> 10</w:t>
            </w:r>
          </w:p>
        </w:tc>
        <w:tc>
          <w:tcPr>
            <w:tcW w:w="7655" w:type="dxa"/>
          </w:tcPr>
          <w:p w14:paraId="3CE1FBF0" w14:textId="6B27F7E1" w:rsidR="000E6D32" w:rsidRPr="002B3CE9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4078AA">
              <w:rPr>
                <w:b/>
                <w:bCs/>
              </w:rPr>
              <w:br/>
            </w:r>
            <w:r w:rsidR="004078AA">
              <w:t>Utskottets ordförand</w:t>
            </w:r>
            <w:r w:rsidR="00191D88">
              <w:t>e</w:t>
            </w:r>
            <w:r w:rsidR="004078AA">
              <w:t xml:space="preserve"> informerade om</w:t>
            </w:r>
            <w:r w:rsidR="00B5195D">
              <w:t xml:space="preserve"> </w:t>
            </w:r>
            <w:r w:rsidR="004078AA">
              <w:t>utvärdering av Riksrevisionen.</w:t>
            </w:r>
            <w:r w:rsidR="004078AA">
              <w:br/>
            </w:r>
            <w:r w:rsidR="00217763">
              <w:br/>
              <w:t xml:space="preserve">Utskottet beslutade att bjuda in AP-fonderna 1-4 till </w:t>
            </w:r>
            <w:r w:rsidR="00E75A7A">
              <w:t>sammanträdet den 6 maj</w:t>
            </w:r>
            <w:r w:rsidR="0005453F">
              <w:t xml:space="preserve"> med anledning av investeringar i Northvolt</w:t>
            </w:r>
            <w:r w:rsidR="00E75A7A">
              <w:t>.</w:t>
            </w:r>
            <w:r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2FD32C4F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78AA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4528FB3A" w:rsidR="00B33983" w:rsidRPr="00B33983" w:rsidRDefault="006F35AF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Tisdag 22 april kl. 11.00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2EB0D60" w14:textId="78DD7569" w:rsidR="00DC5A2B" w:rsidRDefault="00DB165E" w:rsidP="002C538C">
            <w:pPr>
              <w:outlineLvl w:val="0"/>
            </w:pPr>
            <w:r>
              <w:br/>
            </w: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668F553E" w:rsidR="00C92C53" w:rsidRPr="00BD39D1" w:rsidRDefault="00C92C53" w:rsidP="0047175B">
            <w:pPr>
              <w:outlineLvl w:val="0"/>
            </w:pPr>
            <w:r>
              <w:t>Justera</w:t>
            </w:r>
            <w:r w:rsidR="006751FA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515552">
              <w:t xml:space="preserve">22 april 2025 </w:t>
            </w:r>
            <w:r w:rsidR="000E6D32">
              <w:t>av</w:t>
            </w:r>
            <w:r w:rsidR="00515552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859BCB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F44BFA">
        <w:rPr>
          <w:sz w:val="22"/>
          <w:szCs w:val="22"/>
        </w:rPr>
        <w:t>42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3359B37" w:rsidR="00EF6F88" w:rsidRPr="000E151F" w:rsidRDefault="00F44BFA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0546E9">
              <w:rPr>
                <w:sz w:val="22"/>
                <w:szCs w:val="22"/>
              </w:rPr>
              <w:t>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7E6F462" w:rsidR="00EF6F88" w:rsidRPr="000E151F" w:rsidRDefault="000546E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546E9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0546E9" w:rsidRPr="00A946FF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76C9CE5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0546E9" w:rsidRPr="00A946FF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5CCBDB13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546E9" w:rsidRPr="000E151F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3A05899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546E9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973A041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546E9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3D799B5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546E9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1308227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546E9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CFE045B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546E9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7FA105E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0546E9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7F52C2FB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546E9" w:rsidRPr="000E151F" w:rsidRDefault="000546E9" w:rsidP="000546E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50F1969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0546E9" w:rsidRPr="000E151F" w:rsidRDefault="000546E9" w:rsidP="000546E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F4E9F4B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546E9" w:rsidRPr="000E151F" w:rsidRDefault="000546E9" w:rsidP="000546E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641EB65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546E9" w:rsidRPr="000E151F" w:rsidRDefault="000546E9" w:rsidP="000546E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EA057D1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546E9" w:rsidRPr="000E151F" w:rsidRDefault="000546E9" w:rsidP="000546E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37E92E5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546E9" w:rsidRDefault="000546E9" w:rsidP="000546E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9B562E8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0546E9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546E9" w:rsidRPr="000E151F" w:rsidRDefault="000546E9" w:rsidP="000546E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3B88AE6" w:rsidR="000546E9" w:rsidRPr="000E151F" w:rsidRDefault="000546E9" w:rsidP="000546E9">
            <w:pPr>
              <w:rPr>
                <w:sz w:val="22"/>
                <w:szCs w:val="22"/>
              </w:rPr>
            </w:pPr>
            <w:r w:rsidRPr="00077C7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546E9" w:rsidRPr="000E151F" w:rsidRDefault="000546E9" w:rsidP="000546E9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855B861" w:rsidR="000E2953" w:rsidRPr="000E151F" w:rsidRDefault="000546E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B8F37B4" w:rsidR="000E2953" w:rsidRPr="000E151F" w:rsidRDefault="000546E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2D731693" w:rsidR="000E2953" w:rsidRPr="000E151F" w:rsidRDefault="000546E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4058E5C2" w:rsidR="003A581E" w:rsidRPr="000E151F" w:rsidRDefault="000546E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517D1"/>
    <w:multiLevelType w:val="hybridMultilevel"/>
    <w:tmpl w:val="AB74FAC4"/>
    <w:lvl w:ilvl="0" w:tplc="6368E9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95B08"/>
    <w:multiLevelType w:val="hybridMultilevel"/>
    <w:tmpl w:val="194016C6"/>
    <w:lvl w:ilvl="0" w:tplc="E2208EE8">
      <w:numFmt w:val="bullet"/>
      <w:lvlText w:val="-"/>
      <w:lvlJc w:val="left"/>
      <w:pPr>
        <w:ind w:left="101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4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3986"/>
    <w:rsid w:val="00046C0A"/>
    <w:rsid w:val="00050120"/>
    <w:rsid w:val="000534EB"/>
    <w:rsid w:val="0005453F"/>
    <w:rsid w:val="000546E9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B5EE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1D88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17763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0EFF"/>
    <w:rsid w:val="003F39D9"/>
    <w:rsid w:val="003F7DF6"/>
    <w:rsid w:val="004078AA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0A8B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11BCC"/>
    <w:rsid w:val="00515552"/>
    <w:rsid w:val="00520187"/>
    <w:rsid w:val="005228C9"/>
    <w:rsid w:val="00522D24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E75D2"/>
    <w:rsid w:val="00614C70"/>
    <w:rsid w:val="00617AB2"/>
    <w:rsid w:val="00627839"/>
    <w:rsid w:val="006375F0"/>
    <w:rsid w:val="00643E28"/>
    <w:rsid w:val="006457B3"/>
    <w:rsid w:val="006547E7"/>
    <w:rsid w:val="006572A3"/>
    <w:rsid w:val="00667E9B"/>
    <w:rsid w:val="00674AF0"/>
    <w:rsid w:val="006751FA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D5ED7"/>
    <w:rsid w:val="006E04F7"/>
    <w:rsid w:val="006F35AF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0C14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17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9276D"/>
    <w:rsid w:val="00AA0DFB"/>
    <w:rsid w:val="00AA2873"/>
    <w:rsid w:val="00AB4139"/>
    <w:rsid w:val="00AC283D"/>
    <w:rsid w:val="00AC3BCB"/>
    <w:rsid w:val="00AD0133"/>
    <w:rsid w:val="00AD47F5"/>
    <w:rsid w:val="00AE5BBD"/>
    <w:rsid w:val="00AE7247"/>
    <w:rsid w:val="00AF3CA6"/>
    <w:rsid w:val="00AF41B4"/>
    <w:rsid w:val="00B054F1"/>
    <w:rsid w:val="00B33983"/>
    <w:rsid w:val="00B36495"/>
    <w:rsid w:val="00B44E5B"/>
    <w:rsid w:val="00B5195D"/>
    <w:rsid w:val="00B523F7"/>
    <w:rsid w:val="00B54410"/>
    <w:rsid w:val="00B547D0"/>
    <w:rsid w:val="00B55F04"/>
    <w:rsid w:val="00B75C46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3B28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65E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3503F"/>
    <w:rsid w:val="00E43F8A"/>
    <w:rsid w:val="00E443F3"/>
    <w:rsid w:val="00E4502B"/>
    <w:rsid w:val="00E5492F"/>
    <w:rsid w:val="00E653E8"/>
    <w:rsid w:val="00E67EBA"/>
    <w:rsid w:val="00E75A7A"/>
    <w:rsid w:val="00E833F2"/>
    <w:rsid w:val="00E872C8"/>
    <w:rsid w:val="00E916EA"/>
    <w:rsid w:val="00E950E4"/>
    <w:rsid w:val="00E97AED"/>
    <w:rsid w:val="00EA10A5"/>
    <w:rsid w:val="00EA4AA0"/>
    <w:rsid w:val="00EB0F0E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44BFA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572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25</cp:revision>
  <cp:lastPrinted>2025-04-22T07:33:00Z</cp:lastPrinted>
  <dcterms:created xsi:type="dcterms:W3CDTF">2025-04-07T13:22:00Z</dcterms:created>
  <dcterms:modified xsi:type="dcterms:W3CDTF">2025-04-22T11:06:00Z</dcterms:modified>
</cp:coreProperties>
</file>