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EE1CDA">
        <w:tblPrEx>
          <w:tblCellMar>
            <w:top w:w="0" w:type="dxa"/>
            <w:bottom w:w="0" w:type="dxa"/>
          </w:tblCellMar>
        </w:tblPrEx>
        <w:trPr>
          <w:cantSplit/>
          <w:trHeight w:hRule="exact" w:val="1260"/>
        </w:trPr>
        <w:tc>
          <w:tcPr>
            <w:tcW w:w="6024" w:type="dxa"/>
            <w:gridSpan w:val="2"/>
            <w:vMerge w:val="restart"/>
          </w:tcPr>
          <w:p w:rsidR="000E61E6" w:rsidRPr="00EE1CDA" w:rsidRDefault="000E61E6">
            <w:pPr>
              <w:pStyle w:val="HuvudRubrik"/>
            </w:pPr>
            <w:bookmarkStart w:id="0" w:name="BetänkandeRubrik"/>
            <w:bookmarkEnd w:id="0"/>
            <w:r w:rsidRPr="00EE1CDA">
              <w:t>Lagutskottets betänkande</w:t>
            </w:r>
            <w:r w:rsidR="00EE1CDA" w:rsidRPr="00EE1CDA">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4145300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0E61E6" w:rsidRPr="00EE1CDA" w:rsidRDefault="000E61E6">
                                  <w:pPr>
                                    <w:pStyle w:val="Logo"/>
                                  </w:pPr>
                                  <w:r w:rsidRPr="00EE1CDA">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9824"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0E61E6" w:rsidRPr="00EE1CDA" w:rsidRDefault="000E61E6">
                            <w:pPr>
                              <w:pStyle w:val="Logo"/>
                            </w:pPr>
                            <w:r w:rsidRPr="00EE1CDA">
                              <w:object w:dxaOrig="840" w:dyaOrig="1545">
                                <v:shape id="_x0000_i1025" type="#_x0000_t75" style="width:90.45pt;height:77.15pt" fillcolor="window">
                                  <v:imagedata r:id="rId7" o:title="" cropright="-75835f"/>
                                </v:shape>
                                <o:OLEObject Type="Embed" ProgID="Word.Picture.8" ShapeID="_x0000_i1025" DrawAspect="Content" ObjectID="_1827349824" r:id="rId9"/>
                              </w:object>
                            </w:r>
                          </w:p>
                        </w:txbxContent>
                      </v:textbox>
                      <w10:wrap anchorx="page" anchory="page"/>
                    </v:shape>
                  </w:pict>
                </mc:Fallback>
              </mc:AlternateContent>
            </w:r>
          </w:p>
          <w:p w:rsidR="000E61E6" w:rsidRPr="00EE1CDA" w:rsidRDefault="000E61E6">
            <w:pPr>
              <w:pStyle w:val="HuvudRubrikRad2"/>
            </w:pPr>
            <w:bookmarkStart w:id="17" w:name="BetänkandeNr"/>
            <w:bookmarkEnd w:id="17"/>
            <w:r w:rsidRPr="00EE1CDA">
              <w:t>2000/01:LU23</w:t>
            </w:r>
          </w:p>
          <w:p w:rsidR="000E61E6" w:rsidRPr="00EE1CDA" w:rsidRDefault="000E61E6">
            <w:pPr>
              <w:pStyle w:val="BetnkandeRubrik"/>
            </w:pPr>
            <w:bookmarkStart w:id="18" w:name="Huvudrubrik"/>
            <w:bookmarkEnd w:id="18"/>
            <w:r w:rsidRPr="00EE1CDA">
              <w:t>Revisors yttrande om apportegendom m.m.</w:t>
            </w:r>
          </w:p>
        </w:tc>
        <w:tc>
          <w:tcPr>
            <w:tcW w:w="1559" w:type="dxa"/>
            <w:tcBorders>
              <w:bottom w:val="nil"/>
            </w:tcBorders>
          </w:tcPr>
          <w:p w:rsidR="000E61E6" w:rsidRPr="00EE1CDA" w:rsidRDefault="000E61E6">
            <w:pPr>
              <w:spacing w:before="0" w:line="230" w:lineRule="auto"/>
              <w:rPr>
                <w:sz w:val="24"/>
              </w:rPr>
            </w:pPr>
          </w:p>
        </w:tc>
      </w:tr>
      <w:tr w:rsidR="00000000" w:rsidRPr="00EE1CDA">
        <w:tblPrEx>
          <w:tblCellMar>
            <w:top w:w="0" w:type="dxa"/>
            <w:bottom w:w="0" w:type="dxa"/>
          </w:tblCellMar>
        </w:tblPrEx>
        <w:trPr>
          <w:cantSplit/>
          <w:trHeight w:hRule="exact" w:val="240"/>
        </w:trPr>
        <w:tc>
          <w:tcPr>
            <w:tcW w:w="6024" w:type="dxa"/>
            <w:gridSpan w:val="2"/>
            <w:vMerge/>
            <w:tcBorders>
              <w:top w:val="nil"/>
              <w:bottom w:val="nil"/>
            </w:tcBorders>
          </w:tcPr>
          <w:p w:rsidR="000E61E6" w:rsidRPr="00EE1CDA" w:rsidRDefault="000E61E6">
            <w:pPr>
              <w:spacing w:before="40" w:after="900" w:line="280" w:lineRule="exact"/>
              <w:jc w:val="left"/>
              <w:rPr>
                <w:sz w:val="28"/>
              </w:rPr>
            </w:pPr>
          </w:p>
        </w:tc>
        <w:tc>
          <w:tcPr>
            <w:tcW w:w="1559" w:type="dxa"/>
          </w:tcPr>
          <w:p w:rsidR="000E61E6" w:rsidRPr="00EE1CDA" w:rsidRDefault="000E61E6">
            <w:pPr>
              <w:pStyle w:val="rtal"/>
            </w:pPr>
            <w:r w:rsidRPr="00EE1CDA">
              <w:t>2000/01</w:t>
            </w:r>
          </w:p>
        </w:tc>
      </w:tr>
      <w:tr w:rsidR="00000000" w:rsidRPr="00EE1CDA">
        <w:tblPrEx>
          <w:tblCellMar>
            <w:top w:w="0" w:type="dxa"/>
            <w:bottom w:w="0" w:type="dxa"/>
          </w:tblCellMar>
        </w:tblPrEx>
        <w:trPr>
          <w:cantSplit/>
          <w:trHeight w:val="560"/>
        </w:trPr>
        <w:tc>
          <w:tcPr>
            <w:tcW w:w="6024" w:type="dxa"/>
            <w:gridSpan w:val="2"/>
            <w:vMerge/>
            <w:tcBorders>
              <w:top w:val="nil"/>
              <w:bottom w:val="single" w:sz="6" w:space="0" w:color="auto"/>
            </w:tcBorders>
          </w:tcPr>
          <w:p w:rsidR="000E61E6" w:rsidRPr="00EE1CDA" w:rsidRDefault="000E61E6">
            <w:pPr>
              <w:spacing w:before="40" w:after="900" w:line="280" w:lineRule="exact"/>
              <w:jc w:val="left"/>
              <w:rPr>
                <w:sz w:val="28"/>
              </w:rPr>
            </w:pPr>
          </w:p>
        </w:tc>
        <w:tc>
          <w:tcPr>
            <w:tcW w:w="1559" w:type="dxa"/>
            <w:tcBorders>
              <w:bottom w:val="single" w:sz="6" w:space="0" w:color="auto"/>
            </w:tcBorders>
          </w:tcPr>
          <w:p w:rsidR="000E61E6" w:rsidRPr="00EE1CDA" w:rsidRDefault="000E61E6">
            <w:pPr>
              <w:pStyle w:val="rtal"/>
            </w:pPr>
            <w:r w:rsidRPr="00EE1CDA">
              <w:t>LU23</w:t>
            </w:r>
          </w:p>
        </w:tc>
      </w:tr>
      <w:tr w:rsidR="00000000" w:rsidRPr="00EE1CDA">
        <w:tblPrEx>
          <w:tblCellMar>
            <w:top w:w="0" w:type="dxa"/>
            <w:bottom w:w="0" w:type="dxa"/>
          </w:tblCellMar>
        </w:tblPrEx>
        <w:trPr>
          <w:cantSplit/>
          <w:trHeight w:hRule="exact" w:val="660"/>
        </w:trPr>
        <w:tc>
          <w:tcPr>
            <w:tcW w:w="3012" w:type="dxa"/>
          </w:tcPr>
          <w:p w:rsidR="000E61E6" w:rsidRPr="00EE1CDA" w:rsidRDefault="000E61E6">
            <w:pPr>
              <w:pStyle w:val="StatusSida1"/>
            </w:pPr>
          </w:p>
        </w:tc>
        <w:tc>
          <w:tcPr>
            <w:tcW w:w="3012" w:type="dxa"/>
          </w:tcPr>
          <w:p w:rsidR="000E61E6" w:rsidRPr="00EE1CDA" w:rsidRDefault="000E61E6">
            <w:pPr>
              <w:pStyle w:val="UtskriftsdatumSida1"/>
              <w:rPr>
                <w:b/>
                <w:sz w:val="28"/>
              </w:rPr>
            </w:pPr>
          </w:p>
        </w:tc>
        <w:tc>
          <w:tcPr>
            <w:tcW w:w="1559" w:type="dxa"/>
          </w:tcPr>
          <w:p w:rsidR="000E61E6" w:rsidRPr="00EE1CDA" w:rsidRDefault="000E61E6"/>
        </w:tc>
      </w:tr>
    </w:tbl>
    <w:p w:rsidR="000E61E6" w:rsidRPr="00EE1CDA" w:rsidRDefault="000E61E6">
      <w:pPr>
        <w:pStyle w:val="Rubrik1"/>
      </w:pPr>
      <w:bookmarkStart w:id="19" w:name="Textstart"/>
      <w:bookmarkStart w:id="20" w:name="_Toc512390044"/>
      <w:bookmarkEnd w:id="19"/>
      <w:r w:rsidRPr="00EE1CDA">
        <w:t>Propositionen</w:t>
      </w:r>
      <w:bookmarkEnd w:id="20"/>
    </w:p>
    <w:p w:rsidR="000E61E6" w:rsidRPr="00EE1CDA" w:rsidRDefault="000E61E6">
      <w:r w:rsidRPr="00EE1CDA">
        <w:t>I proposition 2000/01:87 Revisors yttrande om apportegendom m.m. föreslår regeringen (Justitiedepartementet) – efter hörande av Lagrådet – att riksd</w:t>
      </w:r>
      <w:r w:rsidRPr="00EE1CDA">
        <w:t>a</w:t>
      </w:r>
      <w:r w:rsidRPr="00EE1CDA">
        <w:t xml:space="preserve">gen antar de i propositionen framlagda förslagen till </w:t>
      </w:r>
    </w:p>
    <w:p w:rsidR="000E61E6" w:rsidRPr="00EE1CDA" w:rsidRDefault="000E61E6">
      <w:pPr>
        <w:pStyle w:val="Normaltindrag"/>
        <w:ind w:left="170" w:firstLine="0"/>
      </w:pPr>
      <w:r w:rsidRPr="00EE1CDA">
        <w:t>1. lag om ändring i aktiebolagslagen (1975:1385),</w:t>
      </w:r>
    </w:p>
    <w:p w:rsidR="000E61E6" w:rsidRPr="00EE1CDA" w:rsidRDefault="000E61E6">
      <w:pPr>
        <w:pStyle w:val="Normaltindrag"/>
        <w:ind w:left="170" w:firstLine="0"/>
      </w:pPr>
      <w:r w:rsidRPr="00EE1CDA">
        <w:t xml:space="preserve">2. lag om ändring i försäkringsrörelselagen (1982:713).   </w:t>
      </w:r>
    </w:p>
    <w:p w:rsidR="000E61E6" w:rsidRPr="00EE1CDA" w:rsidRDefault="000E61E6">
      <w:pPr>
        <w:pStyle w:val="Normaltindrag"/>
        <w:ind w:left="170" w:firstLine="0"/>
      </w:pPr>
      <w:r w:rsidRPr="00EE1CDA">
        <w:t xml:space="preserve">Lagförslagen har intagits som bilaga till betänkandet. </w:t>
      </w:r>
    </w:p>
    <w:p w:rsidR="000E61E6" w:rsidRPr="00EE1CDA" w:rsidRDefault="000E61E6">
      <w:pPr>
        <w:pStyle w:val="Rubrik1"/>
      </w:pPr>
      <w:bookmarkStart w:id="21" w:name="_Toc512390046"/>
      <w:r w:rsidRPr="00EE1CDA">
        <w:t>Utskottet</w:t>
      </w:r>
      <w:bookmarkEnd w:id="21"/>
    </w:p>
    <w:p w:rsidR="000E61E6" w:rsidRPr="00EE1CDA" w:rsidRDefault="000E61E6">
      <w:r w:rsidRPr="00EE1CDA">
        <w:t>När ett aktiebolag skall genomföra en s.k. apportemission, dvs. en nyemi</w:t>
      </w:r>
      <w:r w:rsidRPr="00EE1CDA">
        <w:t>s</w:t>
      </w:r>
      <w:r w:rsidRPr="00EE1CDA">
        <w:t xml:space="preserve">sion med rätt att teckna aktier mot tillskott av annan egendom än pengar (apportegendom), skall bolagets styrelse, enligt 4 kap. 6 § aktiebolagslagen (1975:1385), lämna en redogörelse för de omständigheter som kan vara av vikt vid bedömandet av värdet på apportegendomen. Redogörelsen skall bl.a. innehålla en uppgift om det värde till vilket apportegendomen beräknas tas upp i balansräkningen samt det antal aktier som skall lämnas för egendomen. Bolagets </w:t>
      </w:r>
      <w:r w:rsidRPr="00EE1CDA">
        <w:rPr>
          <w:i/>
        </w:rPr>
        <w:t>egna</w:t>
      </w:r>
      <w:r w:rsidRPr="00EE1CDA">
        <w:t xml:space="preserve"> revisorer skall granska och yttra sig över redogö</w:t>
      </w:r>
      <w:r w:rsidRPr="00EE1CDA">
        <w:t>relsen. Av yttrandet skall framgå att apportegendomen inte har åsatts ett högre värde än det verkliga värdet för bolaget och att egendomen är eller kan antas bli till nytta för bolagets verksamhet. Styrelsens redogörelse och revisorernas yt</w:t>
      </w:r>
      <w:r w:rsidRPr="00EE1CDA">
        <w:t>t</w:t>
      </w:r>
      <w:r w:rsidRPr="00EE1CDA">
        <w:t>rande skall hållas tillgängliga för aktieägarna inför bolagsstämmans beslut om nyemi</w:t>
      </w:r>
      <w:r w:rsidRPr="00EE1CDA">
        <w:t>s</w:t>
      </w:r>
      <w:r w:rsidRPr="00EE1CDA">
        <w:t xml:space="preserve">sion. </w:t>
      </w:r>
    </w:p>
    <w:p w:rsidR="000E61E6" w:rsidRPr="00EE1CDA" w:rsidRDefault="000E61E6">
      <w:pPr>
        <w:pStyle w:val="Normaltindrag"/>
      </w:pPr>
      <w:r w:rsidRPr="00EE1CDA">
        <w:t>Även vid en fusion, dvs. en sammanslagning av två eller flera aktiebolag, finns regler om revisorsyttrande. Styrelsernas fusionsplan skall enligt 14 kap. 7 § aktiebolagslagen gran</w:t>
      </w:r>
      <w:r w:rsidRPr="00EE1CDA">
        <w:t>skas av revisorerna i det överlåtande bolaget och, i vissa fall, det övertagande bolaget. Revisorerna skall för varje bolag lämna ett skriftligt yttrande över sin granskning, varav skall framgå huruvida f</w:t>
      </w:r>
      <w:r w:rsidRPr="00EE1CDA">
        <w:t>u</w:t>
      </w:r>
      <w:r w:rsidRPr="00EE1CDA">
        <w:t xml:space="preserve">sionsvederlaget och grunderna för dess fördelning har bestämts på ett sakligt och korrekt sätt. </w:t>
      </w:r>
    </w:p>
    <w:p w:rsidR="000E61E6" w:rsidRPr="00EE1CDA" w:rsidRDefault="000E61E6">
      <w:pPr>
        <w:pStyle w:val="Normaltindrag"/>
      </w:pPr>
      <w:r w:rsidRPr="00EE1CDA">
        <w:t>För försäkringsaktiebolag finns motsvarande bestämmelser i försäkringsr</w:t>
      </w:r>
      <w:r w:rsidRPr="00EE1CDA">
        <w:t>ö</w:t>
      </w:r>
      <w:r w:rsidRPr="00EE1CDA">
        <w:t>relselagen (1982:713).</w:t>
      </w:r>
    </w:p>
    <w:p w:rsidR="000E61E6" w:rsidRPr="00EE1CDA" w:rsidRDefault="000E61E6">
      <w:r w:rsidRPr="00EE1CDA">
        <w:t xml:space="preserve">I propositionen anför regeringen att kravet på att granskningen skall utföras av bolagets egna revisorer har medfört problem för svenska aktiebolag som </w:t>
      </w:r>
      <w:r w:rsidRPr="00EE1CDA">
        <w:lastRenderedPageBreak/>
        <w:t>är noterade på börs i USA. Från amerikanskt håll</w:t>
      </w:r>
      <w:r w:rsidRPr="00EE1CDA">
        <w:t xml:space="preserve"> </w:t>
      </w:r>
      <w:r w:rsidRPr="00EE1CDA">
        <w:t>anses nämligen att bolagets revisorer förlorar sin oberoende ställning efter sådana granskningar och således inte kan utföra den revision som ligger till grund för den årliga rev</w:t>
      </w:r>
      <w:r w:rsidRPr="00EE1CDA">
        <w:t>i</w:t>
      </w:r>
      <w:r w:rsidRPr="00EE1CDA">
        <w:t>sionsberättelsen. Bolaget måste därför anlita utomstående revisorer för rev</w:t>
      </w:r>
      <w:r w:rsidRPr="00EE1CDA">
        <w:t>i</w:t>
      </w:r>
      <w:r w:rsidRPr="00EE1CDA">
        <w:t>sionen, vilket leder till extra kos</w:t>
      </w:r>
      <w:r w:rsidRPr="00EE1CDA">
        <w:t>t</w:t>
      </w:r>
      <w:r w:rsidRPr="00EE1CDA">
        <w:t xml:space="preserve">nader. </w:t>
      </w:r>
    </w:p>
    <w:p w:rsidR="000E61E6" w:rsidRPr="00EE1CDA" w:rsidRDefault="000E61E6">
      <w:pPr>
        <w:pStyle w:val="Normaltindrag"/>
      </w:pPr>
      <w:r w:rsidRPr="00EE1CDA">
        <w:t>För att komma till rätta med detta problem föreslås i propositionen än</w:t>
      </w:r>
      <w:r w:rsidRPr="00EE1CDA">
        <w:t>d</w:t>
      </w:r>
      <w:r w:rsidRPr="00EE1CDA">
        <w:t>ringar i aktiebolagslagen (1975:1385) och försäkringsrörelselagen (1982:713). Lagförslagen innebär att det blir möjligt att anlita även andra auktoriserade eller godkända revisorer än bolagets egna för granskningar av styrelsens redogörelse i samband med en apportemission och av fusionspl</w:t>
      </w:r>
      <w:r w:rsidRPr="00EE1CDA">
        <w:t>a</w:t>
      </w:r>
      <w:r w:rsidRPr="00EE1CDA">
        <w:t xml:space="preserve">ner. En sådan revisor skall, enligt lagförslagen, utses av bolagsstämman om annat inte framgår av bolagsordningen. </w:t>
      </w:r>
    </w:p>
    <w:p w:rsidR="000E61E6" w:rsidRPr="00EE1CDA" w:rsidRDefault="000E61E6">
      <w:pPr>
        <w:pStyle w:val="Normaltindrag"/>
      </w:pPr>
      <w:r w:rsidRPr="00EE1CDA">
        <w:t xml:space="preserve">De nya reglerna föreslås träda i kraft den 1 juli 2001. </w:t>
      </w:r>
    </w:p>
    <w:p w:rsidR="000E61E6" w:rsidRPr="00EE1CDA" w:rsidRDefault="000E61E6">
      <w:pPr>
        <w:pStyle w:val="Normaltindrag"/>
      </w:pPr>
      <w:r w:rsidRPr="00EE1CDA">
        <w:t>De i propositionen framlagda lagförslagen grundar sig på den inom Just</w:t>
      </w:r>
      <w:r w:rsidRPr="00EE1CDA">
        <w:t>i</w:t>
      </w:r>
      <w:r w:rsidRPr="00EE1CDA">
        <w:t>tiedepartementet upprättade promemorian Revisors yttrande om apportege</w:t>
      </w:r>
      <w:r w:rsidRPr="00EE1CDA">
        <w:t>n</w:t>
      </w:r>
      <w:r w:rsidRPr="00EE1CDA">
        <w:t xml:space="preserve">dom m.m. Promemorian har remissbehandlats. </w:t>
      </w:r>
    </w:p>
    <w:p w:rsidR="000E61E6" w:rsidRPr="00EE1CDA" w:rsidRDefault="000E61E6">
      <w:r w:rsidRPr="00EE1CDA">
        <w:t>Propositionen har inte föranlett något motionsyrkande, och utskottet tillsty</w:t>
      </w:r>
      <w:r w:rsidRPr="00EE1CDA">
        <w:t>r</w:t>
      </w:r>
      <w:r w:rsidRPr="00EE1CDA">
        <w:t xml:space="preserve">ker de föreslagna lagändringarna. </w:t>
      </w:r>
    </w:p>
    <w:p w:rsidR="000E61E6" w:rsidRPr="00EE1CDA" w:rsidRDefault="000E61E6">
      <w:pPr>
        <w:pStyle w:val="Rubrik2"/>
      </w:pPr>
      <w:bookmarkStart w:id="22" w:name="_Toc512390047"/>
      <w:r w:rsidRPr="00EE1CDA">
        <w:t>Hemställan</w:t>
      </w:r>
      <w:bookmarkEnd w:id="22"/>
    </w:p>
    <w:p w:rsidR="000E61E6" w:rsidRPr="00EE1CDA" w:rsidRDefault="000E61E6">
      <w:r w:rsidRPr="00EE1CDA">
        <w:t>Utskottet hemställer</w:t>
      </w:r>
    </w:p>
    <w:p w:rsidR="000E61E6" w:rsidRPr="00EE1CDA" w:rsidRDefault="000E61E6">
      <w:pPr>
        <w:pStyle w:val="hembetr"/>
      </w:pPr>
      <w:r w:rsidRPr="00EE1CDA">
        <w:t xml:space="preserve">beträffande </w:t>
      </w:r>
      <w:r w:rsidRPr="00EE1CDA">
        <w:rPr>
          <w:i/>
        </w:rPr>
        <w:t>lagförslagen</w:t>
      </w:r>
    </w:p>
    <w:p w:rsidR="000E61E6" w:rsidRPr="00EE1CDA" w:rsidRDefault="000E61E6">
      <w:pPr>
        <w:pStyle w:val="hemtext"/>
      </w:pPr>
      <w:r w:rsidRPr="00EE1CDA">
        <w:t xml:space="preserve">att riksdagen antar regeringens förslag till </w:t>
      </w:r>
    </w:p>
    <w:p w:rsidR="000E61E6" w:rsidRPr="00EE1CDA" w:rsidRDefault="000E61E6">
      <w:pPr>
        <w:pStyle w:val="hemtext"/>
      </w:pPr>
      <w:r w:rsidRPr="00EE1CDA">
        <w:rPr>
          <w:i/>
        </w:rPr>
        <w:t>dels</w:t>
      </w:r>
      <w:r w:rsidRPr="00EE1CDA">
        <w:t xml:space="preserve"> lag om ändring i aktiebolagslagen (1975:1385),</w:t>
      </w:r>
    </w:p>
    <w:p w:rsidR="000E61E6" w:rsidRPr="00EE1CDA" w:rsidRDefault="000E61E6">
      <w:pPr>
        <w:pStyle w:val="hemtext"/>
      </w:pPr>
      <w:r w:rsidRPr="00EE1CDA">
        <w:rPr>
          <w:i/>
        </w:rPr>
        <w:t>dels</w:t>
      </w:r>
      <w:r w:rsidRPr="00EE1CDA">
        <w:t xml:space="preserve"> lag om ändring i försäkringsrörelselagen (1982:713).      </w:t>
      </w:r>
      <w:bookmarkStart w:id="23" w:name="RESPARTI001"/>
      <w:bookmarkEnd w:id="23"/>
    </w:p>
    <w:p w:rsidR="000E61E6" w:rsidRPr="00EE1CDA" w:rsidRDefault="000E61E6">
      <w:pPr>
        <w:pStyle w:val="Stockholm"/>
      </w:pPr>
      <w:bookmarkStart w:id="24" w:name="Nästa_Hpunkt"/>
      <w:bookmarkEnd w:id="24"/>
      <w:r w:rsidRPr="00EE1CDA">
        <w:t xml:space="preserve">Stockholm den 8 maj 2001 </w:t>
      </w:r>
    </w:p>
    <w:p w:rsidR="000E61E6" w:rsidRPr="00EE1CDA" w:rsidRDefault="000E61E6">
      <w:pPr>
        <w:pStyle w:val="Vgnar"/>
      </w:pPr>
      <w:r w:rsidRPr="00EE1CDA">
        <w:t>På lagutskottets vägnar</w:t>
      </w:r>
    </w:p>
    <w:p w:rsidR="000E61E6" w:rsidRPr="00EE1CDA" w:rsidRDefault="000E61E6">
      <w:pPr>
        <w:pStyle w:val="Ordfnamn"/>
      </w:pPr>
      <w:bookmarkStart w:id="25" w:name="Ordförande"/>
      <w:bookmarkEnd w:id="25"/>
      <w:r w:rsidRPr="00EE1CDA">
        <w:t xml:space="preserve">Tanja Linderborg </w:t>
      </w:r>
    </w:p>
    <w:p w:rsidR="000E61E6" w:rsidRPr="00EE1CDA" w:rsidRDefault="000E61E6"/>
    <w:p w:rsidR="000E61E6" w:rsidRPr="00EE1CDA" w:rsidRDefault="000E61E6">
      <w:pPr>
        <w:pStyle w:val="Deltagare"/>
        <w:spacing w:before="123"/>
      </w:pPr>
      <w:bookmarkStart w:id="26" w:name="Deltagare"/>
      <w:bookmarkEnd w:id="26"/>
      <w:r w:rsidRPr="00EE1CDA">
        <w:t>I beslutet har deltagit: Tanja Linderborg (v), Rolf Åbjörnsson (kd), Rune Berglund (s), Henrik S Järrel (m), Nikos Papadopoulos (s), Elizabeth N</w:t>
      </w:r>
      <w:r w:rsidRPr="00EE1CDA">
        <w:t>y</w:t>
      </w:r>
      <w:r w:rsidRPr="00EE1CDA">
        <w:t>ström (m), Marina Pettersson (s), Christina Nenes (s), Tasso Stafilidis (v), Kjell Eldensjö (kd), Berit Adolfsson (m), Anders Berglöv (s), Viviann Ge</w:t>
      </w:r>
      <w:r w:rsidRPr="00EE1CDA">
        <w:t>r</w:t>
      </w:r>
      <w:r w:rsidRPr="00EE1CDA">
        <w:t>din (c), Ana Maria Narti (fp), Raimo Pärssinen (s), Lars Lilja (s) och Tomas Högström (m).</w:t>
      </w:r>
    </w:p>
    <w:p w:rsidR="000E61E6" w:rsidRPr="00EE1CDA" w:rsidRDefault="000E61E6">
      <w:pPr>
        <w:pStyle w:val="Normaltindrag"/>
      </w:pPr>
    </w:p>
    <w:p w:rsidR="000E61E6" w:rsidRPr="00EE1CDA" w:rsidRDefault="000E61E6">
      <w:bookmarkStart w:id="27" w:name="Nästa_Reservation"/>
      <w:bookmarkEnd w:id="27"/>
    </w:p>
    <w:p w:rsidR="000E61E6" w:rsidRPr="00EE1CDA" w:rsidRDefault="000E61E6">
      <w:pPr>
        <w:pStyle w:val="Normaltindrag"/>
        <w:sectPr w:rsidR="00000000" w:rsidRPr="00EE1CDA">
          <w:headerReference w:type="default" r:id="rId10"/>
          <w:footerReference w:type="default" r:id="rId11"/>
          <w:pgSz w:w="11906" w:h="16838" w:code="9"/>
          <w:pgMar w:top="567" w:right="4876" w:bottom="4508" w:left="1134" w:header="227" w:footer="227" w:gutter="0"/>
          <w:cols w:space="720"/>
        </w:sectPr>
      </w:pPr>
    </w:p>
    <w:p w:rsidR="000E61E6" w:rsidRPr="00EE1CDA" w:rsidRDefault="000E61E6">
      <w:pPr>
        <w:pStyle w:val="Rubrik1"/>
        <w:spacing w:before="123"/>
      </w:pPr>
      <w:r w:rsidRPr="00EE1CDA">
        <w:t>Propositionens lagförslag</w:t>
      </w:r>
    </w:p>
    <w:p w:rsidR="000E61E6" w:rsidRPr="00EE1CDA" w:rsidRDefault="000E61E6">
      <w:pPr>
        <w:pStyle w:val="Rubrik2"/>
      </w:pPr>
      <w:r w:rsidRPr="00EE1CDA">
        <w:t>1 Förslag till lag om ändring i aktiebolagslagen (1975:1385)</w:t>
      </w:r>
    </w:p>
    <w:p w:rsidR="000E61E6" w:rsidRPr="00EE1CDA" w:rsidRDefault="000E61E6">
      <w:pPr>
        <w:pStyle w:val="Rubrik2"/>
      </w:pPr>
      <w:r w:rsidRPr="00EE1CDA">
        <w:br w:type="page"/>
      </w:r>
      <w:r w:rsidRPr="00EE1CDA">
        <w:br w:type="page"/>
      </w:r>
      <w:r w:rsidRPr="00EE1CDA">
        <w:br w:type="page"/>
      </w:r>
      <w:r w:rsidRPr="00EE1CDA">
        <w:br w:type="page"/>
        <w:t>2 Förslag till lag om ändring i försäkringsrörelselagen (1982:713)</w:t>
      </w:r>
    </w:p>
    <w:p w:rsidR="000E61E6" w:rsidRPr="00EE1CDA" w:rsidRDefault="000E61E6">
      <w:pPr>
        <w:pStyle w:val="Rubrik2"/>
      </w:pPr>
      <w:r w:rsidRPr="00EE1CDA">
        <w:br w:type="page"/>
      </w:r>
      <w:r w:rsidRPr="00EE1CDA">
        <w:br w:type="page"/>
      </w:r>
      <w:r w:rsidRPr="00EE1CDA">
        <w:br w:type="page"/>
      </w:r>
    </w:p>
    <w:p w:rsidR="000E61E6" w:rsidRPr="00EE1CDA" w:rsidRDefault="000E61E6">
      <w:pPr>
        <w:pStyle w:val="Rubrik2"/>
      </w:pPr>
    </w:p>
    <w:p w:rsidR="000E61E6" w:rsidRPr="00EE1CDA" w:rsidRDefault="000E61E6">
      <w:pPr>
        <w:pStyle w:val="Tryckort"/>
        <w:framePr w:wrap="around"/>
      </w:pPr>
      <w:r w:rsidRPr="00EE1CDA">
        <w:t>Elanders Gotab, Stockholm  2001</w:t>
      </w:r>
    </w:p>
    <w:p w:rsidR="000E61E6" w:rsidRPr="00EE1CDA" w:rsidRDefault="000E61E6">
      <w:pPr>
        <w:pStyle w:val="Normaltindrag"/>
      </w:pPr>
    </w:p>
    <w:sectPr w:rsidR="000E61E6" w:rsidRPr="00EE1CDA">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61E6" w:rsidRPr="00EE1CDA" w:rsidRDefault="000E61E6">
      <w:pPr>
        <w:spacing w:before="0" w:line="240" w:lineRule="auto"/>
      </w:pPr>
      <w:r w:rsidRPr="00EE1CDA">
        <w:separator/>
      </w:r>
    </w:p>
  </w:endnote>
  <w:endnote w:type="continuationSeparator" w:id="0">
    <w:p w:rsidR="000E61E6" w:rsidRPr="00EE1CDA" w:rsidRDefault="000E61E6">
      <w:pPr>
        <w:spacing w:before="0" w:line="240" w:lineRule="auto"/>
      </w:pPr>
      <w:r w:rsidRPr="00EE1C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1E6" w:rsidRPr="00EE1CDA" w:rsidRDefault="000E61E6">
    <w:pPr>
      <w:pStyle w:val="SidfotH"/>
      <w:framePr w:wrap="around"/>
    </w:pPr>
    <w:r w:rsidRPr="00EE1CDA">
      <w:fldChar w:fldCharType="begin" w:fldLock="1"/>
    </w:r>
    <w:r w:rsidRPr="00EE1CDA">
      <w:instrText xml:space="preserve"> P</w:instrText>
    </w:r>
    <w:r w:rsidRPr="00EE1CDA">
      <w:instrText>A</w:instrText>
    </w:r>
    <w:r w:rsidRPr="00EE1CDA">
      <w:instrText xml:space="preserve">GE </w:instrText>
    </w:r>
    <w:r w:rsidRPr="00EE1CDA">
      <w:fldChar w:fldCharType="separate"/>
    </w:r>
    <w:r w:rsidRPr="00EE1CDA">
      <w:t>1</w:t>
    </w:r>
    <w:r w:rsidRPr="00EE1CDA">
      <w:fldChar w:fldCharType="end"/>
    </w:r>
  </w:p>
  <w:p w:rsidR="000E61E6" w:rsidRPr="00EE1CDA" w:rsidRDefault="000E61E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1E6" w:rsidRPr="00EE1CDA" w:rsidRDefault="000E61E6">
    <w:pPr>
      <w:pStyle w:val="SidfotH"/>
      <w:framePr w:wrap="around"/>
    </w:pPr>
    <w:r w:rsidRPr="00EE1CDA">
      <w:fldChar w:fldCharType="begin" w:fldLock="1"/>
    </w:r>
    <w:r w:rsidRPr="00EE1CDA">
      <w:instrText xml:space="preserve"> P</w:instrText>
    </w:r>
    <w:r w:rsidRPr="00EE1CDA">
      <w:instrText>A</w:instrText>
    </w:r>
    <w:r w:rsidRPr="00EE1CDA">
      <w:instrText xml:space="preserve">GE </w:instrText>
    </w:r>
    <w:r w:rsidRPr="00EE1CDA">
      <w:fldChar w:fldCharType="separate"/>
    </w:r>
    <w:r w:rsidRPr="00EE1CDA">
      <w:t>3</w:t>
    </w:r>
    <w:r w:rsidRPr="00EE1CDA">
      <w:fldChar w:fldCharType="end"/>
    </w:r>
  </w:p>
  <w:p w:rsidR="000E61E6" w:rsidRPr="00EE1CDA" w:rsidRDefault="000E61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61E6" w:rsidRPr="00EE1CDA" w:rsidRDefault="000E61E6">
      <w:pPr>
        <w:pStyle w:val="Sidfot"/>
      </w:pPr>
    </w:p>
  </w:footnote>
  <w:footnote w:type="continuationSeparator" w:id="0">
    <w:p w:rsidR="000E61E6" w:rsidRPr="00EE1CDA" w:rsidRDefault="000E61E6">
      <w:pPr>
        <w:spacing w:before="0" w:line="240" w:lineRule="auto"/>
      </w:pPr>
      <w:r w:rsidRPr="00EE1C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1E6" w:rsidRPr="00EE1CDA" w:rsidRDefault="000E61E6">
    <w:pPr>
      <w:pStyle w:val="SidhuvudKant"/>
      <w:framePr w:w="1758" w:h="2744" w:hRule="exact" w:wrap="around" w:vAnchor="page" w:hAnchor="page" w:x="7372" w:y="568" w:anchorLock="0"/>
    </w:pPr>
    <w:r w:rsidRPr="00EE1CDA">
      <w:t>2000/01:LU23</w:t>
    </w:r>
  </w:p>
  <w:p w:rsidR="000E61E6" w:rsidRPr="00EE1CDA" w:rsidRDefault="000E61E6">
    <w:pPr>
      <w:pStyle w:val="SidhuvudKantBilaga"/>
      <w:framePr w:w="1758" w:h="2744" w:hRule="exact" w:wrap="around" w:vAnchor="page" w:hAnchor="page" w:x="7372" w:y="568" w:anchorLock="0"/>
    </w:pPr>
  </w:p>
  <w:p w:rsidR="000E61E6" w:rsidRPr="00EE1CDA" w:rsidRDefault="000E61E6">
    <w:pPr>
      <w:pStyle w:val="SidhuvudKant"/>
      <w:framePr w:w="1758" w:h="2744" w:hRule="exact" w:wrap="around" w:vAnchor="page" w:hAnchor="page" w:x="7372" w:y="568" w:anchorLock="0"/>
    </w:pPr>
  </w:p>
  <w:p w:rsidR="000E61E6" w:rsidRPr="00EE1CDA" w:rsidRDefault="000E61E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1E6" w:rsidRPr="00EE1CDA" w:rsidRDefault="000E61E6">
    <w:pPr>
      <w:pStyle w:val="SidhuvudKant"/>
      <w:framePr w:w="1758" w:h="2744" w:hRule="exact" w:wrap="around" w:vAnchor="page" w:hAnchor="page" w:x="7372" w:y="568" w:anchorLock="0"/>
    </w:pPr>
    <w:r w:rsidRPr="00EE1CDA">
      <w:t>2000/01:LU23</w:t>
    </w:r>
  </w:p>
  <w:p w:rsidR="000E61E6" w:rsidRPr="00EE1CDA" w:rsidRDefault="000E61E6">
    <w:pPr>
      <w:pStyle w:val="SidhuvudKantBilaga"/>
      <w:framePr w:w="1758" w:h="2744" w:hRule="exact" w:wrap="around" w:vAnchor="page" w:hAnchor="page" w:x="7372" w:y="568" w:anchorLock="0"/>
    </w:pPr>
    <w:r w:rsidRPr="00EE1CDA">
      <w:t xml:space="preserve">Bilaga </w:t>
    </w:r>
  </w:p>
  <w:p w:rsidR="000E61E6" w:rsidRPr="00EE1CDA" w:rsidRDefault="000E61E6">
    <w:pPr>
      <w:pStyle w:val="SidhuvudKant"/>
      <w:framePr w:w="1758" w:h="2744" w:hRule="exact" w:wrap="around" w:vAnchor="page" w:hAnchor="page" w:x="7372" w:y="568" w:anchorLock="0"/>
    </w:pPr>
  </w:p>
  <w:p w:rsidR="000E61E6" w:rsidRPr="00EE1CDA" w:rsidRDefault="000E61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A1567"/>
    <w:multiLevelType w:val="singleLevel"/>
    <w:tmpl w:val="AB74042E"/>
    <w:lvl w:ilvl="0">
      <w:start w:val="1"/>
      <w:numFmt w:val="decimal"/>
      <w:lvlText w:val="%1."/>
      <w:lvlJc w:val="left"/>
      <w:pPr>
        <w:tabs>
          <w:tab w:val="num" w:pos="530"/>
        </w:tabs>
        <w:ind w:left="530" w:hanging="360"/>
      </w:pPr>
      <w:rPr>
        <w:rFonts w:hint="default"/>
      </w:rPr>
    </w:lvl>
  </w:abstractNum>
  <w:abstractNum w:abstractNumId="1" w15:restartNumberingAfterBreak="0">
    <w:nsid w:val="537A3DE1"/>
    <w:multiLevelType w:val="singleLevel"/>
    <w:tmpl w:val="41FCCAC8"/>
    <w:lvl w:ilvl="0">
      <w:start w:val="2"/>
      <w:numFmt w:val="decimal"/>
      <w:lvlText w:val="%1."/>
      <w:lvlJc w:val="left"/>
      <w:pPr>
        <w:tabs>
          <w:tab w:val="num" w:pos="530"/>
        </w:tabs>
        <w:ind w:left="530" w:hanging="360"/>
      </w:pPr>
      <w:rPr>
        <w:rFonts w:hint="default"/>
      </w:rPr>
    </w:lvl>
  </w:abstractNum>
  <w:abstractNum w:abstractNumId="2" w15:restartNumberingAfterBreak="0">
    <w:nsid w:val="7F727C73"/>
    <w:multiLevelType w:val="singleLevel"/>
    <w:tmpl w:val="3BA23DC2"/>
    <w:lvl w:ilvl="0">
      <w:start w:val="2"/>
      <w:numFmt w:val="decimal"/>
      <w:lvlText w:val="%1."/>
      <w:lvlJc w:val="left"/>
      <w:pPr>
        <w:tabs>
          <w:tab w:val="num" w:pos="530"/>
        </w:tabs>
        <w:ind w:left="530" w:hanging="360"/>
      </w:pPr>
      <w:rPr>
        <w:rFonts w:hint="default"/>
      </w:rPr>
    </w:lvl>
  </w:abstractNum>
  <w:num w:numId="1" w16cid:durableId="334457010">
    <w:abstractNumId w:val="0"/>
  </w:num>
  <w:num w:numId="2" w16cid:durableId="1310091528">
    <w:abstractNumId w:val="1"/>
  </w:num>
  <w:num w:numId="3" w16cid:durableId="4514414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001"/>
  </w:docVars>
  <w:rsids>
    <w:rsidRoot w:val="00BA1722"/>
    <w:rsid w:val="000E61E6"/>
    <w:rsid w:val="00BA1722"/>
    <w:rsid w:val="00EE1CD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C7E472-6E8F-4956-BDE0-3E5FEAC7A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3625</Characters>
  <Application>Microsoft Office Word</Application>
  <DocSecurity>4</DocSecurity>
  <Lines>95</Lines>
  <Paragraphs>38</Paragraphs>
  <ScaleCrop>false</ScaleCrop>
  <HeadingPairs>
    <vt:vector size="4" baseType="variant">
      <vt:variant>
        <vt:lpstr>Title</vt:lpstr>
      </vt:variant>
      <vt:variant>
        <vt:i4>1</vt:i4>
      </vt:variant>
      <vt:variant>
        <vt:lpstr>Rubriker</vt:lpstr>
      </vt:variant>
      <vt:variant>
        <vt:i4>8</vt:i4>
      </vt:variant>
    </vt:vector>
  </HeadingPairs>
  <TitlesOfParts>
    <vt:vector size="9" baseType="lpstr">
      <vt:lpstr>Lagutskottets betänkande</vt:lpstr>
      <vt:lpstr>Propositionen</vt:lpstr>
      <vt:lpstr>Utskottet</vt:lpstr>
      <vt:lpstr>    Hemställan</vt:lpstr>
      <vt:lpstr>Propositionens lagförslag</vt:lpstr>
      <vt:lpstr>    1 Förslag till lag om ändring i aktiebolagslagen (1975:1385)</vt:lpstr>
      <vt:lpstr>    2 Förslag till lag om ändring i försäkringsrörelselagen (1982:713)</vt:lpstr>
      <vt:lpstr>    </vt:lpstr>
      <vt:lpstr>    </vt:lpstr>
    </vt:vector>
  </TitlesOfParts>
  <Company>Riksdagen</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2001-05-09T07:06:00Z</cp:lastPrinted>
  <dcterms:created xsi:type="dcterms:W3CDTF">2025-12-15T23:02:00Z</dcterms:created>
  <dcterms:modified xsi:type="dcterms:W3CDTF">2025-12-15T23:02:00Z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23</vt:lpwstr>
  </property>
  <property fmtid="{D5CDD505-2E9C-101B-9397-08002B2CF9AE}" pid="3" name="Utskott">
    <vt:lpwstr>LU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