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E14A1">
              <w:rPr>
                <w:b/>
                <w:color w:val="000000" w:themeColor="text1"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1046B">
              <w:t>10</w:t>
            </w:r>
            <w:r w:rsidR="004E4521">
              <w:t>-</w:t>
            </w:r>
            <w:r w:rsidR="004A5209">
              <w:t>2</w:t>
            </w:r>
            <w:r w:rsidR="003E14A1">
              <w:t>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515F2" w:rsidP="00477247">
            <w:r>
              <w:t>10.00</w:t>
            </w:r>
            <w:r w:rsidR="00FA543D">
              <w:t>–</w:t>
            </w:r>
            <w:r w:rsidR="00142F92">
              <w:t>10</w:t>
            </w:r>
            <w:r w:rsidR="002F47DA">
              <w:t>.</w:t>
            </w:r>
            <w:r w:rsidR="00D9325F">
              <w:t>2</w:t>
            </w:r>
            <w:r w:rsidR="00142F92">
              <w:t>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F13FE9" w:rsidRDefault="002B0E8A" w:rsidP="00F13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F13FE9" w:rsidRPr="00F13FE9">
              <w:rPr>
                <w:snapToGrid w:val="0"/>
                <w:color w:val="000000" w:themeColor="text1"/>
              </w:rPr>
              <w:t>Paula Holmqvist (S)</w:t>
            </w:r>
            <w:r w:rsidR="00A01B55">
              <w:rPr>
                <w:snapToGrid w:val="0"/>
                <w:color w:val="000000" w:themeColor="text1"/>
              </w:rPr>
              <w:t xml:space="preserve">, </w:t>
            </w:r>
            <w:r w:rsidR="00F13FE9" w:rsidRPr="00F13FE9">
              <w:rPr>
                <w:snapToGrid w:val="0"/>
                <w:color w:val="000000" w:themeColor="text1"/>
              </w:rPr>
              <w:t>Mattias Ottosson (S)</w:t>
            </w:r>
            <w:r w:rsidR="00A01B55">
              <w:rPr>
                <w:snapToGrid w:val="0"/>
                <w:color w:val="000000" w:themeColor="text1"/>
              </w:rPr>
              <w:t xml:space="preserve">, </w:t>
            </w:r>
            <w:r w:rsidR="00F13FE9" w:rsidRPr="00F13FE9">
              <w:rPr>
                <w:snapToGrid w:val="0"/>
                <w:color w:val="000000" w:themeColor="text1"/>
              </w:rPr>
              <w:t>Jörgen Berglund (M)</w:t>
            </w:r>
            <w:r w:rsidR="00A01B55">
              <w:rPr>
                <w:snapToGrid w:val="0"/>
                <w:color w:val="000000" w:themeColor="text1"/>
              </w:rPr>
              <w:t xml:space="preserve">, </w:t>
            </w:r>
            <w:r w:rsidR="00F13FE9" w:rsidRPr="00F13FE9">
              <w:rPr>
                <w:snapToGrid w:val="0"/>
                <w:color w:val="000000" w:themeColor="text1"/>
              </w:rPr>
              <w:t>Kalle Olsson (S)</w:t>
            </w:r>
            <w:r w:rsidR="00A01B55">
              <w:rPr>
                <w:snapToGrid w:val="0"/>
                <w:color w:val="000000" w:themeColor="text1"/>
              </w:rPr>
              <w:t xml:space="preserve">, Alexandra Völker (S), </w:t>
            </w:r>
            <w:r w:rsidR="00F13FE9" w:rsidRPr="00F13FE9">
              <w:rPr>
                <w:snapToGrid w:val="0"/>
                <w:color w:val="000000" w:themeColor="text1"/>
              </w:rPr>
              <w:t>Allan Widman (L)</w:t>
            </w:r>
            <w:r w:rsidR="00A01B55">
              <w:rPr>
                <w:snapToGrid w:val="0"/>
                <w:color w:val="000000" w:themeColor="text1"/>
              </w:rPr>
              <w:t xml:space="preserve">, </w:t>
            </w:r>
            <w:r w:rsidR="00F13FE9" w:rsidRPr="00F13FE9">
              <w:rPr>
                <w:snapToGrid w:val="0"/>
                <w:color w:val="000000" w:themeColor="text1"/>
              </w:rPr>
              <w:t>Caroline Nordengrip (SD)</w:t>
            </w:r>
            <w:r w:rsidR="00A01B55">
              <w:rPr>
                <w:snapToGrid w:val="0"/>
                <w:color w:val="000000" w:themeColor="text1"/>
              </w:rPr>
              <w:t xml:space="preserve">, </w:t>
            </w:r>
            <w:r w:rsidR="00F13FE9" w:rsidRPr="00F13FE9">
              <w:rPr>
                <w:snapToGrid w:val="0"/>
                <w:color w:val="000000" w:themeColor="text1"/>
              </w:rPr>
              <w:t>Elisabeth Falkhaven (MP)</w:t>
            </w:r>
            <w:r w:rsidR="00A01B55">
              <w:rPr>
                <w:snapToGrid w:val="0"/>
                <w:color w:val="000000" w:themeColor="text1"/>
              </w:rPr>
              <w:t xml:space="preserve">, Alexandra </w:t>
            </w:r>
            <w:proofErr w:type="spellStart"/>
            <w:r w:rsidR="00A01B55">
              <w:rPr>
                <w:snapToGrid w:val="0"/>
                <w:color w:val="000000" w:themeColor="text1"/>
              </w:rPr>
              <w:t>Anstrell</w:t>
            </w:r>
            <w:proofErr w:type="spellEnd"/>
            <w:r w:rsidR="00A01B55">
              <w:rPr>
                <w:snapToGrid w:val="0"/>
                <w:color w:val="000000" w:themeColor="text1"/>
              </w:rPr>
              <w:t xml:space="preserve"> (M), </w:t>
            </w:r>
            <w:r w:rsidR="00F13FE9" w:rsidRPr="00F13FE9">
              <w:rPr>
                <w:snapToGrid w:val="0"/>
                <w:color w:val="000000" w:themeColor="text1"/>
              </w:rPr>
              <w:t>Heléne Björklund (S)</w:t>
            </w:r>
            <w:r w:rsidR="00A01B55">
              <w:rPr>
                <w:snapToGrid w:val="0"/>
                <w:color w:val="000000" w:themeColor="text1"/>
              </w:rPr>
              <w:t xml:space="preserve"> och Lars Thomsson (C).</w:t>
            </w:r>
          </w:p>
          <w:p w:rsidR="00827383" w:rsidRPr="002B7C8D" w:rsidRDefault="00827383" w:rsidP="00B24B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B4897" w:rsidTr="0001177E">
        <w:tc>
          <w:tcPr>
            <w:tcW w:w="567" w:type="dxa"/>
          </w:tcPr>
          <w:p w:rsidR="00AB4897" w:rsidRDefault="00AB4897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B4897" w:rsidRDefault="00AB4897" w:rsidP="00AB48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B4897" w:rsidRDefault="00AB4897" w:rsidP="00AB4897">
            <w:pPr>
              <w:tabs>
                <w:tab w:val="left" w:pos="1701"/>
              </w:tabs>
              <w:rPr>
                <w:snapToGrid w:val="0"/>
              </w:rPr>
            </w:pPr>
          </w:p>
          <w:p w:rsidR="00AB4897" w:rsidRDefault="00AB4897" w:rsidP="00AB48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</w:t>
            </w:r>
            <w:r w:rsidR="003E14A1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:rsidR="00AB4897" w:rsidRPr="00AB4897" w:rsidRDefault="00AB4897" w:rsidP="00AB489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B4897" w:rsidTr="0001177E">
        <w:tc>
          <w:tcPr>
            <w:tcW w:w="567" w:type="dxa"/>
          </w:tcPr>
          <w:p w:rsidR="00AB4897" w:rsidRDefault="00575F90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93D3B" w:rsidRPr="00493D3B" w:rsidRDefault="00493D3B" w:rsidP="00685AE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93D3B">
              <w:rPr>
                <w:b/>
                <w:snapToGrid w:val="0"/>
              </w:rPr>
              <w:t>Utgiftsram för utgiftsområde 6 Försvar och samhällets krisberedskap (FöU1y)</w:t>
            </w:r>
          </w:p>
          <w:p w:rsidR="00493D3B" w:rsidRDefault="00493D3B" w:rsidP="00685AE2">
            <w:pPr>
              <w:tabs>
                <w:tab w:val="left" w:pos="1701"/>
              </w:tabs>
              <w:rPr>
                <w:snapToGrid w:val="0"/>
              </w:rPr>
            </w:pPr>
          </w:p>
          <w:p w:rsidR="00685AE2" w:rsidRDefault="00685AE2" w:rsidP="00685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</w:t>
            </w:r>
            <w:r w:rsidRPr="00BC3184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proposition </w:t>
            </w:r>
            <w:r w:rsidRPr="00BC3184">
              <w:rPr>
                <w:snapToGrid w:val="0"/>
              </w:rPr>
              <w:t>2020/21:1 och motioner</w:t>
            </w:r>
            <w:r>
              <w:rPr>
                <w:snapToGrid w:val="0"/>
              </w:rPr>
              <w:t>.</w:t>
            </w:r>
          </w:p>
          <w:p w:rsidR="00685AE2" w:rsidRDefault="00685AE2" w:rsidP="00685AE2">
            <w:pPr>
              <w:tabs>
                <w:tab w:val="left" w:pos="1701"/>
              </w:tabs>
              <w:rPr>
                <w:snapToGrid w:val="0"/>
              </w:rPr>
            </w:pPr>
          </w:p>
          <w:p w:rsidR="00575F90" w:rsidRDefault="00685AE2" w:rsidP="00575F9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B4897" w:rsidRPr="00AB4897" w:rsidRDefault="00AB4897" w:rsidP="00AB489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6479D" w:rsidTr="0001177E">
        <w:tc>
          <w:tcPr>
            <w:tcW w:w="567" w:type="dxa"/>
          </w:tcPr>
          <w:p w:rsidR="00A6479D" w:rsidRDefault="00A6479D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91720E" w:rsidRPr="0091720E" w:rsidRDefault="00A6479D" w:rsidP="00A647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A1447">
              <w:rPr>
                <w:b/>
                <w:bCs/>
                <w:snapToGrid w:val="0"/>
              </w:rPr>
              <w:t>Åtgärder till skydd för Sveriges säkerhet vid överlåtelser av säkerhetskänslig verksamhet</w:t>
            </w:r>
            <w:r w:rsidRPr="00CA1447">
              <w:rPr>
                <w:b/>
                <w:bCs/>
                <w:snapToGrid w:val="0"/>
              </w:rPr>
              <w:br/>
            </w:r>
          </w:p>
          <w:p w:rsidR="0091720E" w:rsidRPr="0091720E" w:rsidRDefault="0091720E" w:rsidP="00A6479D">
            <w:pPr>
              <w:tabs>
                <w:tab w:val="left" w:pos="1701"/>
              </w:tabs>
              <w:rPr>
                <w:snapToGrid w:val="0"/>
              </w:rPr>
            </w:pPr>
            <w:r w:rsidRPr="0091720E">
              <w:rPr>
                <w:snapToGrid w:val="0"/>
              </w:rPr>
              <w:t>Utskottet behandlade fråga om y</w:t>
            </w:r>
            <w:r w:rsidR="00A6479D" w:rsidRPr="0091720E">
              <w:rPr>
                <w:snapToGrid w:val="0"/>
              </w:rPr>
              <w:t>ttrande till justitieutskottet</w:t>
            </w:r>
            <w:r w:rsidRPr="0091720E">
              <w:rPr>
                <w:snapToGrid w:val="0"/>
              </w:rPr>
              <w:t xml:space="preserve"> över proposition </w:t>
            </w:r>
            <w:r w:rsidR="00A6479D" w:rsidRPr="0091720E">
              <w:rPr>
                <w:snapToGrid w:val="0"/>
              </w:rPr>
              <w:t>2020/21:13 och motioner</w:t>
            </w:r>
            <w:r w:rsidRPr="0091720E">
              <w:rPr>
                <w:snapToGrid w:val="0"/>
              </w:rPr>
              <w:t>.</w:t>
            </w:r>
          </w:p>
          <w:p w:rsidR="0091720E" w:rsidRPr="0091720E" w:rsidRDefault="0091720E" w:rsidP="00A6479D">
            <w:pPr>
              <w:tabs>
                <w:tab w:val="left" w:pos="1701"/>
              </w:tabs>
              <w:rPr>
                <w:snapToGrid w:val="0"/>
              </w:rPr>
            </w:pPr>
          </w:p>
          <w:p w:rsidR="00A6479D" w:rsidRPr="0091720E" w:rsidRDefault="0091720E" w:rsidP="00A6479D">
            <w:pPr>
              <w:tabs>
                <w:tab w:val="left" w:pos="1701"/>
              </w:tabs>
              <w:rPr>
                <w:snapToGrid w:val="0"/>
              </w:rPr>
            </w:pPr>
            <w:r w:rsidRPr="0091720E">
              <w:rPr>
                <w:snapToGrid w:val="0"/>
              </w:rPr>
              <w:t>Ärendet bordlades.</w:t>
            </w:r>
          </w:p>
          <w:p w:rsidR="00A6479D" w:rsidRDefault="00A6479D" w:rsidP="00E71C9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8015E" w:rsidTr="0001177E">
        <w:tc>
          <w:tcPr>
            <w:tcW w:w="567" w:type="dxa"/>
          </w:tcPr>
          <w:p w:rsidR="00E8015E" w:rsidRDefault="00E8015E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380AD7" w:rsidRDefault="00E8015E" w:rsidP="00380A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A1447">
              <w:rPr>
                <w:b/>
                <w:bCs/>
                <w:snapToGrid w:val="0"/>
              </w:rPr>
              <w:t>Sammansatt utrikes- och försvarsutskott</w:t>
            </w:r>
            <w:r w:rsidRPr="00CA1447">
              <w:rPr>
                <w:b/>
                <w:bCs/>
                <w:snapToGrid w:val="0"/>
              </w:rPr>
              <w:br/>
            </w:r>
          </w:p>
          <w:p w:rsidR="00380AD7" w:rsidRDefault="00380AD7" w:rsidP="00380AD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Enligt 7 kap. 7 § riksdagsordningen får två utskott besluta att gemensamt bereda ett ärende i ett sammansatt utskott.</w:t>
            </w:r>
          </w:p>
          <w:p w:rsidR="00380AD7" w:rsidRDefault="00380AD7" w:rsidP="00380AD7">
            <w:pPr>
              <w:tabs>
                <w:tab w:val="left" w:pos="1701"/>
              </w:tabs>
              <w:rPr>
                <w:snapToGrid w:val="0"/>
              </w:rPr>
            </w:pPr>
          </w:p>
          <w:p w:rsidR="00380AD7" w:rsidRDefault="00380AD7" w:rsidP="00380AD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Regeringen har lämnat proposition 2020/21:30 Totalförsvaret </w:t>
            </w:r>
            <w:r w:rsidR="00FD776B">
              <w:rPr>
                <w:snapToGrid w:val="0"/>
              </w:rPr>
              <w:br/>
            </w:r>
            <w:r>
              <w:rPr>
                <w:snapToGrid w:val="0"/>
              </w:rPr>
              <w:t xml:space="preserve">2021–2025. Propositionen har </w:t>
            </w:r>
            <w:r w:rsidR="0067707A">
              <w:rPr>
                <w:snapToGrid w:val="0"/>
              </w:rPr>
              <w:t xml:space="preserve">hänvisats </w:t>
            </w:r>
            <w:r>
              <w:rPr>
                <w:snapToGrid w:val="0"/>
              </w:rPr>
              <w:t>till försvarsutskottet för beredning.</w:t>
            </w:r>
          </w:p>
          <w:p w:rsidR="00380AD7" w:rsidRDefault="00380AD7" w:rsidP="00380AD7">
            <w:pPr>
              <w:tabs>
                <w:tab w:val="left" w:pos="1701"/>
              </w:tabs>
              <w:rPr>
                <w:snapToGrid w:val="0"/>
              </w:rPr>
            </w:pPr>
          </w:p>
          <w:p w:rsidR="00380AD7" w:rsidRDefault="00380AD7" w:rsidP="00380A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beslutade föreslå utrikesutskottet att proposition </w:t>
            </w:r>
            <w:r w:rsidR="008918F7">
              <w:rPr>
                <w:snapToGrid w:val="0"/>
              </w:rPr>
              <w:t xml:space="preserve">2020/21:30 avsnitt 5 </w:t>
            </w:r>
            <w:r w:rsidRPr="006E6BBB">
              <w:rPr>
                <w:snapToGrid w:val="0"/>
              </w:rPr>
              <w:t>Säkerhetspolitik</w:t>
            </w:r>
            <w:r>
              <w:rPr>
                <w:snapToGrid w:val="0"/>
              </w:rPr>
              <w:t xml:space="preserve"> </w:t>
            </w:r>
            <w:r w:rsidR="0067707A">
              <w:rPr>
                <w:snapToGrid w:val="0"/>
              </w:rPr>
              <w:t>och</w:t>
            </w:r>
            <w:r w:rsidRPr="006E6BBB">
              <w:rPr>
                <w:snapToGrid w:val="0"/>
              </w:rPr>
              <w:t xml:space="preserve"> eventuella följdmotioner inom området </w:t>
            </w:r>
            <w:r w:rsidR="0067707A">
              <w:rPr>
                <w:snapToGrid w:val="0"/>
              </w:rPr>
              <w:t xml:space="preserve">bereds gemensamt i ett </w:t>
            </w:r>
            <w:r w:rsidRPr="006E6BBB">
              <w:rPr>
                <w:snapToGrid w:val="0"/>
              </w:rPr>
              <w:t xml:space="preserve">sammansatt utrikes- och försvarsutskott, </w:t>
            </w:r>
            <w:proofErr w:type="spellStart"/>
            <w:r w:rsidR="0067707A">
              <w:rPr>
                <w:snapToGrid w:val="0"/>
              </w:rPr>
              <w:lastRenderedPageBreak/>
              <w:t>U</w:t>
            </w:r>
            <w:r w:rsidRPr="006E6BBB">
              <w:rPr>
                <w:snapToGrid w:val="0"/>
              </w:rPr>
              <w:t>FöU</w:t>
            </w:r>
            <w:proofErr w:type="spellEnd"/>
            <w:r w:rsidRPr="006E6BBB">
              <w:rPr>
                <w:snapToGrid w:val="0"/>
              </w:rPr>
              <w:t>.</w:t>
            </w:r>
            <w:r w:rsidRPr="00AE587E">
              <w:rPr>
                <w:b/>
                <w:snapToGrid w:val="0"/>
              </w:rPr>
              <w:t xml:space="preserve"> </w:t>
            </w:r>
          </w:p>
          <w:p w:rsidR="00380AD7" w:rsidRDefault="00380AD7" w:rsidP="00380A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0AD7" w:rsidRPr="009A0560" w:rsidRDefault="00380AD7" w:rsidP="00380AD7">
            <w:pPr>
              <w:tabs>
                <w:tab w:val="left" w:pos="1701"/>
              </w:tabs>
              <w:rPr>
                <w:snapToGrid w:val="0"/>
              </w:rPr>
            </w:pPr>
            <w:r w:rsidRPr="009A0560">
              <w:rPr>
                <w:snapToGrid w:val="0"/>
              </w:rPr>
              <w:t>Denna paragraf förklarades omedelbart justerad.</w:t>
            </w:r>
          </w:p>
          <w:p w:rsidR="00E8015E" w:rsidRPr="00CA1447" w:rsidRDefault="00E8015E" w:rsidP="007E3E4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E8015E" w:rsidTr="0001177E">
        <w:tc>
          <w:tcPr>
            <w:tcW w:w="567" w:type="dxa"/>
          </w:tcPr>
          <w:p w:rsidR="00E8015E" w:rsidRDefault="00E8015E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E8015E" w:rsidRDefault="00E8015E" w:rsidP="00E8015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CA1447">
              <w:rPr>
                <w:b/>
                <w:bCs/>
                <w:snapToGrid w:val="0"/>
              </w:rPr>
              <w:t>Totalförsvaret 2021–2025 (FöU4)</w:t>
            </w:r>
          </w:p>
          <w:p w:rsidR="00E8337D" w:rsidRDefault="00E8337D" w:rsidP="00E8015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E8015E" w:rsidRDefault="00E8015E" w:rsidP="00E801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 </w:t>
            </w:r>
            <w:r w:rsidRPr="00E8015E">
              <w:rPr>
                <w:snapToGrid w:val="0"/>
              </w:rPr>
              <w:t xml:space="preserve">konstitutionsutskottet, finansutskottet, skatteutskottet, justitieutskottet, socialförsäkringsutskottet, socialutskottet, trafikutskottet, miljö- och jordbruksutskottet och näringsutskottet tillfälle att </w:t>
            </w:r>
            <w:r w:rsidR="00D91ED0" w:rsidRPr="00F13FE9">
              <w:rPr>
                <w:snapToGrid w:val="0"/>
                <w:color w:val="000000" w:themeColor="text1"/>
              </w:rPr>
              <w:t xml:space="preserve">senast </w:t>
            </w:r>
            <w:r w:rsidR="00F13FE9" w:rsidRPr="00F13FE9">
              <w:rPr>
                <w:snapToGrid w:val="0"/>
                <w:color w:val="000000" w:themeColor="text1"/>
              </w:rPr>
              <w:t>tis</w:t>
            </w:r>
            <w:r w:rsidR="00D91ED0" w:rsidRPr="00F13FE9">
              <w:rPr>
                <w:snapToGrid w:val="0"/>
                <w:color w:val="000000" w:themeColor="text1"/>
              </w:rPr>
              <w:t xml:space="preserve">dagen den </w:t>
            </w:r>
            <w:r w:rsidR="00F13FE9" w:rsidRPr="00F13FE9">
              <w:rPr>
                <w:snapToGrid w:val="0"/>
                <w:color w:val="000000" w:themeColor="text1"/>
              </w:rPr>
              <w:t>17</w:t>
            </w:r>
            <w:r w:rsidR="00D91ED0" w:rsidRPr="00F13FE9">
              <w:rPr>
                <w:snapToGrid w:val="0"/>
                <w:color w:val="000000" w:themeColor="text1"/>
              </w:rPr>
              <w:t xml:space="preserve"> november 2020 </w:t>
            </w:r>
            <w:r w:rsidR="00D501E0">
              <w:rPr>
                <w:snapToGrid w:val="0"/>
                <w:color w:val="000000" w:themeColor="text1"/>
              </w:rPr>
              <w:br/>
            </w:r>
            <w:r w:rsidR="00E8337D" w:rsidRPr="00F13FE9">
              <w:rPr>
                <w:snapToGrid w:val="0"/>
                <w:color w:val="000000" w:themeColor="text1"/>
              </w:rPr>
              <w:t xml:space="preserve">kl. </w:t>
            </w:r>
            <w:r w:rsidR="00F13FE9" w:rsidRPr="00F13FE9">
              <w:rPr>
                <w:snapToGrid w:val="0"/>
                <w:color w:val="000000" w:themeColor="text1"/>
              </w:rPr>
              <w:t>14.00</w:t>
            </w:r>
            <w:r w:rsidR="00E8337D" w:rsidRPr="00F13FE9">
              <w:rPr>
                <w:snapToGrid w:val="0"/>
                <w:color w:val="000000" w:themeColor="text1"/>
              </w:rPr>
              <w:t xml:space="preserve"> </w:t>
            </w:r>
            <w:r w:rsidRPr="00F13FE9">
              <w:rPr>
                <w:snapToGrid w:val="0"/>
                <w:color w:val="000000" w:themeColor="text1"/>
              </w:rPr>
              <w:t>yttra sig över propositi</w:t>
            </w:r>
            <w:r w:rsidRPr="00E8015E">
              <w:rPr>
                <w:snapToGrid w:val="0"/>
              </w:rPr>
              <w:t xml:space="preserve">on 2020/21:30 </w:t>
            </w:r>
            <w:r w:rsidR="0067707A">
              <w:rPr>
                <w:snapToGrid w:val="0"/>
              </w:rPr>
              <w:t xml:space="preserve">(avsnitt 1–4, 6–15) </w:t>
            </w:r>
            <w:r w:rsidRPr="00E8015E">
              <w:rPr>
                <w:snapToGrid w:val="0"/>
              </w:rPr>
              <w:t xml:space="preserve">och </w:t>
            </w:r>
            <w:r w:rsidR="00D91ED0">
              <w:rPr>
                <w:snapToGrid w:val="0"/>
              </w:rPr>
              <w:t>eventuella följd</w:t>
            </w:r>
            <w:r w:rsidRPr="00E8015E">
              <w:rPr>
                <w:snapToGrid w:val="0"/>
              </w:rPr>
              <w:t>motioner</w:t>
            </w:r>
            <w:r w:rsidR="00D91ED0">
              <w:rPr>
                <w:snapToGrid w:val="0"/>
              </w:rPr>
              <w:t xml:space="preserve"> i de delar som berör respektive utskotts beredningsområde</w:t>
            </w:r>
            <w:r>
              <w:rPr>
                <w:snapToGrid w:val="0"/>
              </w:rPr>
              <w:t>.</w:t>
            </w:r>
          </w:p>
          <w:p w:rsidR="0067707A" w:rsidRDefault="0067707A" w:rsidP="00E8015E">
            <w:pPr>
              <w:tabs>
                <w:tab w:val="left" w:pos="1701"/>
              </w:tabs>
              <w:rPr>
                <w:snapToGrid w:val="0"/>
              </w:rPr>
            </w:pPr>
          </w:p>
          <w:p w:rsidR="0067707A" w:rsidRDefault="0067707A" w:rsidP="00E801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5A0E08" w:rsidRPr="00744E7C" w:rsidRDefault="005A0E08" w:rsidP="005A0E08">
            <w:pPr>
              <w:tabs>
                <w:tab w:val="left" w:pos="1701"/>
              </w:tabs>
              <w:rPr>
                <w:snapToGrid w:val="0"/>
              </w:rPr>
            </w:pPr>
          </w:p>
          <w:p w:rsidR="00E8015E" w:rsidRDefault="005A0E08" w:rsidP="005A0E08">
            <w:pPr>
              <w:tabs>
                <w:tab w:val="left" w:pos="1701"/>
              </w:tabs>
              <w:rPr>
                <w:snapToGrid w:val="0"/>
              </w:rPr>
            </w:pPr>
            <w:r w:rsidRPr="00744E7C">
              <w:rPr>
                <w:snapToGrid w:val="0"/>
              </w:rPr>
              <w:t>Denna paragraf förklarades omedelbart justerad.</w:t>
            </w:r>
          </w:p>
          <w:p w:rsidR="005A0E08" w:rsidRPr="00CA1447" w:rsidRDefault="005A0E08" w:rsidP="005A0E0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3644AB" w:rsidTr="0001177E">
        <w:tc>
          <w:tcPr>
            <w:tcW w:w="567" w:type="dxa"/>
          </w:tcPr>
          <w:p w:rsidR="003644AB" w:rsidRDefault="003644AB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776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644AB" w:rsidRPr="00543B72" w:rsidRDefault="003644AB" w:rsidP="00364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644AB" w:rsidRDefault="003644AB" w:rsidP="003644A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644AB" w:rsidRDefault="003644AB" w:rsidP="003644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3644AB" w:rsidRDefault="003644AB" w:rsidP="003644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B4897" w:rsidTr="0001177E">
        <w:tc>
          <w:tcPr>
            <w:tcW w:w="567" w:type="dxa"/>
          </w:tcPr>
          <w:p w:rsidR="00AB4897" w:rsidRDefault="003644AB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707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644AB" w:rsidRDefault="003644AB" w:rsidP="003644A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3644AB" w:rsidRDefault="003644AB" w:rsidP="003644AB">
            <w:pPr>
              <w:tabs>
                <w:tab w:val="left" w:pos="1701"/>
              </w:tabs>
              <w:rPr>
                <w:szCs w:val="24"/>
              </w:rPr>
            </w:pPr>
          </w:p>
          <w:p w:rsidR="00AB4897" w:rsidRDefault="003644AB" w:rsidP="003644A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tisdagen den </w:t>
            </w:r>
            <w:r w:rsidR="00B24B45">
              <w:rPr>
                <w:szCs w:val="24"/>
              </w:rPr>
              <w:t xml:space="preserve">3 november </w:t>
            </w:r>
            <w:r>
              <w:rPr>
                <w:szCs w:val="24"/>
              </w:rPr>
              <w:t xml:space="preserve">kl. </w:t>
            </w:r>
            <w:r w:rsidR="00E515F2">
              <w:rPr>
                <w:szCs w:val="24"/>
              </w:rPr>
              <w:t>10.45</w:t>
            </w:r>
            <w:r>
              <w:rPr>
                <w:szCs w:val="24"/>
              </w:rPr>
              <w:t>.</w:t>
            </w:r>
          </w:p>
          <w:p w:rsidR="003644AB" w:rsidRPr="00AB4897" w:rsidRDefault="003644AB" w:rsidP="003644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05EA" w:rsidTr="0001177E">
        <w:tc>
          <w:tcPr>
            <w:tcW w:w="567" w:type="dxa"/>
          </w:tcPr>
          <w:p w:rsidR="001705EA" w:rsidRDefault="001705EA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705EA" w:rsidRDefault="001705EA" w:rsidP="001705E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05EA" w:rsidTr="0001177E">
        <w:tc>
          <w:tcPr>
            <w:tcW w:w="567" w:type="dxa"/>
          </w:tcPr>
          <w:p w:rsidR="001705EA" w:rsidRDefault="001705EA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705EA" w:rsidRDefault="001705EA" w:rsidP="001705E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05EA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705EA" w:rsidRDefault="001705EA" w:rsidP="001705EA">
            <w:pPr>
              <w:tabs>
                <w:tab w:val="left" w:pos="1701"/>
              </w:tabs>
            </w:pPr>
            <w:r>
              <w:t>Vid protokollet</w:t>
            </w:r>
          </w:p>
          <w:p w:rsidR="001705EA" w:rsidRDefault="001705EA" w:rsidP="001705EA">
            <w:pPr>
              <w:tabs>
                <w:tab w:val="left" w:pos="1701"/>
              </w:tabs>
            </w:pPr>
          </w:p>
          <w:p w:rsidR="001705EA" w:rsidRDefault="001705EA" w:rsidP="001705EA">
            <w:pPr>
              <w:tabs>
                <w:tab w:val="left" w:pos="1701"/>
              </w:tabs>
            </w:pPr>
          </w:p>
          <w:p w:rsidR="001705EA" w:rsidRDefault="001705EA" w:rsidP="001705EA">
            <w:pPr>
              <w:tabs>
                <w:tab w:val="left" w:pos="1701"/>
              </w:tabs>
            </w:pPr>
            <w:r>
              <w:t>Annika Tuvelid</w:t>
            </w:r>
          </w:p>
          <w:p w:rsidR="001705EA" w:rsidRDefault="001705EA" w:rsidP="001705EA">
            <w:pPr>
              <w:tabs>
                <w:tab w:val="left" w:pos="1701"/>
              </w:tabs>
            </w:pPr>
          </w:p>
          <w:p w:rsidR="001705EA" w:rsidRDefault="001705EA" w:rsidP="001705EA">
            <w:pPr>
              <w:tabs>
                <w:tab w:val="left" w:pos="1701"/>
              </w:tabs>
            </w:pPr>
            <w:r>
              <w:t xml:space="preserve">Justeras </w:t>
            </w:r>
            <w:r w:rsidR="009C081B">
              <w:t>t</w:t>
            </w:r>
            <w:r w:rsidR="003E14A1">
              <w:t xml:space="preserve">isdagen den 3 november </w:t>
            </w:r>
            <w:r>
              <w:t>2020</w:t>
            </w:r>
          </w:p>
          <w:p w:rsidR="001705EA" w:rsidRDefault="001705EA" w:rsidP="001705EA">
            <w:pPr>
              <w:tabs>
                <w:tab w:val="left" w:pos="1701"/>
              </w:tabs>
            </w:pPr>
          </w:p>
          <w:p w:rsidR="001705EA" w:rsidRDefault="001705EA" w:rsidP="001705EA">
            <w:pPr>
              <w:tabs>
                <w:tab w:val="left" w:pos="1701"/>
              </w:tabs>
            </w:pPr>
          </w:p>
          <w:p w:rsidR="001705EA" w:rsidRDefault="001705EA" w:rsidP="001705EA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99269D" w:rsidRDefault="0099269D" w:rsidP="0099269D">
      <w:pPr>
        <w:tabs>
          <w:tab w:val="left" w:pos="1701"/>
        </w:tabs>
      </w:pPr>
    </w:p>
    <w:p w:rsidR="0099269D" w:rsidRDefault="0099269D" w:rsidP="0099269D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9269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till protokoll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2020/21:</w:t>
            </w:r>
            <w:r w:rsidR="003E14A1">
              <w:t>7</w:t>
            </w:r>
          </w:p>
        </w:tc>
      </w:tr>
      <w:tr w:rsidR="0099269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705EA">
              <w:rPr>
                <w:sz w:val="22"/>
              </w:rPr>
              <w:t xml:space="preserve"> 1</w:t>
            </w:r>
            <w:bookmarkStart w:id="0" w:name="_GoBack"/>
            <w:bookmarkEnd w:id="0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80A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FD776B">
              <w:rPr>
                <w:sz w:val="22"/>
              </w:rPr>
              <w:t>-</w:t>
            </w:r>
            <w:r w:rsidR="0067707A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D77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D77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706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D706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D77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D77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D77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D77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D77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D77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B92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B92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D77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D77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34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B92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B92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9269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99269D" w:rsidRDefault="0099269D" w:rsidP="0099269D">
      <w:pPr>
        <w:widowControl/>
      </w:pPr>
    </w:p>
    <w:p w:rsidR="00193A27" w:rsidRDefault="0099269D" w:rsidP="0099269D">
      <w:pPr>
        <w:tabs>
          <w:tab w:val="left" w:pos="1701"/>
        </w:tabs>
      </w:pPr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2619"/>
      </w:tblGrid>
      <w:tr w:rsidR="00193A27" w:rsidTr="00626DAB">
        <w:tc>
          <w:tcPr>
            <w:tcW w:w="3189" w:type="dxa"/>
          </w:tcPr>
          <w:p w:rsidR="00193A27" w:rsidRDefault="00193A27" w:rsidP="00626DAB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br w:type="page"/>
            </w:r>
            <w:r>
              <w:br w:type="page"/>
              <w:t>FÖRSVARSUTSKOTTET</w:t>
            </w:r>
          </w:p>
        </w:tc>
        <w:tc>
          <w:tcPr>
            <w:tcW w:w="2835" w:type="dxa"/>
          </w:tcPr>
          <w:p w:rsidR="00193A27" w:rsidRDefault="00193A27" w:rsidP="00626DAB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:rsidR="00193A27" w:rsidRDefault="00193A27" w:rsidP="00626DAB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BD13C7">
              <w:rPr>
                <w:b/>
              </w:rPr>
              <w:t>2</w:t>
            </w:r>
          </w:p>
          <w:p w:rsidR="00193A27" w:rsidRDefault="00193A27" w:rsidP="00626DAB">
            <w:pPr>
              <w:tabs>
                <w:tab w:val="left" w:pos="1276"/>
              </w:tabs>
            </w:pPr>
            <w:r>
              <w:t>till protokoll</w:t>
            </w:r>
          </w:p>
          <w:p w:rsidR="00193A27" w:rsidRDefault="00193A27" w:rsidP="00626DAB">
            <w:pPr>
              <w:tabs>
                <w:tab w:val="left" w:pos="1276"/>
              </w:tabs>
              <w:rPr>
                <w:b/>
              </w:rPr>
            </w:pP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</w:t>
            </w:r>
            <w:r>
              <w:t>:</w:t>
            </w:r>
            <w:r w:rsidR="003E14A1">
              <w:t>7</w:t>
            </w:r>
          </w:p>
        </w:tc>
      </w:tr>
    </w:tbl>
    <w:p w:rsidR="00193A27" w:rsidRDefault="00193A27" w:rsidP="00193A27">
      <w:pPr>
        <w:tabs>
          <w:tab w:val="left" w:pos="142"/>
          <w:tab w:val="left" w:pos="7797"/>
        </w:tabs>
      </w:pPr>
    </w:p>
    <w:p w:rsidR="00193A27" w:rsidRDefault="00193A27" w:rsidP="00193A27">
      <w:pPr>
        <w:tabs>
          <w:tab w:val="left" w:pos="142"/>
          <w:tab w:val="left" w:pos="7797"/>
        </w:tabs>
      </w:pPr>
    </w:p>
    <w:p w:rsidR="00193A27" w:rsidRDefault="00193A27" w:rsidP="00193A27">
      <w:pPr>
        <w:tabs>
          <w:tab w:val="left" w:pos="142"/>
          <w:tab w:val="left" w:pos="7655"/>
        </w:tabs>
        <w:ind w:right="-568"/>
        <w:rPr>
          <w:sz w:val="22"/>
        </w:rPr>
      </w:pPr>
    </w:p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414"/>
      </w:tblGrid>
      <w:tr w:rsidR="00193A27" w:rsidTr="00AE6F0F">
        <w:tc>
          <w:tcPr>
            <w:tcW w:w="7230" w:type="dxa"/>
          </w:tcPr>
          <w:p w:rsidR="00193A27" w:rsidRDefault="00193A27" w:rsidP="00626DAB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32"/>
              </w:rPr>
            </w:pPr>
            <w:r>
              <w:rPr>
                <w:i/>
                <w:sz w:val="32"/>
              </w:rPr>
              <w:t>Inkomna skrivelser</w:t>
            </w:r>
          </w:p>
        </w:tc>
        <w:tc>
          <w:tcPr>
            <w:tcW w:w="1414" w:type="dxa"/>
          </w:tcPr>
          <w:p w:rsidR="00193A27" w:rsidRDefault="00193A27" w:rsidP="00626DAB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</w:rPr>
            </w:pPr>
          </w:p>
        </w:tc>
      </w:tr>
      <w:tr w:rsidR="00193A27" w:rsidTr="00AE6F0F">
        <w:tc>
          <w:tcPr>
            <w:tcW w:w="7230" w:type="dxa"/>
          </w:tcPr>
          <w:p w:rsidR="00193A27" w:rsidRDefault="00193A27" w:rsidP="00626DAB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14" w:type="dxa"/>
          </w:tcPr>
          <w:p w:rsidR="00193A27" w:rsidRDefault="00193A27" w:rsidP="00626DAB">
            <w:pPr>
              <w:tabs>
                <w:tab w:val="left" w:pos="142"/>
                <w:tab w:val="left" w:pos="7655"/>
              </w:tabs>
              <w:ind w:right="-568"/>
            </w:pPr>
          </w:p>
          <w:p w:rsidR="00193A27" w:rsidRDefault="00193A27" w:rsidP="00626DAB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  <w:tr w:rsidR="00193A27" w:rsidTr="00AE6F0F">
        <w:tc>
          <w:tcPr>
            <w:tcW w:w="7230" w:type="dxa"/>
          </w:tcPr>
          <w:p w:rsidR="00B46FAA" w:rsidRDefault="00B46FAA" w:rsidP="0051046B">
            <w:pPr>
              <w:tabs>
                <w:tab w:val="left" w:pos="142"/>
                <w:tab w:val="left" w:pos="7655"/>
              </w:tabs>
              <w:ind w:right="-568"/>
            </w:pPr>
            <w:r>
              <w:rPr>
                <w:u w:val="single"/>
              </w:rPr>
              <w:t>För kännedom</w:t>
            </w:r>
          </w:p>
          <w:p w:rsidR="00B46FAA" w:rsidRDefault="00B46FAA" w:rsidP="0051046B">
            <w:pPr>
              <w:tabs>
                <w:tab w:val="left" w:pos="142"/>
                <w:tab w:val="left" w:pos="7655"/>
              </w:tabs>
              <w:ind w:right="-568"/>
            </w:pPr>
          </w:p>
          <w:p w:rsidR="0051046B" w:rsidRDefault="00941E5A" w:rsidP="00B46FAA">
            <w:pPr>
              <w:tabs>
                <w:tab w:val="left" w:pos="142"/>
                <w:tab w:val="left" w:pos="7655"/>
              </w:tabs>
              <w:ind w:right="-568"/>
            </w:pPr>
            <w:r>
              <w:t>– </w:t>
            </w:r>
            <w:r w:rsidR="00AE6F0F">
              <w:t xml:space="preserve">Kungl. </w:t>
            </w:r>
            <w:r w:rsidR="00AE6F0F" w:rsidRPr="00AE6F0F">
              <w:t xml:space="preserve">Krigsvetenskapsakademiens yttrande över utredningen </w:t>
            </w:r>
            <w:r w:rsidR="00B46FAA">
              <w:t>En ny myndighet för att stärka det psykologiska försvaret</w:t>
            </w:r>
            <w:r w:rsidR="00AE6F0F">
              <w:t xml:space="preserve"> (</w:t>
            </w:r>
            <w:r w:rsidR="00B46FAA">
              <w:t>SOU 2020:29</w:t>
            </w:r>
            <w:r w:rsidR="00AE6F0F">
              <w:t>).</w:t>
            </w:r>
          </w:p>
          <w:p w:rsidR="00D33055" w:rsidRDefault="00D33055" w:rsidP="00626DAB">
            <w:pPr>
              <w:tabs>
                <w:tab w:val="left" w:pos="142"/>
                <w:tab w:val="left" w:pos="7655"/>
              </w:tabs>
              <w:ind w:right="-568"/>
              <w:rPr>
                <w:sz w:val="26"/>
              </w:rPr>
            </w:pPr>
          </w:p>
          <w:p w:rsidR="00D33055" w:rsidRPr="00812C26" w:rsidRDefault="00D33055" w:rsidP="00626DAB">
            <w:pPr>
              <w:tabs>
                <w:tab w:val="left" w:pos="142"/>
                <w:tab w:val="left" w:pos="7655"/>
              </w:tabs>
              <w:ind w:right="-568"/>
              <w:rPr>
                <w:sz w:val="26"/>
              </w:rPr>
            </w:pPr>
          </w:p>
        </w:tc>
        <w:tc>
          <w:tcPr>
            <w:tcW w:w="1414" w:type="dxa"/>
          </w:tcPr>
          <w:p w:rsidR="00193A27" w:rsidRDefault="00193A27" w:rsidP="00626DAB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3F85"/>
    <w:rsid w:val="00026856"/>
    <w:rsid w:val="00026E2C"/>
    <w:rsid w:val="0003292B"/>
    <w:rsid w:val="000608A9"/>
    <w:rsid w:val="00067079"/>
    <w:rsid w:val="00071C7D"/>
    <w:rsid w:val="00072240"/>
    <w:rsid w:val="00073768"/>
    <w:rsid w:val="00076989"/>
    <w:rsid w:val="000910E0"/>
    <w:rsid w:val="00091E24"/>
    <w:rsid w:val="0009467D"/>
    <w:rsid w:val="00097DF0"/>
    <w:rsid w:val="000A2204"/>
    <w:rsid w:val="000A7F76"/>
    <w:rsid w:val="000B1C27"/>
    <w:rsid w:val="000B5D40"/>
    <w:rsid w:val="000C0C72"/>
    <w:rsid w:val="000C5953"/>
    <w:rsid w:val="000C5F26"/>
    <w:rsid w:val="000D534A"/>
    <w:rsid w:val="000E32F4"/>
    <w:rsid w:val="000E5FA0"/>
    <w:rsid w:val="000F3EEE"/>
    <w:rsid w:val="00104219"/>
    <w:rsid w:val="00104F47"/>
    <w:rsid w:val="00117E5E"/>
    <w:rsid w:val="00126727"/>
    <w:rsid w:val="00127778"/>
    <w:rsid w:val="001311E6"/>
    <w:rsid w:val="00135412"/>
    <w:rsid w:val="00142F92"/>
    <w:rsid w:val="00143656"/>
    <w:rsid w:val="00143989"/>
    <w:rsid w:val="001513F6"/>
    <w:rsid w:val="001556B4"/>
    <w:rsid w:val="001671DE"/>
    <w:rsid w:val="00167C9B"/>
    <w:rsid w:val="001704A3"/>
    <w:rsid w:val="001705EA"/>
    <w:rsid w:val="00172490"/>
    <w:rsid w:val="0018329C"/>
    <w:rsid w:val="0018527E"/>
    <w:rsid w:val="00185D74"/>
    <w:rsid w:val="00186651"/>
    <w:rsid w:val="0019035F"/>
    <w:rsid w:val="00193A27"/>
    <w:rsid w:val="001A287E"/>
    <w:rsid w:val="001A6C9E"/>
    <w:rsid w:val="001B3100"/>
    <w:rsid w:val="001C42EB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462FF"/>
    <w:rsid w:val="00246979"/>
    <w:rsid w:val="00252785"/>
    <w:rsid w:val="002541D6"/>
    <w:rsid w:val="00256A0A"/>
    <w:rsid w:val="00257C71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2F47DA"/>
    <w:rsid w:val="00303AD3"/>
    <w:rsid w:val="00303E1D"/>
    <w:rsid w:val="00306C08"/>
    <w:rsid w:val="0032410D"/>
    <w:rsid w:val="00324B17"/>
    <w:rsid w:val="0032650A"/>
    <w:rsid w:val="00330C61"/>
    <w:rsid w:val="00335FB0"/>
    <w:rsid w:val="003372A6"/>
    <w:rsid w:val="003414DD"/>
    <w:rsid w:val="00346A87"/>
    <w:rsid w:val="003517E1"/>
    <w:rsid w:val="00351B1B"/>
    <w:rsid w:val="00356603"/>
    <w:rsid w:val="00360AE7"/>
    <w:rsid w:val="00360B84"/>
    <w:rsid w:val="00361E18"/>
    <w:rsid w:val="003644AB"/>
    <w:rsid w:val="0037046A"/>
    <w:rsid w:val="00380AD7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14D"/>
    <w:rsid w:val="003D5808"/>
    <w:rsid w:val="003D5E50"/>
    <w:rsid w:val="003E14A1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07B3"/>
    <w:rsid w:val="004619DA"/>
    <w:rsid w:val="004674B5"/>
    <w:rsid w:val="00477247"/>
    <w:rsid w:val="004817C8"/>
    <w:rsid w:val="004875DF"/>
    <w:rsid w:val="00490FAA"/>
    <w:rsid w:val="00491942"/>
    <w:rsid w:val="00493D3B"/>
    <w:rsid w:val="00496C6E"/>
    <w:rsid w:val="004A3DC9"/>
    <w:rsid w:val="004A5209"/>
    <w:rsid w:val="004A6D41"/>
    <w:rsid w:val="004C4C01"/>
    <w:rsid w:val="004D0D13"/>
    <w:rsid w:val="004E024A"/>
    <w:rsid w:val="004E4521"/>
    <w:rsid w:val="004F074D"/>
    <w:rsid w:val="00500589"/>
    <w:rsid w:val="00501D18"/>
    <w:rsid w:val="0051046B"/>
    <w:rsid w:val="0051064B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5F90"/>
    <w:rsid w:val="0057648C"/>
    <w:rsid w:val="00576AFA"/>
    <w:rsid w:val="005922A2"/>
    <w:rsid w:val="005A0AE5"/>
    <w:rsid w:val="005A0E08"/>
    <w:rsid w:val="005A4EAC"/>
    <w:rsid w:val="005A63E8"/>
    <w:rsid w:val="005A6983"/>
    <w:rsid w:val="005B1B54"/>
    <w:rsid w:val="005B5989"/>
    <w:rsid w:val="005C1312"/>
    <w:rsid w:val="005C4BFE"/>
    <w:rsid w:val="005C5BD1"/>
    <w:rsid w:val="005D0198"/>
    <w:rsid w:val="005E36F0"/>
    <w:rsid w:val="005E4AF1"/>
    <w:rsid w:val="005E5848"/>
    <w:rsid w:val="005E7223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70208"/>
    <w:rsid w:val="0067707A"/>
    <w:rsid w:val="00680665"/>
    <w:rsid w:val="00680863"/>
    <w:rsid w:val="00685AE2"/>
    <w:rsid w:val="00690989"/>
    <w:rsid w:val="00694D4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6F2960"/>
    <w:rsid w:val="00701A95"/>
    <w:rsid w:val="00707F79"/>
    <w:rsid w:val="00711344"/>
    <w:rsid w:val="00712C23"/>
    <w:rsid w:val="007137FE"/>
    <w:rsid w:val="007157A3"/>
    <w:rsid w:val="007164AD"/>
    <w:rsid w:val="007310C8"/>
    <w:rsid w:val="007321A1"/>
    <w:rsid w:val="00736A01"/>
    <w:rsid w:val="00740F7D"/>
    <w:rsid w:val="00766B40"/>
    <w:rsid w:val="0076736F"/>
    <w:rsid w:val="00773529"/>
    <w:rsid w:val="00775DBD"/>
    <w:rsid w:val="00776CA2"/>
    <w:rsid w:val="00777649"/>
    <w:rsid w:val="00777E55"/>
    <w:rsid w:val="007801D9"/>
    <w:rsid w:val="00782C22"/>
    <w:rsid w:val="00784ADD"/>
    <w:rsid w:val="00786FC6"/>
    <w:rsid w:val="00790151"/>
    <w:rsid w:val="00797EA0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3E40"/>
    <w:rsid w:val="007E5066"/>
    <w:rsid w:val="007E738E"/>
    <w:rsid w:val="007F73E1"/>
    <w:rsid w:val="007F79EB"/>
    <w:rsid w:val="00800695"/>
    <w:rsid w:val="00812C26"/>
    <w:rsid w:val="008156B0"/>
    <w:rsid w:val="0081707C"/>
    <w:rsid w:val="0082145D"/>
    <w:rsid w:val="0082193D"/>
    <w:rsid w:val="00823C8C"/>
    <w:rsid w:val="00827383"/>
    <w:rsid w:val="00830DD3"/>
    <w:rsid w:val="00832BA8"/>
    <w:rsid w:val="00834BDA"/>
    <w:rsid w:val="00837359"/>
    <w:rsid w:val="008402FA"/>
    <w:rsid w:val="00841B9D"/>
    <w:rsid w:val="00850186"/>
    <w:rsid w:val="00870B72"/>
    <w:rsid w:val="00872753"/>
    <w:rsid w:val="00875313"/>
    <w:rsid w:val="00886BA6"/>
    <w:rsid w:val="008918F7"/>
    <w:rsid w:val="008A3BDF"/>
    <w:rsid w:val="008B4A0D"/>
    <w:rsid w:val="008B7243"/>
    <w:rsid w:val="008C35C4"/>
    <w:rsid w:val="008D42F8"/>
    <w:rsid w:val="008E3B0B"/>
    <w:rsid w:val="008F1325"/>
    <w:rsid w:val="008F230D"/>
    <w:rsid w:val="008F6C98"/>
    <w:rsid w:val="008F7983"/>
    <w:rsid w:val="00914B68"/>
    <w:rsid w:val="009171C9"/>
    <w:rsid w:val="0091720E"/>
    <w:rsid w:val="00923EFE"/>
    <w:rsid w:val="0093146E"/>
    <w:rsid w:val="0093438D"/>
    <w:rsid w:val="00941E5A"/>
    <w:rsid w:val="0094358D"/>
    <w:rsid w:val="0094546D"/>
    <w:rsid w:val="00947CA6"/>
    <w:rsid w:val="009557BF"/>
    <w:rsid w:val="00956401"/>
    <w:rsid w:val="00960E59"/>
    <w:rsid w:val="00967F02"/>
    <w:rsid w:val="00971573"/>
    <w:rsid w:val="00972777"/>
    <w:rsid w:val="00982EFA"/>
    <w:rsid w:val="00985715"/>
    <w:rsid w:val="0099269D"/>
    <w:rsid w:val="00997F94"/>
    <w:rsid w:val="009A1313"/>
    <w:rsid w:val="009A4235"/>
    <w:rsid w:val="009A5109"/>
    <w:rsid w:val="009B6EF1"/>
    <w:rsid w:val="009C081B"/>
    <w:rsid w:val="009C32DB"/>
    <w:rsid w:val="009D5E29"/>
    <w:rsid w:val="009E1FCA"/>
    <w:rsid w:val="009F24C9"/>
    <w:rsid w:val="009F4392"/>
    <w:rsid w:val="00A01B55"/>
    <w:rsid w:val="00A03D80"/>
    <w:rsid w:val="00A2367D"/>
    <w:rsid w:val="00A360D0"/>
    <w:rsid w:val="00A370F4"/>
    <w:rsid w:val="00A379B3"/>
    <w:rsid w:val="00A47654"/>
    <w:rsid w:val="00A51827"/>
    <w:rsid w:val="00A6479D"/>
    <w:rsid w:val="00A65178"/>
    <w:rsid w:val="00A6679C"/>
    <w:rsid w:val="00A66B33"/>
    <w:rsid w:val="00A84772"/>
    <w:rsid w:val="00A956F9"/>
    <w:rsid w:val="00AA48EF"/>
    <w:rsid w:val="00AB2E46"/>
    <w:rsid w:val="00AB3B80"/>
    <w:rsid w:val="00AB4897"/>
    <w:rsid w:val="00AB5776"/>
    <w:rsid w:val="00AC6E3E"/>
    <w:rsid w:val="00AD44A0"/>
    <w:rsid w:val="00AE6F0F"/>
    <w:rsid w:val="00AF0582"/>
    <w:rsid w:val="00AF4D2B"/>
    <w:rsid w:val="00AF62C3"/>
    <w:rsid w:val="00B1180C"/>
    <w:rsid w:val="00B1265F"/>
    <w:rsid w:val="00B14451"/>
    <w:rsid w:val="00B24B45"/>
    <w:rsid w:val="00B2693D"/>
    <w:rsid w:val="00B363BE"/>
    <w:rsid w:val="00B37F84"/>
    <w:rsid w:val="00B40576"/>
    <w:rsid w:val="00B46080"/>
    <w:rsid w:val="00B46FAA"/>
    <w:rsid w:val="00B529AF"/>
    <w:rsid w:val="00B53C4B"/>
    <w:rsid w:val="00B6136A"/>
    <w:rsid w:val="00B65A7B"/>
    <w:rsid w:val="00B734EF"/>
    <w:rsid w:val="00B8229D"/>
    <w:rsid w:val="00B925A7"/>
    <w:rsid w:val="00B926A7"/>
    <w:rsid w:val="00BA0953"/>
    <w:rsid w:val="00BA1DB7"/>
    <w:rsid w:val="00BA404C"/>
    <w:rsid w:val="00BB3664"/>
    <w:rsid w:val="00BB4C2C"/>
    <w:rsid w:val="00BB4FC6"/>
    <w:rsid w:val="00BD13C7"/>
    <w:rsid w:val="00BE0D6F"/>
    <w:rsid w:val="00BF1E92"/>
    <w:rsid w:val="00BF67D4"/>
    <w:rsid w:val="00C04265"/>
    <w:rsid w:val="00C1169B"/>
    <w:rsid w:val="00C21DC4"/>
    <w:rsid w:val="00C318F6"/>
    <w:rsid w:val="00C363EF"/>
    <w:rsid w:val="00C40B3A"/>
    <w:rsid w:val="00C47F4E"/>
    <w:rsid w:val="00C50DBD"/>
    <w:rsid w:val="00C53684"/>
    <w:rsid w:val="00C616C4"/>
    <w:rsid w:val="00C617C6"/>
    <w:rsid w:val="00C6692B"/>
    <w:rsid w:val="00C66AC4"/>
    <w:rsid w:val="00C754B1"/>
    <w:rsid w:val="00C75984"/>
    <w:rsid w:val="00C76BCC"/>
    <w:rsid w:val="00C77DBB"/>
    <w:rsid w:val="00C866DE"/>
    <w:rsid w:val="00C87373"/>
    <w:rsid w:val="00C93715"/>
    <w:rsid w:val="00C95EC2"/>
    <w:rsid w:val="00CA1447"/>
    <w:rsid w:val="00CA5EEE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306DA"/>
    <w:rsid w:val="00D33055"/>
    <w:rsid w:val="00D4759F"/>
    <w:rsid w:val="00D501E0"/>
    <w:rsid w:val="00D5227B"/>
    <w:rsid w:val="00D536C1"/>
    <w:rsid w:val="00D63878"/>
    <w:rsid w:val="00D6600B"/>
    <w:rsid w:val="00D6626C"/>
    <w:rsid w:val="00D67D14"/>
    <w:rsid w:val="00D7062C"/>
    <w:rsid w:val="00D7234D"/>
    <w:rsid w:val="00D73858"/>
    <w:rsid w:val="00D74D98"/>
    <w:rsid w:val="00D81F84"/>
    <w:rsid w:val="00D823E0"/>
    <w:rsid w:val="00D91ED0"/>
    <w:rsid w:val="00D9325F"/>
    <w:rsid w:val="00DA2684"/>
    <w:rsid w:val="00DB256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16F87"/>
    <w:rsid w:val="00E23AB7"/>
    <w:rsid w:val="00E3199B"/>
    <w:rsid w:val="00E45BEC"/>
    <w:rsid w:val="00E515F2"/>
    <w:rsid w:val="00E64C33"/>
    <w:rsid w:val="00E71156"/>
    <w:rsid w:val="00E71C93"/>
    <w:rsid w:val="00E72970"/>
    <w:rsid w:val="00E8015E"/>
    <w:rsid w:val="00E810DC"/>
    <w:rsid w:val="00E82C72"/>
    <w:rsid w:val="00E8337D"/>
    <w:rsid w:val="00E91A95"/>
    <w:rsid w:val="00EC418A"/>
    <w:rsid w:val="00ED43D3"/>
    <w:rsid w:val="00EF6E47"/>
    <w:rsid w:val="00F04C79"/>
    <w:rsid w:val="00F12574"/>
    <w:rsid w:val="00F13FE9"/>
    <w:rsid w:val="00F23954"/>
    <w:rsid w:val="00F26556"/>
    <w:rsid w:val="00F33EF9"/>
    <w:rsid w:val="00F361DE"/>
    <w:rsid w:val="00F408B8"/>
    <w:rsid w:val="00F44F18"/>
    <w:rsid w:val="00F454CA"/>
    <w:rsid w:val="00F46184"/>
    <w:rsid w:val="00F54066"/>
    <w:rsid w:val="00F61602"/>
    <w:rsid w:val="00F72877"/>
    <w:rsid w:val="00F8533C"/>
    <w:rsid w:val="00FA12EF"/>
    <w:rsid w:val="00FA543D"/>
    <w:rsid w:val="00FB01C0"/>
    <w:rsid w:val="00FC04E6"/>
    <w:rsid w:val="00FD18CB"/>
    <w:rsid w:val="00FD776B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6CE49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546</Words>
  <Characters>4057</Characters>
  <Application>Microsoft Office Word</Application>
  <DocSecurity>0</DocSecurity>
  <Lines>1352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44</cp:revision>
  <cp:lastPrinted>2020-10-22T10:29:00Z</cp:lastPrinted>
  <dcterms:created xsi:type="dcterms:W3CDTF">2020-09-30T13:23:00Z</dcterms:created>
  <dcterms:modified xsi:type="dcterms:W3CDTF">2021-06-16T10:07:00Z</dcterms:modified>
</cp:coreProperties>
</file>