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00B55">
        <w:tblPrEx>
          <w:tblCellMar>
            <w:top w:w="0" w:type="dxa"/>
            <w:left w:w="0" w:type="dxa"/>
            <w:bottom w:w="0" w:type="dxa"/>
            <w:right w:w="0" w:type="dxa"/>
          </w:tblCellMar>
        </w:tblPrEx>
        <w:trPr>
          <w:gridAfter w:val="2"/>
          <w:wAfter w:w="1758" w:type="dxa"/>
          <w:cantSplit/>
          <w:trHeight w:val="1320"/>
        </w:trPr>
        <w:tc>
          <w:tcPr>
            <w:tcW w:w="5897" w:type="dxa"/>
          </w:tcPr>
          <w:p w:rsidR="0018620E" w:rsidRPr="00800B55" w:rsidRDefault="0018620E">
            <w:pPr>
              <w:pStyle w:val="HuvudRubrik"/>
            </w:pPr>
            <w:r w:rsidRPr="00800B55">
              <w:t>Regeringskansliet</w:t>
            </w:r>
          </w:p>
          <w:p w:rsidR="0018620E" w:rsidRPr="00800B55" w:rsidRDefault="0018620E">
            <w:pPr>
              <w:pStyle w:val="HuvudRubrik"/>
            </w:pPr>
            <w:r w:rsidRPr="00800B55">
              <w:t>Faktapromemoria  2007/08:FPM76</w:t>
            </w:r>
          </w:p>
        </w:tc>
      </w:tr>
      <w:tr w:rsidR="00000000" w:rsidRPr="00800B55">
        <w:tblPrEx>
          <w:tblCellMar>
            <w:top w:w="0" w:type="dxa"/>
            <w:left w:w="0" w:type="dxa"/>
            <w:bottom w:w="0" w:type="dxa"/>
            <w:right w:w="0" w:type="dxa"/>
          </w:tblCellMar>
        </w:tblPrEx>
        <w:trPr>
          <w:gridAfter w:val="2"/>
          <w:wAfter w:w="1758" w:type="dxa"/>
          <w:cantSplit/>
          <w:trHeight w:val="240"/>
        </w:trPr>
        <w:tc>
          <w:tcPr>
            <w:tcW w:w="5897" w:type="dxa"/>
          </w:tcPr>
          <w:p w:rsidR="0018620E" w:rsidRPr="00800B55" w:rsidRDefault="0018620E">
            <w:pPr>
              <w:pStyle w:val="HuvudRubrik"/>
              <w:rPr>
                <w:sz w:val="28"/>
              </w:rPr>
            </w:pPr>
            <w:r w:rsidRPr="00800B55">
              <w:t>Framtiden för allmän- och affärsflyget</w:t>
            </w:r>
          </w:p>
        </w:tc>
      </w:tr>
      <w:tr w:rsidR="00000000" w:rsidRPr="00800B55">
        <w:tblPrEx>
          <w:tblCellMar>
            <w:top w:w="0" w:type="dxa"/>
            <w:left w:w="0" w:type="dxa"/>
            <w:bottom w:w="0" w:type="dxa"/>
            <w:right w:w="0" w:type="dxa"/>
          </w:tblCellMar>
        </w:tblPrEx>
        <w:trPr>
          <w:cantSplit/>
          <w:trHeight w:val="285"/>
        </w:trPr>
        <w:tc>
          <w:tcPr>
            <w:tcW w:w="7655" w:type="dxa"/>
            <w:gridSpan w:val="3"/>
          </w:tcPr>
          <w:p w:rsidR="0018620E" w:rsidRPr="00800B55" w:rsidRDefault="0018620E">
            <w:pPr>
              <w:pStyle w:val="Departement"/>
              <w:rPr>
                <w:sz w:val="28"/>
              </w:rPr>
            </w:pPr>
            <w:r w:rsidRPr="00800B55">
              <w:t>Näringsdepartementet</w:t>
            </w:r>
          </w:p>
        </w:tc>
      </w:tr>
      <w:tr w:rsidR="00000000" w:rsidRPr="00800B55">
        <w:tblPrEx>
          <w:tblCellMar>
            <w:top w:w="0" w:type="dxa"/>
            <w:left w:w="0" w:type="dxa"/>
            <w:bottom w:w="0" w:type="dxa"/>
            <w:right w:w="0" w:type="dxa"/>
          </w:tblCellMar>
        </w:tblPrEx>
        <w:trPr>
          <w:cantSplit/>
          <w:trHeight w:val="240"/>
        </w:trPr>
        <w:tc>
          <w:tcPr>
            <w:tcW w:w="7655" w:type="dxa"/>
            <w:gridSpan w:val="3"/>
          </w:tcPr>
          <w:p w:rsidR="0018620E" w:rsidRPr="00800B55" w:rsidRDefault="0018620E">
            <w:pPr>
              <w:pStyle w:val="Dokumentdatum"/>
            </w:pPr>
            <w:r w:rsidRPr="00800B55">
              <w:t>2008-02-26</w:t>
            </w:r>
          </w:p>
        </w:tc>
      </w:tr>
      <w:tr w:rsidR="00000000" w:rsidRPr="00800B55">
        <w:tblPrEx>
          <w:tblCellMar>
            <w:top w:w="0" w:type="dxa"/>
            <w:left w:w="0" w:type="dxa"/>
            <w:bottom w:w="0" w:type="dxa"/>
            <w:right w:w="0" w:type="dxa"/>
          </w:tblCellMar>
        </w:tblPrEx>
        <w:trPr>
          <w:cantSplit/>
          <w:trHeight w:val="726"/>
        </w:trPr>
        <w:tc>
          <w:tcPr>
            <w:tcW w:w="7655" w:type="dxa"/>
            <w:gridSpan w:val="3"/>
            <w:vAlign w:val="bottom"/>
          </w:tcPr>
          <w:p w:rsidR="0018620E" w:rsidRPr="00800B55" w:rsidRDefault="0018620E">
            <w:pPr>
              <w:pStyle w:val="Dokumentbeteckning"/>
            </w:pPr>
            <w:r w:rsidRPr="00800B55">
              <w:t>Dokumentbeteckning</w:t>
            </w:r>
          </w:p>
        </w:tc>
      </w:tr>
      <w:tr w:rsidR="00000000" w:rsidRPr="00800B55">
        <w:tblPrEx>
          <w:tblCellMar>
            <w:top w:w="0" w:type="dxa"/>
            <w:left w:w="0" w:type="dxa"/>
            <w:bottom w:w="0" w:type="dxa"/>
            <w:right w:w="0" w:type="dxa"/>
          </w:tblCellMar>
        </w:tblPrEx>
        <w:trPr>
          <w:gridAfter w:val="1"/>
          <w:wAfter w:w="1560" w:type="dxa"/>
          <w:trHeight w:val="120"/>
        </w:trPr>
        <w:tc>
          <w:tcPr>
            <w:tcW w:w="6095" w:type="dxa"/>
            <w:gridSpan w:val="2"/>
          </w:tcPr>
          <w:p w:rsidR="0018620E" w:rsidRPr="00800B55" w:rsidRDefault="0018620E">
            <w:bookmarkStart w:id="0" w:name="KomNr"/>
            <w:bookmarkEnd w:id="0"/>
            <w:r w:rsidRPr="00800B55">
              <w:t>KOM(2007) 869</w:t>
            </w:r>
          </w:p>
        </w:tc>
      </w:tr>
      <w:tr w:rsidR="00000000" w:rsidRPr="00800B55">
        <w:tblPrEx>
          <w:tblCellMar>
            <w:top w:w="0" w:type="dxa"/>
            <w:left w:w="0" w:type="dxa"/>
            <w:bottom w:w="0" w:type="dxa"/>
            <w:right w:w="0" w:type="dxa"/>
          </w:tblCellMar>
        </w:tblPrEx>
        <w:trPr>
          <w:gridAfter w:val="1"/>
          <w:wAfter w:w="1560" w:type="dxa"/>
          <w:trHeight w:val="120"/>
        </w:trPr>
        <w:tc>
          <w:tcPr>
            <w:tcW w:w="6095" w:type="dxa"/>
            <w:gridSpan w:val="2"/>
          </w:tcPr>
          <w:p w:rsidR="0018620E" w:rsidRPr="00800B55" w:rsidRDefault="0018620E">
            <w:pPr>
              <w:pStyle w:val="Dokumentbeteckning-titel"/>
            </w:pPr>
            <w:r w:rsidRPr="00800B55">
              <w:t>Meddelande från kommissionen - En dagordning för en hållbar framtid för allmän- och affärsflyget</w:t>
            </w:r>
          </w:p>
        </w:tc>
      </w:tr>
    </w:tbl>
    <w:p w:rsidR="0018620E" w:rsidRPr="00800B55" w:rsidRDefault="0018620E"/>
    <w:p w:rsidR="0018620E" w:rsidRPr="00800B55" w:rsidRDefault="0018620E">
      <w:pPr>
        <w:pStyle w:val="Rubrik1"/>
        <w:numPr>
          <w:ilvl w:val="0"/>
          <w:numId w:val="0"/>
        </w:numPr>
      </w:pPr>
      <w:r w:rsidRPr="00800B55">
        <w:t>Sammanfattning</w:t>
      </w:r>
    </w:p>
    <w:p w:rsidR="0018620E" w:rsidRPr="00800B55" w:rsidRDefault="0018620E">
      <w:r w:rsidRPr="00800B55">
        <w:t>I ett meddelande den 16 januari 2008 har kommissionen presenterat en dagordning för allmän- och affärsflygets framtid. Meddelandet lyfter fram betydelsen av allmänflyget för Europa och konstaterar bl.a. att det saknas data om detta flyg på gemenskapsnivå. Andra områden som särskilt skall beaktas är flygplats- och luftrumskapacitet, miljö och tredjelandsfrågor.</w:t>
      </w:r>
    </w:p>
    <w:p w:rsidR="0018620E" w:rsidRPr="00800B55" w:rsidRDefault="0018620E">
      <w:r w:rsidRPr="00800B55">
        <w:t xml:space="preserve">Regeringen välkomnar meddelandet och anser att det är bra att allmänflygets situation analyseras närmare.  </w:t>
      </w:r>
    </w:p>
    <w:p w:rsidR="0018620E" w:rsidRPr="00800B55" w:rsidRDefault="0018620E">
      <w:pPr>
        <w:pStyle w:val="Rubrik1"/>
      </w:pPr>
      <w:r w:rsidRPr="00800B55">
        <w:t>Förslaget</w:t>
      </w:r>
    </w:p>
    <w:p w:rsidR="0018620E" w:rsidRPr="00800B55" w:rsidRDefault="0018620E">
      <w:pPr>
        <w:pStyle w:val="Rubrik2"/>
      </w:pPr>
      <w:r w:rsidRPr="00800B55">
        <w:t>Ärendets bakgrund</w:t>
      </w:r>
    </w:p>
    <w:p w:rsidR="0018620E" w:rsidRPr="00800B55" w:rsidRDefault="0018620E">
      <w:r w:rsidRPr="00800B55">
        <w:t>Tills helt nyligen var det enligt kommissionen inte nödvändigt att behandla allmän- och affärsflygets särskilda egenskaper på gemenskapsnivå. Genom bl.a. gemenskapens utvidgade befogenheter när det gäller flygsäkerhet och luftfartsskydd, uppgraderingen av det gemensamma europeiska luftrummet och utvecklingen av det nya flygledningssystemet i Europa (SESAR), den förväntade kapacitetskrisen och oron i miljöfrågan, har EU:s verksamhet en allt större betydelse även för den här sektorn.</w:t>
      </w:r>
    </w:p>
    <w:p w:rsidR="0018620E" w:rsidRPr="00800B55" w:rsidRDefault="0018620E">
      <w:pPr>
        <w:pStyle w:val="Rubrik2"/>
      </w:pPr>
      <w:r w:rsidRPr="00800B55">
        <w:t>Förslagets innehåll</w:t>
      </w:r>
    </w:p>
    <w:p w:rsidR="0018620E" w:rsidRPr="00800B55" w:rsidRDefault="0018620E">
      <w:r w:rsidRPr="00800B55">
        <w:t xml:space="preserve">Inom allmän- och affärsflyget i Europa används idag uppemot 50 000 motordrivna luftfartyg, vilket kan jämföras med ca 5 000 luftfartyg i de europeiska </w:t>
      </w:r>
      <w:r w:rsidRPr="00800B55">
        <w:lastRenderedPageBreak/>
        <w:t xml:space="preserve">trafikflygbolagens flotta. Allmän- och affärsflyget stod för ca 9 % av alla flygningar som Eurocontrol registrerade 2006. Antalet flygningar ökar snabbt. </w:t>
      </w:r>
    </w:p>
    <w:p w:rsidR="0018620E" w:rsidRPr="00800B55" w:rsidRDefault="0018620E">
      <w:r w:rsidRPr="00800B55">
        <w:t>Allmän- och affärsflyget tillhandahåller skräddarsydd, flexibel dörr-till-dörr-transport för enskilda och företag, vilket ökar människors rörlighet, företags produktivitet och den regionala sammanhållningen. Europeiska företag som utför bruksflyg tillhandahåller specialiserade tjänster av högt värde både i gemenskapen och tredje länder. Det handlar om all</w:t>
      </w:r>
      <w:r w:rsidRPr="00800B55">
        <w:t>t från utformning av kartor, offshoretjänster och byggnadsarbeten, kontroll och skydd av ledningar, jordbruksflyg och miljöövervakning till väderforskning, brandsläckning, TV-sändning, trafikövervakning m.m.</w:t>
      </w:r>
    </w:p>
    <w:p w:rsidR="0018620E" w:rsidRPr="00800B55" w:rsidRDefault="0018620E">
      <w:r w:rsidRPr="00800B55">
        <w:t>Det saknas f.n. fullständiga uppgifter för att beskriva allmän- och affärsflyget i Europa eftersom sådana uppgifter inte samlas in på ett systematiskt sätt. Det finns heller ingen heltäckande statistik när det gäller flygsäkerhet för de mindre flygplanen. Mot denna bakgrund har kommissionen bett Europei</w:t>
      </w:r>
      <w:r w:rsidRPr="00800B55">
        <w:t>ska civila luftfartskonferensen (ECAC) att genomföra en studie och bl.a. föreslå hur statistikunderlaget bäst bör samlas in.</w:t>
      </w:r>
    </w:p>
    <w:p w:rsidR="0018620E" w:rsidRPr="00800B55" w:rsidRDefault="0018620E">
      <w:r w:rsidRPr="00800B55">
        <w:t xml:space="preserve">Definitionerna av </w:t>
      </w:r>
      <w:r w:rsidRPr="00800B55">
        <w:rPr>
          <w:i/>
        </w:rPr>
        <w:t>statsluftfartyg, civila luftfartyg</w:t>
      </w:r>
      <w:r w:rsidRPr="00800B55">
        <w:t xml:space="preserve"> och </w:t>
      </w:r>
      <w:r w:rsidRPr="00800B55">
        <w:rPr>
          <w:i/>
        </w:rPr>
        <w:t xml:space="preserve">kommersiell lufttransport </w:t>
      </w:r>
      <w:r w:rsidRPr="00800B55">
        <w:t>bör förtydligas eftersom det finns betydande skillnader i de rättsordningar som gäller för civila resp. statsluftfartyg.</w:t>
      </w:r>
    </w:p>
    <w:p w:rsidR="0018620E" w:rsidRPr="00800B55" w:rsidRDefault="0018620E">
      <w:r w:rsidRPr="00800B55">
        <w:t>Det allt vanligare systemet med delat ägande av luftfartyg (fractional ownership) bör analyseras närmare, bl.a. med avseende på fördelningen av säkerhetsansvaret.</w:t>
      </w:r>
    </w:p>
    <w:p w:rsidR="0018620E" w:rsidRPr="00800B55" w:rsidRDefault="0018620E">
      <w:r w:rsidRPr="00800B55">
        <w:t>Enligt kommissionen kräver allmän- och affärsflygets art och karaktär en korrekt tillämpning av proportionalitets- och subsidiaritetsprinciperna. Kommissionen kommer att se till att dessa principer respekteras. Frågan om försäkringskraven för allmänflyget studeras f.n. av kommissionen och en rapport kommer inom kort.</w:t>
      </w:r>
    </w:p>
    <w:p w:rsidR="0018620E" w:rsidRPr="00800B55" w:rsidRDefault="0018620E">
      <w:r w:rsidRPr="00800B55">
        <w:t>Bristande flygplats- och luftrumskapacitet kan vara ett särskilt problem för allmänflyget. Kommissionens handlingsplan för kapacitet, effektivitet och säkerhet på Europas flygplatser (KOM(2006)819) utgör en plattform för vidare åtgärder och allmänflygets särskilda intressen kommer att beaktas. De åtgärder som vidtas inom ramen för det gemensamma europeiska luftrummet och projektet Sesar kan förväntas leda till förbättringar även för allmän- och affärsflyget.</w:t>
      </w:r>
    </w:p>
    <w:p w:rsidR="0018620E" w:rsidRPr="00800B55" w:rsidRDefault="0018620E">
      <w:r w:rsidRPr="00800B55">
        <w:t>Även allmän- och affärsflyget påverkar miljön i form av buller och gasformiga utsläpp och måste bidra till att minska denna påverkan. Bullerrelaterade driftsbegränsningar för mindre flygplatser bör dock hanteras av nationella eller lokala myndigheter, i enlighet med subsidiaritetsprincipen. Bränsle till privat nöjesflyg är redan skattepliktigt. Kommissionen undersöker möjligheten att använda alternativa, mer miljövänliga eller förnybara bränslen inom luftfarten. En differentierad energibeskattning kan bidr</w:t>
      </w:r>
      <w:r w:rsidRPr="00800B55">
        <w:t>a till att främja användningen av bränsle med högre kvalitet, t.ex. blyfri bensin, även inom luftfarten.</w:t>
      </w:r>
    </w:p>
    <w:p w:rsidR="0018620E" w:rsidRPr="00800B55" w:rsidRDefault="0018620E">
      <w:r w:rsidRPr="00800B55">
        <w:t>Kommissionen kommer noga att bevaka utvecklingen inom allmän- och affärsflyget och kommer särskilt att inrikta sig på att</w:t>
      </w:r>
    </w:p>
    <w:p w:rsidR="0018620E" w:rsidRPr="00800B55" w:rsidRDefault="0018620E">
      <w:r w:rsidRPr="00800B55">
        <w:t>ta fram uppgifter om allmän- och affärsflyget</w:t>
      </w:r>
    </w:p>
    <w:p w:rsidR="0018620E" w:rsidRPr="00800B55" w:rsidRDefault="0018620E">
      <w:r w:rsidRPr="00800B55">
        <w:t>övervaka att proportionalitets- och subsidiaritetsprinciperna tillämpas korrekt</w:t>
      </w:r>
    </w:p>
    <w:p w:rsidR="0018620E" w:rsidRPr="00800B55" w:rsidRDefault="0018620E">
      <w:r w:rsidRPr="00800B55">
        <w:t>beakta alla luftrums- och infrastrukturanvändares behov vid kapacitetsplanering</w:t>
      </w:r>
    </w:p>
    <w:p w:rsidR="0018620E" w:rsidRPr="00800B55" w:rsidRDefault="0018620E">
      <w:r w:rsidRPr="00800B55">
        <w:t>främja ny teknik så att den europeiska industrin kan behålla sina konkurrensfördelar</w:t>
      </w:r>
    </w:p>
    <w:p w:rsidR="0018620E" w:rsidRPr="00800B55" w:rsidRDefault="0018620E">
      <w:r w:rsidRPr="00800B55">
        <w:t>underlätta allmän- och affärsflygets tillträde till utländska marknader</w:t>
      </w:r>
    </w:p>
    <w:p w:rsidR="0018620E" w:rsidRPr="00800B55" w:rsidRDefault="0018620E">
      <w:r w:rsidRPr="00800B55">
        <w:t>säkerställa att allmän- och affärsflyget är miljömässigt hållbart</w:t>
      </w:r>
    </w:p>
    <w:p w:rsidR="0018620E" w:rsidRPr="00800B55" w:rsidRDefault="0018620E"/>
    <w:p w:rsidR="0018620E" w:rsidRPr="00800B55" w:rsidRDefault="0018620E">
      <w:pPr>
        <w:pStyle w:val="Rubrik2"/>
      </w:pPr>
      <w:r w:rsidRPr="00800B55">
        <w:t>Gällande svenska regler och förslagets effekt på dessa</w:t>
      </w:r>
    </w:p>
    <w:p w:rsidR="0018620E" w:rsidRPr="00800B55" w:rsidRDefault="0018620E">
      <w:r w:rsidRPr="00800B55">
        <w:t>Inte tillämpligt.</w:t>
      </w:r>
    </w:p>
    <w:p w:rsidR="0018620E" w:rsidRPr="00800B55" w:rsidRDefault="0018620E">
      <w:pPr>
        <w:pStyle w:val="Rubrik2"/>
      </w:pPr>
      <w:r w:rsidRPr="00800B55">
        <w:t>Budgetära konsekvenser / Konsekvensanalys</w:t>
      </w:r>
    </w:p>
    <w:p w:rsidR="0018620E" w:rsidRPr="00800B55" w:rsidRDefault="0018620E">
      <w:r w:rsidRPr="00800B55">
        <w:t>Inte tillämpligt.</w:t>
      </w:r>
    </w:p>
    <w:p w:rsidR="0018620E" w:rsidRPr="00800B55" w:rsidRDefault="0018620E">
      <w:pPr>
        <w:pStyle w:val="Rubrik1"/>
      </w:pPr>
      <w:r w:rsidRPr="00800B55">
        <w:t>Ståndpunkter</w:t>
      </w:r>
    </w:p>
    <w:p w:rsidR="0018620E" w:rsidRPr="00800B55" w:rsidRDefault="0018620E">
      <w:pPr>
        <w:pStyle w:val="Rubrik2"/>
      </w:pPr>
      <w:r w:rsidRPr="00800B55">
        <w:t>Preliminär svensk ståndpunkt</w:t>
      </w:r>
    </w:p>
    <w:p w:rsidR="0018620E" w:rsidRPr="00800B55" w:rsidRDefault="0018620E">
      <w:r w:rsidRPr="00800B55">
        <w:t>Regeringen välkomnar kommissionens initiativ till en genomlysning av villkoren och förutsättningarna för allmän- och affärsflyget i Europa och stöder den allmänna inriktningen i meddelandet.</w:t>
      </w:r>
    </w:p>
    <w:p w:rsidR="0018620E" w:rsidRPr="00800B55" w:rsidRDefault="0018620E">
      <w:pPr>
        <w:pStyle w:val="Rubrik2"/>
      </w:pPr>
      <w:r w:rsidRPr="00800B55">
        <w:t>Medlemsstaternas ståndpunkter</w:t>
      </w:r>
    </w:p>
    <w:p w:rsidR="0018620E" w:rsidRPr="00800B55" w:rsidRDefault="0018620E">
      <w:r w:rsidRPr="00800B55">
        <w:t>F.n. okända.</w:t>
      </w:r>
    </w:p>
    <w:p w:rsidR="0018620E" w:rsidRPr="00800B55" w:rsidRDefault="0018620E">
      <w:pPr>
        <w:pStyle w:val="Rubrik2"/>
      </w:pPr>
      <w:r w:rsidRPr="00800B55">
        <w:t>Institutionernas ståndpunkter</w:t>
      </w:r>
    </w:p>
    <w:p w:rsidR="0018620E" w:rsidRPr="00800B55" w:rsidRDefault="0018620E">
      <w:r w:rsidRPr="00800B55">
        <w:t>F.n. okända.</w:t>
      </w:r>
    </w:p>
    <w:p w:rsidR="0018620E" w:rsidRPr="00800B55" w:rsidRDefault="0018620E">
      <w:pPr>
        <w:pStyle w:val="Rubrik2"/>
      </w:pPr>
      <w:r w:rsidRPr="00800B55">
        <w:t>Remissinstansernas ståndpunkter</w:t>
      </w:r>
    </w:p>
    <w:p w:rsidR="0018620E" w:rsidRPr="00800B55" w:rsidRDefault="0018620E">
      <w:r w:rsidRPr="00800B55">
        <w:t>Remissbehandling pågår.</w:t>
      </w:r>
    </w:p>
    <w:p w:rsidR="0018620E" w:rsidRPr="00800B55" w:rsidRDefault="0018620E">
      <w:pPr>
        <w:pStyle w:val="Rubrik1"/>
      </w:pPr>
      <w:r w:rsidRPr="00800B55">
        <w:t>Förslagets förutsättningar</w:t>
      </w:r>
    </w:p>
    <w:p w:rsidR="0018620E" w:rsidRPr="00800B55" w:rsidRDefault="0018620E">
      <w:pPr>
        <w:pStyle w:val="Rubrik2"/>
      </w:pPr>
      <w:r w:rsidRPr="00800B55">
        <w:t>Rättslig grund och beslutsförfarande</w:t>
      </w:r>
    </w:p>
    <w:p w:rsidR="0018620E" w:rsidRPr="00800B55" w:rsidRDefault="0018620E">
      <w:r w:rsidRPr="00800B55">
        <w:t>Inte tillämpligt.</w:t>
      </w:r>
    </w:p>
    <w:p w:rsidR="0018620E" w:rsidRPr="00800B55" w:rsidRDefault="0018620E">
      <w:pPr>
        <w:pStyle w:val="Rubrik2"/>
      </w:pPr>
      <w:r w:rsidRPr="00800B55">
        <w:t>Subsidiaritets- och proportionalitetsprincipen</w:t>
      </w:r>
    </w:p>
    <w:p w:rsidR="0018620E" w:rsidRPr="00800B55" w:rsidRDefault="0018620E">
      <w:r w:rsidRPr="00800B55">
        <w:t>Inte tillämpligt.</w:t>
      </w:r>
    </w:p>
    <w:p w:rsidR="0018620E" w:rsidRPr="00800B55" w:rsidRDefault="0018620E">
      <w:pPr>
        <w:pStyle w:val="Rubrik1"/>
      </w:pPr>
      <w:r w:rsidRPr="00800B55">
        <w:t>Övrigt</w:t>
      </w:r>
    </w:p>
    <w:p w:rsidR="0018620E" w:rsidRPr="00800B55" w:rsidRDefault="0018620E">
      <w:pPr>
        <w:pStyle w:val="Rubrik2"/>
      </w:pPr>
      <w:r w:rsidRPr="00800B55">
        <w:t>Fortsatt behandling av ärendet</w:t>
      </w:r>
    </w:p>
    <w:p w:rsidR="0018620E" w:rsidRPr="00800B55" w:rsidRDefault="0018620E">
      <w:r w:rsidRPr="00800B55">
        <w:t>Enligt planerna ska rådet vid sitt möte i april 2008 anta rådsslutsatser som bygger på meddelandet.</w:t>
      </w:r>
    </w:p>
    <w:p w:rsidR="0018620E" w:rsidRPr="00800B55" w:rsidRDefault="0018620E">
      <w:pPr>
        <w:pStyle w:val="Rubrik2"/>
      </w:pPr>
      <w:r w:rsidRPr="00800B55">
        <w:t>Fackuttryck / termer</w:t>
      </w:r>
    </w:p>
    <w:p w:rsidR="0018620E" w:rsidRPr="00800B55" w:rsidRDefault="0018620E">
      <w:r w:rsidRPr="00800B55">
        <w:t>Allmän- och affärsflyg – all civil luftfart annan än kommersiell linjetransport samt civil luftfart som sker på begäran och mot ersättning, t.ex. specialiserat bruksflyg, flygutbildning, nöjesflyg, taxiflyg och företagsägda eller enskilt ägda flygplan avsedda för affärs- eller yrkesmässig användning.</w:t>
      </w:r>
    </w:p>
    <w:sectPr w:rsidR="0018620E" w:rsidRPr="00800B5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20E" w:rsidRPr="00800B55" w:rsidRDefault="0018620E">
      <w:r w:rsidRPr="00800B55">
        <w:separator/>
      </w:r>
    </w:p>
  </w:endnote>
  <w:endnote w:type="continuationSeparator" w:id="0">
    <w:p w:rsidR="0018620E" w:rsidRPr="00800B55" w:rsidRDefault="0018620E">
      <w:r w:rsidRPr="00800B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20E" w:rsidRPr="00800B55" w:rsidRDefault="0018620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20E" w:rsidRPr="00800B55" w:rsidRDefault="0018620E">
    <w:pPr>
      <w:pStyle w:val="SidfotH"/>
      <w:framePr w:wrap="around"/>
    </w:pPr>
    <w:r w:rsidRPr="00800B55">
      <w:t>2</w:t>
    </w:r>
  </w:p>
  <w:p w:rsidR="0018620E" w:rsidRPr="00800B55" w:rsidRDefault="0018620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20E" w:rsidRPr="00800B55" w:rsidRDefault="0018620E">
    <w:pPr>
      <w:pStyle w:val="SidfotH"/>
      <w:framePr w:wrap="around"/>
    </w:pPr>
    <w:r w:rsidRPr="00800B55">
      <w:t>1</w:t>
    </w:r>
  </w:p>
  <w:p w:rsidR="0018620E" w:rsidRPr="00800B55" w:rsidRDefault="001862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20E" w:rsidRPr="00800B55" w:rsidRDefault="0018620E">
      <w:r w:rsidRPr="00800B55">
        <w:separator/>
      </w:r>
    </w:p>
  </w:footnote>
  <w:footnote w:type="continuationSeparator" w:id="0">
    <w:p w:rsidR="0018620E" w:rsidRPr="00800B55" w:rsidRDefault="0018620E">
      <w:r w:rsidRPr="00800B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20E" w:rsidRPr="00800B55" w:rsidRDefault="0018620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20E" w:rsidRPr="00800B55" w:rsidRDefault="0018620E">
    <w:pPr>
      <w:pStyle w:val="Kantrubrik"/>
      <w:framePr w:h="1157" w:hRule="exact" w:wrap="around" w:y="738"/>
    </w:pPr>
    <w:r w:rsidRPr="00800B55">
      <w:t>2007/08:FPM76</w:t>
    </w:r>
  </w:p>
  <w:p w:rsidR="0018620E" w:rsidRPr="00800B55" w:rsidRDefault="0018620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20E" w:rsidRPr="00800B55" w:rsidRDefault="00800B55">
    <w:pPr>
      <w:pStyle w:val="Sidhuvud"/>
    </w:pPr>
    <w:r w:rsidRPr="00800B5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439265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20E" w:rsidRDefault="0018620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40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8620E" w:rsidRDefault="0018620E">
                    <w:pPr>
                      <w:pStyle w:val="Logo"/>
                    </w:pPr>
                    <w:r>
                      <w:object w:dxaOrig="840" w:dyaOrig="1545">
                        <v:shape id="_x0000_i1025" type="#_x0000_t75" style="width:42pt;height:77.15pt" filled="t">
                          <v:imagedata r:id="rId1" o:title=""/>
                        </v:shape>
                        <o:OLEObject Type="Embed" ProgID="Word.Picture.8" ShapeID="_x0000_i1025" DrawAspect="Content" ObjectID="_182749640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DF1256A"/>
    <w:multiLevelType w:val="hybridMultilevel"/>
    <w:tmpl w:val="F3AC8EEE"/>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98756861">
    <w:abstractNumId w:val="5"/>
  </w:num>
  <w:num w:numId="2" w16cid:durableId="1896353424">
    <w:abstractNumId w:val="2"/>
  </w:num>
  <w:num w:numId="3" w16cid:durableId="1760716236">
    <w:abstractNumId w:val="3"/>
  </w:num>
  <w:num w:numId="4" w16cid:durableId="40173643">
    <w:abstractNumId w:val="4"/>
  </w:num>
  <w:num w:numId="5" w16cid:durableId="2057658392">
    <w:abstractNumId w:val="6"/>
  </w:num>
  <w:num w:numId="6" w16cid:durableId="1108307976">
    <w:abstractNumId w:val="0"/>
  </w:num>
  <w:num w:numId="7" w16cid:durableId="1143155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2-26"/>
    <w:docVar w:name="Ar" w:val="2007/08"/>
    <w:docVar w:name="Dep" w:val="Näringsdepartementet"/>
    <w:docVar w:name="DepWeb" w:val="Näringsdepartementet"/>
    <w:docVar w:name="GDB1" w:val="KOM(2007) 86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 En dagordning för en hållbar framtid för allmän- och affärsflyg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869"/>
    <w:docVar w:name="Nr" w:val="76"/>
    <w:docVar w:name="RD_APPVERSION" w:val="3.00"/>
    <w:docVar w:name="Rub" w:val="Framtiden för allmän- och affärsflyget"/>
    <w:docVar w:name="UppDat" w:val="2008-02-26"/>
    <w:docVar w:name="Utsk" w:val="Trafikutskottet"/>
  </w:docVars>
  <w:rsids>
    <w:rsidRoot w:val="009525A1"/>
    <w:rsid w:val="0018620E"/>
    <w:rsid w:val="00800B55"/>
    <w:rsid w:val="009525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2C5987-9CE5-47D2-8DBB-E562ECFC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760</Words>
  <Characters>5252</Characters>
  <Application>Microsoft Office Word</Application>
  <DocSecurity>4</DocSecurity>
  <Lines>114</Lines>
  <Paragraphs>60</Paragraphs>
  <ScaleCrop>false</ScaleCrop>
  <HeadingPairs>
    <vt:vector size="2" baseType="variant">
      <vt:variant>
        <vt:lpstr>Rubrik</vt:lpstr>
      </vt:variant>
      <vt:variant>
        <vt:i4>1</vt:i4>
      </vt:variant>
    </vt:vector>
  </HeadingPairs>
  <TitlesOfParts>
    <vt:vector size="1" baseType="lpstr">
      <vt:lpstr>FPM_200708__76</vt:lpstr>
    </vt:vector>
  </TitlesOfParts>
  <Company>RD-DTSL</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FPM_200708__76</dc:title>
  <dc:subject>FPM_200708__76</dc:subject>
  <dc:creator>Riksdagen</dc:creator>
  <cp:keywords>Riksdagen</cp:keywords>
  <dc:description>KP2004-version.  Ändringarna påverkar enbart användningen inom Riksdagen. 050429 nya departement DTSL.</dc:description>
  <cp:lastModifiedBy>Lars Brink</cp:lastModifiedBy>
  <cp:revision>2</cp:revision>
  <cp:lastPrinted>2008-02-26T13:14:00Z</cp:lastPrinted>
  <dcterms:created xsi:type="dcterms:W3CDTF">2025-12-17T12:07:00Z</dcterms:created>
  <dcterms:modified xsi:type="dcterms:W3CDTF">2025-12-17T12:07:00Z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76</vt:lpwstr>
  </property>
  <property fmtid="{D5CDD505-2E9C-101B-9397-08002B2CF9AE}" pid="4" name="GDB1">
    <vt:lpwstr>KOM(2007) 869</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Framtiden för allmän- och affärsflyget</vt:lpwstr>
  </property>
  <property fmtid="{D5CDD505-2E9C-101B-9397-08002B2CF9AE}" pid="8" name="UppDat">
    <vt:lpwstr>2008-02-26</vt:lpwstr>
  </property>
  <property fmtid="{D5CDD505-2E9C-101B-9397-08002B2CF9AE}" pid="9" name="AnkDat">
    <vt:lpwstr>2008-02-26</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10;0;0;470</vt:lpwstr>
  </property>
  <property fmtid="{D5CDD505-2E9C-101B-9397-08002B2CF9AE}" pid="42" name="Sprak">
    <vt:lpwstr>Svenska</vt:lpwstr>
  </property>
  <property fmtid="{D5CDD505-2E9C-101B-9397-08002B2CF9AE}" pid="43" name="DokID">
    <vt:i4>80</vt:i4>
  </property>
</Properties>
</file>