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F7794" w:rsidTr="00A90510">
        <w:tblPrEx>
          <w:tblCellMar>
            <w:top w:w="0" w:type="dxa"/>
            <w:bottom w:w="0" w:type="dxa"/>
          </w:tblCellMar>
        </w:tblPrEx>
        <w:tc>
          <w:tcPr>
            <w:tcW w:w="2268" w:type="dxa"/>
          </w:tcPr>
          <w:p w:rsidR="006E4E11" w:rsidRPr="009F779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F7794" w:rsidRDefault="006E4E11" w:rsidP="007242A3">
            <w:pPr>
              <w:framePr w:w="5035" w:h="1644" w:wrap="notBeside" w:vAnchor="page" w:hAnchor="page" w:x="6573" w:y="721"/>
              <w:rPr>
                <w:rFonts w:ascii="TradeGothic" w:hAnsi="TradeGothic"/>
                <w:i/>
                <w:sz w:val="18"/>
              </w:rPr>
            </w:pPr>
          </w:p>
        </w:tc>
      </w:tr>
      <w:tr w:rsidR="00A90510" w:rsidRPr="009F7794" w:rsidTr="00A90510">
        <w:tblPrEx>
          <w:tblCellMar>
            <w:top w:w="0" w:type="dxa"/>
            <w:bottom w:w="0" w:type="dxa"/>
          </w:tblCellMar>
        </w:tblPrEx>
        <w:tc>
          <w:tcPr>
            <w:tcW w:w="5267" w:type="dxa"/>
            <w:gridSpan w:val="3"/>
          </w:tcPr>
          <w:p w:rsidR="00A90510" w:rsidRPr="009F7794" w:rsidRDefault="00A90510" w:rsidP="007242A3">
            <w:pPr>
              <w:framePr w:w="5035" w:h="1644" w:wrap="notBeside" w:vAnchor="page" w:hAnchor="page" w:x="6573" w:y="721"/>
              <w:rPr>
                <w:rFonts w:ascii="TradeGothic" w:hAnsi="TradeGothic"/>
                <w:b/>
                <w:sz w:val="22"/>
              </w:rPr>
            </w:pPr>
            <w:r w:rsidRPr="009F7794">
              <w:rPr>
                <w:rFonts w:ascii="TradeGothic" w:hAnsi="TradeGothic"/>
                <w:b/>
                <w:sz w:val="22"/>
              </w:rPr>
              <w:t>Rådspromemoria</w:t>
            </w:r>
          </w:p>
        </w:tc>
      </w:tr>
      <w:tr w:rsidR="006E4E11" w:rsidRPr="009F7794" w:rsidTr="00A90510">
        <w:tblPrEx>
          <w:tblCellMar>
            <w:top w:w="0" w:type="dxa"/>
            <w:bottom w:w="0" w:type="dxa"/>
          </w:tblCellMar>
        </w:tblPrEx>
        <w:tc>
          <w:tcPr>
            <w:tcW w:w="3402" w:type="dxa"/>
            <w:gridSpan w:val="2"/>
          </w:tcPr>
          <w:p w:rsidR="006E4E11" w:rsidRPr="009F7794" w:rsidRDefault="006E4E11" w:rsidP="007242A3">
            <w:pPr>
              <w:framePr w:w="5035" w:h="1644" w:wrap="notBeside" w:vAnchor="page" w:hAnchor="page" w:x="6573" w:y="721"/>
            </w:pPr>
          </w:p>
        </w:tc>
        <w:tc>
          <w:tcPr>
            <w:tcW w:w="1865" w:type="dxa"/>
          </w:tcPr>
          <w:p w:rsidR="006E4E11" w:rsidRPr="009F7794" w:rsidRDefault="006E4E11" w:rsidP="007242A3">
            <w:pPr>
              <w:framePr w:w="5035" w:h="1644" w:wrap="notBeside" w:vAnchor="page" w:hAnchor="page" w:x="6573" w:y="721"/>
            </w:pPr>
          </w:p>
        </w:tc>
      </w:tr>
      <w:tr w:rsidR="006E4E11" w:rsidRPr="009F7794" w:rsidTr="00A90510">
        <w:tblPrEx>
          <w:tblCellMar>
            <w:top w:w="0" w:type="dxa"/>
            <w:bottom w:w="0" w:type="dxa"/>
          </w:tblCellMar>
        </w:tblPrEx>
        <w:tc>
          <w:tcPr>
            <w:tcW w:w="2268" w:type="dxa"/>
          </w:tcPr>
          <w:p w:rsidR="006E4E11" w:rsidRPr="009F7794" w:rsidRDefault="00A90510" w:rsidP="007242A3">
            <w:pPr>
              <w:framePr w:w="5035" w:h="1644" w:wrap="notBeside" w:vAnchor="page" w:hAnchor="page" w:x="6573" w:y="721"/>
            </w:pPr>
            <w:r w:rsidRPr="009F7794">
              <w:t>2011-09-2</w:t>
            </w:r>
            <w:r w:rsidR="009603F9" w:rsidRPr="009F7794">
              <w:t>3</w:t>
            </w:r>
          </w:p>
        </w:tc>
        <w:tc>
          <w:tcPr>
            <w:tcW w:w="2999" w:type="dxa"/>
            <w:gridSpan w:val="2"/>
          </w:tcPr>
          <w:p w:rsidR="006E4E11" w:rsidRPr="009F7794" w:rsidRDefault="006E4E11" w:rsidP="007242A3">
            <w:pPr>
              <w:framePr w:w="5035" w:h="1644" w:wrap="notBeside" w:vAnchor="page" w:hAnchor="page" w:x="6573" w:y="721"/>
              <w:rPr>
                <w:sz w:val="20"/>
              </w:rPr>
            </w:pPr>
          </w:p>
        </w:tc>
      </w:tr>
      <w:tr w:rsidR="006E4E11" w:rsidRPr="009F7794" w:rsidTr="00A90510">
        <w:tblPrEx>
          <w:tblCellMar>
            <w:top w:w="0" w:type="dxa"/>
            <w:bottom w:w="0" w:type="dxa"/>
          </w:tblCellMar>
        </w:tblPrEx>
        <w:tc>
          <w:tcPr>
            <w:tcW w:w="2268" w:type="dxa"/>
          </w:tcPr>
          <w:p w:rsidR="006E4E11" w:rsidRPr="009F7794" w:rsidRDefault="006E4E11" w:rsidP="007242A3">
            <w:pPr>
              <w:framePr w:w="5035" w:h="1644" w:wrap="notBeside" w:vAnchor="page" w:hAnchor="page" w:x="6573" w:y="721"/>
            </w:pPr>
          </w:p>
        </w:tc>
        <w:tc>
          <w:tcPr>
            <w:tcW w:w="2999" w:type="dxa"/>
            <w:gridSpan w:val="2"/>
          </w:tcPr>
          <w:p w:rsidR="006E4E11" w:rsidRPr="009F779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F7794">
        <w:tblPrEx>
          <w:tblCellMar>
            <w:top w:w="0" w:type="dxa"/>
            <w:bottom w:w="0" w:type="dxa"/>
          </w:tblCellMar>
        </w:tblPrEx>
        <w:trPr>
          <w:trHeight w:val="284"/>
        </w:trPr>
        <w:tc>
          <w:tcPr>
            <w:tcW w:w="4911" w:type="dxa"/>
          </w:tcPr>
          <w:p w:rsidR="006E4E11" w:rsidRPr="009F7794" w:rsidRDefault="00A90510">
            <w:pPr>
              <w:pStyle w:val="Avsndare"/>
              <w:framePr w:h="2483" w:wrap="notBeside" w:x="1504"/>
              <w:rPr>
                <w:b/>
                <w:i w:val="0"/>
                <w:sz w:val="22"/>
              </w:rPr>
            </w:pPr>
            <w:r w:rsidRPr="009F7794">
              <w:rPr>
                <w:b/>
                <w:i w:val="0"/>
                <w:sz w:val="22"/>
              </w:rPr>
              <w:t>Näringsdepartementet</w:t>
            </w: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r w:rsidR="006E4E11" w:rsidRPr="009F7794">
        <w:tblPrEx>
          <w:tblCellMar>
            <w:top w:w="0" w:type="dxa"/>
            <w:bottom w:w="0" w:type="dxa"/>
          </w:tblCellMar>
        </w:tblPrEx>
        <w:trPr>
          <w:trHeight w:val="284"/>
        </w:trPr>
        <w:tc>
          <w:tcPr>
            <w:tcW w:w="4911" w:type="dxa"/>
          </w:tcPr>
          <w:p w:rsidR="006E4E11" w:rsidRPr="009F7794" w:rsidRDefault="00A90510">
            <w:pPr>
              <w:pStyle w:val="Avsndare"/>
              <w:framePr w:h="2483" w:wrap="notBeside" w:x="1504"/>
              <w:rPr>
                <w:bCs/>
                <w:iCs/>
              </w:rPr>
            </w:pPr>
            <w:r w:rsidRPr="009F7794">
              <w:rPr>
                <w:bCs/>
                <w:iCs/>
              </w:rPr>
              <w:t>Transport</w:t>
            </w: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r w:rsidR="006E4E11" w:rsidRPr="009F7794">
        <w:tblPrEx>
          <w:tblCellMar>
            <w:top w:w="0" w:type="dxa"/>
            <w:bottom w:w="0" w:type="dxa"/>
          </w:tblCellMar>
        </w:tblPrEx>
        <w:trPr>
          <w:trHeight w:val="284"/>
        </w:trPr>
        <w:tc>
          <w:tcPr>
            <w:tcW w:w="4911" w:type="dxa"/>
          </w:tcPr>
          <w:p w:rsidR="006E4E11" w:rsidRPr="009F7794" w:rsidRDefault="006E4E11">
            <w:pPr>
              <w:pStyle w:val="Avsndare"/>
              <w:framePr w:h="2483" w:wrap="notBeside" w:x="1504"/>
              <w:rPr>
                <w:bCs/>
                <w:iCs/>
              </w:rPr>
            </w:pPr>
          </w:p>
        </w:tc>
      </w:tr>
    </w:tbl>
    <w:p w:rsidR="006E4E11" w:rsidRPr="009F7794" w:rsidRDefault="006E4E11">
      <w:pPr>
        <w:framePr w:w="4400" w:h="2523" w:wrap="notBeside" w:vAnchor="page" w:hAnchor="page" w:x="6453" w:y="2445"/>
        <w:ind w:left="142"/>
        <w:rPr>
          <w:b/>
        </w:rPr>
      </w:pPr>
    </w:p>
    <w:p w:rsidR="00A90510" w:rsidRPr="009F7794" w:rsidRDefault="00A90510">
      <w:pPr>
        <w:pStyle w:val="RKrubrik"/>
        <w:pBdr>
          <w:bottom w:val="single" w:sz="6" w:space="1" w:color="auto"/>
        </w:pBdr>
      </w:pPr>
      <w:bookmarkStart w:id="0" w:name="bRubrik"/>
      <w:bookmarkEnd w:id="0"/>
      <w:r w:rsidRPr="009F7794">
        <w:t>TTE-rådet den 6 oktober 2011</w:t>
      </w:r>
    </w:p>
    <w:p w:rsidR="00A90510" w:rsidRPr="009F7794" w:rsidRDefault="00A90510">
      <w:pPr>
        <w:pStyle w:val="RKnormal"/>
      </w:pPr>
    </w:p>
    <w:p w:rsidR="00A90510" w:rsidRPr="009F7794" w:rsidRDefault="00A90510">
      <w:pPr>
        <w:pStyle w:val="RKnormal"/>
      </w:pPr>
      <w:r w:rsidRPr="009F7794">
        <w:t>Dagordningspunkt 3</w:t>
      </w:r>
    </w:p>
    <w:p w:rsidR="00A90510" w:rsidRPr="009F7794" w:rsidRDefault="00A90510">
      <w:pPr>
        <w:pStyle w:val="RKnormal"/>
      </w:pPr>
    </w:p>
    <w:p w:rsidR="009603F9" w:rsidRPr="009F7794" w:rsidRDefault="00A90510" w:rsidP="009603F9">
      <w:pPr>
        <w:pStyle w:val="RKnormal"/>
      </w:pPr>
      <w:r w:rsidRPr="009F7794">
        <w:t>Rubrik:</w:t>
      </w:r>
      <w:r w:rsidR="003B3449" w:rsidRPr="009F7794">
        <w:t xml:space="preserve">  </w:t>
      </w:r>
      <w:r w:rsidR="009603F9" w:rsidRPr="009F7794">
        <w:t>Förslag till Europaparlamentets och rådets förordning om ändring av rådets förordning (EEG) nr 3821/85 om färdskrivare vid vägtransporter och om ändring av Europaparlamentets och rådets förordning (EG) nr 561/2006</w:t>
      </w:r>
    </w:p>
    <w:p w:rsidR="009603F9" w:rsidRPr="009F7794" w:rsidRDefault="009603F9" w:rsidP="009603F9">
      <w:pPr>
        <w:pStyle w:val="RKnormal"/>
      </w:pPr>
      <w:r w:rsidRPr="009F7794">
        <w:t>– Riktlinjedebatt</w:t>
      </w:r>
    </w:p>
    <w:p w:rsidR="00A90510" w:rsidRPr="009F7794" w:rsidRDefault="00A90510">
      <w:pPr>
        <w:pStyle w:val="RKnormal"/>
      </w:pPr>
    </w:p>
    <w:p w:rsidR="00E51423" w:rsidRPr="009F7794" w:rsidRDefault="00A90510" w:rsidP="00E51423">
      <w:pPr>
        <w:pStyle w:val="RKnormal"/>
      </w:pPr>
      <w:r w:rsidRPr="009F7794">
        <w:t>Dokument:</w:t>
      </w:r>
      <w:r w:rsidR="00E51423" w:rsidRPr="009F7794">
        <w:t xml:space="preserve"> </w:t>
      </w:r>
    </w:p>
    <w:p w:rsidR="00A90510" w:rsidRPr="009F7794" w:rsidRDefault="00E51423" w:rsidP="00E51423">
      <w:pPr>
        <w:pStyle w:val="RKnormal"/>
      </w:pPr>
      <w:r w:rsidRPr="009F7794">
        <w:t>13195/11 TRANS 222 CODEC 1274  + ADD1 och ADD2</w:t>
      </w:r>
    </w:p>
    <w:p w:rsidR="009603F9" w:rsidRPr="009F7794" w:rsidRDefault="009603F9" w:rsidP="00E51423">
      <w:pPr>
        <w:pStyle w:val="RKnormal"/>
      </w:pPr>
      <w:r w:rsidRPr="009F7794">
        <w:t>13189/11 TRANS 221</w:t>
      </w:r>
    </w:p>
    <w:p w:rsidR="00A90510" w:rsidRPr="009F7794" w:rsidRDefault="00A90510">
      <w:pPr>
        <w:pStyle w:val="RKnormal"/>
      </w:pPr>
    </w:p>
    <w:p w:rsidR="00A90510" w:rsidRPr="009F7794" w:rsidRDefault="00586407">
      <w:pPr>
        <w:pStyle w:val="RKnormal"/>
      </w:pPr>
      <w:r w:rsidRPr="009F7794">
        <w:t xml:space="preserve">Tidigare dokument: - </w:t>
      </w:r>
    </w:p>
    <w:p w:rsidR="00586407" w:rsidRPr="009F7794" w:rsidRDefault="00586407">
      <w:pPr>
        <w:pStyle w:val="RKnormal"/>
      </w:pPr>
    </w:p>
    <w:p w:rsidR="00A90510" w:rsidRPr="009F7794" w:rsidRDefault="00A90510">
      <w:pPr>
        <w:pStyle w:val="RKnormal"/>
      </w:pPr>
      <w:r w:rsidRPr="009F7794">
        <w:t xml:space="preserve">Tidigare behandlad vid samråd med EU-nämnden: </w:t>
      </w:r>
      <w:r w:rsidR="00586407" w:rsidRPr="009F7794">
        <w:t>-</w:t>
      </w:r>
    </w:p>
    <w:p w:rsidR="00A90510" w:rsidRPr="009F7794" w:rsidRDefault="00A90510">
      <w:pPr>
        <w:pStyle w:val="RKnormal"/>
      </w:pPr>
    </w:p>
    <w:p w:rsidR="00A90510" w:rsidRPr="009F7794" w:rsidRDefault="00A90510">
      <w:pPr>
        <w:pStyle w:val="RKrubrik"/>
      </w:pPr>
      <w:r w:rsidRPr="009F7794">
        <w:t>Bakgrund</w:t>
      </w:r>
    </w:p>
    <w:p w:rsidR="00E51423" w:rsidRPr="009F7794" w:rsidRDefault="00E51423" w:rsidP="003B3449">
      <w:pPr>
        <w:pStyle w:val="RKnormal"/>
        <w:jc w:val="both"/>
      </w:pPr>
      <w:r w:rsidRPr="009F7794">
        <w:t xml:space="preserve">I vitboken </w:t>
      </w:r>
      <w:r w:rsidRPr="009F7794">
        <w:rPr>
          <w:i/>
        </w:rPr>
        <w:t xml:space="preserve">Färdplan för ett gemensamt europeiskt transportområde – ett konkurrenskraftigt och resurseffektivt transportsystem </w:t>
      </w:r>
      <w:r w:rsidRPr="009F7794">
        <w:t>(KOM(2011) 144 slutlig) av den 28 mars 2011 har kommissionen aviserat initiativet.</w:t>
      </w:r>
    </w:p>
    <w:p w:rsidR="00E51423" w:rsidRPr="009F7794" w:rsidRDefault="00E51423" w:rsidP="003B3449">
      <w:pPr>
        <w:pStyle w:val="RKnormal"/>
        <w:jc w:val="both"/>
      </w:pPr>
    </w:p>
    <w:p w:rsidR="00A90510" w:rsidRPr="009F7794" w:rsidRDefault="00E51423" w:rsidP="003B3449">
      <w:pPr>
        <w:pStyle w:val="RKnormal"/>
        <w:jc w:val="both"/>
      </w:pPr>
      <w:r w:rsidRPr="009F7794">
        <w:t>Den 19 juli presenterade kommissionen ett förslag Europaparlamentets och rådets förordning om ändring av rådets förordning (EEG) nr 3821/85 om färdskrivare vid vägtransporter och om ändring av Europaparlamentets och rådets förordning (EG) nr 561/2006. Kommissionen presenterade samtidigt ett meddelande om Digitala färdskrivare: Färdplan för framtida verksamhet. Den 27 respektive den 25 juli 2011 presenterades kommissionens sammanfattande konsekvensbedömning och kommissionens konsekvensanalys.</w:t>
      </w:r>
    </w:p>
    <w:p w:rsidR="00A90510" w:rsidRPr="009F7794" w:rsidRDefault="00A90510">
      <w:pPr>
        <w:pStyle w:val="RKrubrik"/>
      </w:pPr>
      <w:r w:rsidRPr="009F7794">
        <w:t>Rättslig grund och beslutsförfarande</w:t>
      </w:r>
    </w:p>
    <w:p w:rsidR="00A90510" w:rsidRPr="009F7794" w:rsidRDefault="00586407">
      <w:pPr>
        <w:pStyle w:val="RKnormal"/>
      </w:pPr>
      <w:r w:rsidRPr="009F7794">
        <w:t>Artikel 91 i FEUF</w:t>
      </w:r>
    </w:p>
    <w:p w:rsidR="00A90510" w:rsidRPr="009F7794" w:rsidRDefault="00A90510">
      <w:pPr>
        <w:pStyle w:val="RKrubrik"/>
        <w:rPr>
          <w:i/>
          <w:iCs/>
        </w:rPr>
      </w:pPr>
      <w:r w:rsidRPr="009F7794">
        <w:rPr>
          <w:i/>
          <w:iCs/>
        </w:rPr>
        <w:lastRenderedPageBreak/>
        <w:t>Svensk ståndpunkt</w:t>
      </w:r>
    </w:p>
    <w:p w:rsidR="00A90510" w:rsidRPr="009F7794" w:rsidRDefault="00586407" w:rsidP="00586407">
      <w:pPr>
        <w:pStyle w:val="RKnormal"/>
        <w:jc w:val="both"/>
      </w:pPr>
      <w:r w:rsidRPr="009F7794">
        <w:t>Regeringen anser att för</w:t>
      </w:r>
      <w:r w:rsidR="00747983" w:rsidRPr="009F7794">
        <w:t xml:space="preserve">slaget är alltför långtgående. </w:t>
      </w:r>
      <w:r w:rsidRPr="009F7794">
        <w:t>Nyttan av föreslagna åtgärder kan ifrågasättas och delar i förslaget innebär problem uti</w:t>
      </w:r>
      <w:r w:rsidR="00747983" w:rsidRPr="009F7794">
        <w:t>från ett integritetsperspektiv.</w:t>
      </w:r>
      <w:r w:rsidRPr="009F7794">
        <w:t xml:space="preserve"> Regeringen är också negativ till de föreslagna vida mandatet till kommissionen att få anta delegerade akter.</w:t>
      </w:r>
    </w:p>
    <w:p w:rsidR="00A90510" w:rsidRPr="009F7794" w:rsidRDefault="00A90510">
      <w:pPr>
        <w:pStyle w:val="RKrubrik"/>
      </w:pPr>
      <w:r w:rsidRPr="009F7794">
        <w:t>Europaparlamentets inställning</w:t>
      </w:r>
    </w:p>
    <w:p w:rsidR="00A90510" w:rsidRPr="009F7794" w:rsidRDefault="00E51423">
      <w:pPr>
        <w:pStyle w:val="RKnormal"/>
      </w:pPr>
      <w:r w:rsidRPr="009F7794">
        <w:t>Europarlamentet har inte behandlat förslaget.</w:t>
      </w:r>
    </w:p>
    <w:p w:rsidR="00A90510" w:rsidRPr="009F7794" w:rsidRDefault="00A90510">
      <w:pPr>
        <w:pStyle w:val="RKrubrik"/>
        <w:rPr>
          <w:i/>
          <w:iCs/>
        </w:rPr>
      </w:pPr>
      <w:r w:rsidRPr="009F7794">
        <w:rPr>
          <w:i/>
          <w:iCs/>
        </w:rPr>
        <w:t>Förslaget</w:t>
      </w:r>
    </w:p>
    <w:p w:rsidR="00E51423" w:rsidRPr="009F7794" w:rsidRDefault="00C72E8C" w:rsidP="003B3449">
      <w:pPr>
        <w:pStyle w:val="RKnormal"/>
        <w:jc w:val="both"/>
      </w:pPr>
      <w:r w:rsidRPr="009F7794">
        <w:t xml:space="preserve">Kommissionen har lämnat ett förslag till förändrad förordning (EEG) nr 3821/85 om färdskrivare vid vägtransporter och ett kompletterande meddelande om digitala färdskrivare. </w:t>
      </w:r>
    </w:p>
    <w:p w:rsidR="00E51423" w:rsidRPr="009F7794" w:rsidRDefault="00E51423" w:rsidP="003B3449">
      <w:pPr>
        <w:pStyle w:val="RKnormal"/>
        <w:jc w:val="both"/>
      </w:pPr>
    </w:p>
    <w:p w:rsidR="00C72E8C" w:rsidRPr="009F7794" w:rsidRDefault="00C72E8C" w:rsidP="003B3449">
      <w:pPr>
        <w:pStyle w:val="RKnormal"/>
        <w:jc w:val="both"/>
      </w:pPr>
      <w:r w:rsidRPr="009F7794">
        <w:t>Av förordningsförslaget följer i huvudsak åtta åtgärder. Åtgärderna innebär att den digitala färdskrivarens funktion avsevärt breddas. De åtgärder som föreslås är bl.a. kommunikation på distans med färdskrivaren för kontrolländamål, integrering av förarkort med körkort, automatisk registrering av lokaliseringsuppgifter genom ett globalt system för satellitnavigering (GNSS), integrering av digitala färdskrivare i intelligenta transportsystem (ITS), att öka verkstädernas trovärdighet, minimiharmonisering av påföljder, utbildning av kontrolltjänstemän och utökad möjlighet att undanta vissa transporter från krav på färdskrivare genom justering av tillämpningsområdet för förordning (EG) nr 561/ 2006 om harmonisering av viss sociallagstiftning på vägtransportområdet.</w:t>
      </w:r>
    </w:p>
    <w:p w:rsidR="00E51423" w:rsidRPr="009F7794" w:rsidRDefault="00E51423" w:rsidP="003B3449">
      <w:pPr>
        <w:pStyle w:val="RKnormal"/>
        <w:jc w:val="both"/>
      </w:pPr>
    </w:p>
    <w:p w:rsidR="00A90510" w:rsidRPr="009F7794" w:rsidRDefault="00C72E8C" w:rsidP="003B3449">
      <w:pPr>
        <w:pStyle w:val="RKnormal"/>
        <w:jc w:val="both"/>
      </w:pPr>
      <w:r w:rsidRPr="009F7794">
        <w:t>Av meddelandet förklaras hur och när kommissionen avser att genomföra ytterligare fyra åtgärder. De åtgärder som kommissionen åtar sig att vidta är att anpassa de tekniska specifikationerna för digitala färdskrivare i bilaga IB till förordning (EEG) nr 3821/85 framförallt för att bevara säkerhetsnivån för digitala färdskrivare, ge den europeiska organisationen för standardisering (CEN) i uppdrag att utveckla standarder för plombering, föreslå för rådet att EU blir fullvärdig medlem av den europeiska överenskommelsen om arbetsförhållanden för fordonsbesättningar vid internationella vägtransporter  (AETR) och föreslå en ändring av direktiv 2006/126/EG om körkort för att integrera förarkort med körkort.</w:t>
      </w:r>
    </w:p>
    <w:p w:rsidR="00A90510" w:rsidRPr="009F7794" w:rsidRDefault="00A90510">
      <w:pPr>
        <w:pStyle w:val="RKrubrik"/>
        <w:rPr>
          <w:i/>
          <w:iCs/>
        </w:rPr>
      </w:pPr>
      <w:r w:rsidRPr="009F7794">
        <w:rPr>
          <w:i/>
          <w:iCs/>
        </w:rPr>
        <w:t>Gällande svenska regler och förslagets effekter på dessa</w:t>
      </w:r>
    </w:p>
    <w:p w:rsidR="009603F9" w:rsidRPr="009F7794" w:rsidRDefault="00E51423" w:rsidP="003B3449">
      <w:pPr>
        <w:pStyle w:val="RKnormal"/>
        <w:jc w:val="both"/>
      </w:pPr>
      <w:r w:rsidRPr="009F7794">
        <w:t>Bestämmelser om färdskrivare framgår av rådets förordningen (EEG) nr 3821/85 av den 20 december 1985 om färdskrivare vid vägtransporter, förordningen (2004:865) om kör- och vilotider samt färdskrivare, m.m. och berörs i förordningen (1993:185) om arbetsförhållanden vid vissa internationella vägtransporter. Dessutom föreskriver Transportstyrelsen hur bestämmelserna ska hanteras genom Vägverkets föreskrifter (2005:79) om hantering av nycklar och certifikat för tillverkning av digitala färdskrivare, Vägverkets föreskrifter (2005:80) om ackreditering av kontrollorgan samt kontroll av färdskrivare, Vägverkets föreskrift (2005:134) om installationsskylt, Vägverkets föreskrift (2008:380) om färdskrivarkort m.m., Transportstyrelsens föreskrifter (2009:137) om riskvärderingssystem för kör- och vilotider samt färdskrivare, m.m.; och Vägverkets föreskrift (1995:10) om rapportering.</w:t>
      </w:r>
    </w:p>
    <w:p w:rsidR="009603F9" w:rsidRPr="009F7794" w:rsidRDefault="009603F9" w:rsidP="003B3449">
      <w:pPr>
        <w:pStyle w:val="RKnormal"/>
        <w:jc w:val="both"/>
      </w:pPr>
    </w:p>
    <w:p w:rsidR="00E51423" w:rsidRPr="009F7794" w:rsidRDefault="00E51423" w:rsidP="003B3449">
      <w:pPr>
        <w:pStyle w:val="RKnormal"/>
        <w:jc w:val="both"/>
      </w:pPr>
      <w:r w:rsidRPr="009F7794">
        <w:t>Bestämmelser om hantering av personuppgifter i vägtrafikregistret finns i lagen (2001:558) och förordningen (2001:650) om vägtrafikregister.</w:t>
      </w:r>
    </w:p>
    <w:p w:rsidR="00E51423" w:rsidRPr="009F7794" w:rsidRDefault="00E51423" w:rsidP="003B3449">
      <w:pPr>
        <w:pStyle w:val="RKnormal"/>
        <w:jc w:val="both"/>
      </w:pPr>
    </w:p>
    <w:p w:rsidR="00A90510" w:rsidRPr="009F7794" w:rsidRDefault="00E51423" w:rsidP="003B3449">
      <w:pPr>
        <w:pStyle w:val="RKnormal"/>
        <w:jc w:val="both"/>
      </w:pPr>
      <w:r w:rsidRPr="009F7794">
        <w:t>Förslagen kan komma att innebära behov av anpassningar eller ändringar i dessa författningar. Även bestämmelser om Polisens utbildning och Swedacs kontroll av verkstäder kan komma att beröras.</w:t>
      </w:r>
    </w:p>
    <w:p w:rsidR="00A90510" w:rsidRPr="009F7794" w:rsidRDefault="00A90510">
      <w:pPr>
        <w:pStyle w:val="RKrubrik"/>
      </w:pPr>
      <w:r w:rsidRPr="009F7794">
        <w:t>Ekonomiska konsekvenser</w:t>
      </w:r>
    </w:p>
    <w:p w:rsidR="003B3449" w:rsidRPr="009F7794" w:rsidRDefault="003B3449" w:rsidP="003B3449">
      <w:pPr>
        <w:pStyle w:val="RKnormal"/>
        <w:jc w:val="both"/>
      </w:pPr>
      <w:r w:rsidRPr="009F7794">
        <w:t>Förslagets övergripande mål är att förbättra färdskrivarsystemets effektivitet och ändamålsenlighet. Kommissionen anger att de åtgärder som föreslås är proportionerliga för att uppnå dessa mål eftersom de kommer att leda till en minskning av administrativa bördor och kostnader förknippade med användningen av färdskrivare för förare, företag och kontrollorgan. Kommissionen anger vidare att förslaget inte innebär extra kostnader för EU:s budget. Kommissionen anger att förslaget berör omkring 900 000 transportföretag och 6 miljoner förare men inte vad förslagen kan komma att kosta företagen eller medlemsländernas myndigheter. Kommissionen anger att förslaget kommer att minska de administrativa kostnaderna med 515,5 miljoner euro men har inte presenterat någon fullständig kostnads-nyttoanalys. Kommissionen anger också att den bristande efterlevnaden och det faktum att förarna därmed blir trötta bedöms medföra en ökning av samhällskostnaderna på nära 2,8 miljarder euro. Kommissionen baser</w:t>
      </w:r>
      <w:r w:rsidR="0080451F" w:rsidRPr="009F7794">
        <w:t>ar</w:t>
      </w:r>
      <w:r w:rsidRPr="009F7794">
        <w:t xml:space="preserve"> bedömningen på antagandet att 5 procent av det totala antalet fordon som omfattas av kör- och vilotidsbestämmelserna framförs i strid mot de sociala reglerna och 2 procent i strid mot färdskrivarbestämmelserna vilket motsvarar 180 000 respektive 45 000 fordon. Kommissionen anger också att det finns utrymme för att ytterligare förbättra det sätt på vilket (digitala) färdskrivare underlättar förarnas arbete och bidrar till effektiva transporter. Även om införandet av digitala färdskrivare redan väsentligt har minskat den administrativa bördan för de olika aktörerna är kostnaden för efterlevnad, beräknad till ungefär 2,7 miljarder euro, fortfarande alltför hög.</w:t>
      </w:r>
    </w:p>
    <w:p w:rsidR="003B3449" w:rsidRPr="009F7794" w:rsidRDefault="003B3449" w:rsidP="003B3449">
      <w:pPr>
        <w:pStyle w:val="RKnormal"/>
        <w:jc w:val="both"/>
      </w:pPr>
    </w:p>
    <w:p w:rsidR="003B3449" w:rsidRPr="009F7794" w:rsidRDefault="003B3449" w:rsidP="009603F9">
      <w:pPr>
        <w:pStyle w:val="RKnormal"/>
        <w:jc w:val="both"/>
      </w:pPr>
      <w:r w:rsidRPr="009F7794">
        <w:t>Sverige konstaterar att kommissionen inte redovisar en fullständig kostnads-nyttoanalys. Sverige bedömer att förslaget kommer att innebära budgetära konsekvenser för medlemsländerna. Förslagen bedöms öka kostnaderna för såväl Transportstyrelsen, Polisen som Styrelsen för ackreditering och teknisk kontroll (Swedac). Transportstyrelsen uppskattar att kostnaden för att genomföra si</w:t>
      </w:r>
      <w:r w:rsidR="009603F9" w:rsidRPr="009F7794">
        <w:t>n del av förslagen uppgår till 50</w:t>
      </w:r>
      <w:r w:rsidRPr="009F7794">
        <w:t xml:space="preserve"> miljoner kronor, varav förslaget om att migrera förarkortet till körkortet står för </w:t>
      </w:r>
      <w:r w:rsidR="009603F9" w:rsidRPr="009F7794">
        <w:t>40</w:t>
      </w:r>
      <w:r w:rsidRPr="009F7794">
        <w:t xml:space="preserve"> miljoner kronor med en genomförandetid på två år.</w:t>
      </w:r>
    </w:p>
    <w:p w:rsidR="003B3449" w:rsidRPr="009F7794" w:rsidRDefault="003B3449" w:rsidP="003B3449">
      <w:pPr>
        <w:pStyle w:val="RKnormal"/>
      </w:pPr>
    </w:p>
    <w:p w:rsidR="00A90510" w:rsidRPr="009F7794" w:rsidRDefault="003B3449" w:rsidP="003B3449">
      <w:pPr>
        <w:pStyle w:val="RKnormal"/>
      </w:pPr>
      <w:r w:rsidRPr="009F7794">
        <w:t>Förslaget bedöms också innebära kostnader för företagen. I Sverige finns omkring 85 000 lastbilar och ca 15 000 bussar som är utrustade med färdskrivare. I september 2011 var 183 651 förarkort utfärdade i Sverige.</w:t>
      </w:r>
    </w:p>
    <w:p w:rsidR="00A90510" w:rsidRPr="009F7794" w:rsidRDefault="00A90510">
      <w:pPr>
        <w:pStyle w:val="RKrubrik"/>
      </w:pPr>
      <w:r w:rsidRPr="009F7794">
        <w:t>Övrigt</w:t>
      </w:r>
    </w:p>
    <w:p w:rsidR="00A90510" w:rsidRPr="009F7794" w:rsidRDefault="00E51423">
      <w:pPr>
        <w:pStyle w:val="RKnormal"/>
      </w:pPr>
      <w:r w:rsidRPr="009F7794">
        <w:t>-</w:t>
      </w:r>
    </w:p>
    <w:p w:rsidR="00A90510" w:rsidRPr="009F7794" w:rsidRDefault="00A90510">
      <w:pPr>
        <w:pStyle w:val="RKnormal"/>
        <w:rPr>
          <w:i/>
          <w:iCs/>
        </w:rPr>
      </w:pPr>
    </w:p>
    <w:p w:rsidR="00A90510" w:rsidRPr="009F7794" w:rsidRDefault="00A90510">
      <w:pPr>
        <w:pStyle w:val="RKnormal"/>
        <w:ind w:left="-1134"/>
      </w:pPr>
    </w:p>
    <w:p w:rsidR="006E4E11" w:rsidRPr="009F7794" w:rsidRDefault="006E4E11">
      <w:pPr>
        <w:pStyle w:val="RKrubrik"/>
        <w:spacing w:before="0" w:after="0"/>
      </w:pPr>
    </w:p>
    <w:p w:rsidR="006E4E11" w:rsidRPr="009F7794" w:rsidRDefault="006E4E11">
      <w:pPr>
        <w:pStyle w:val="RKnormal"/>
      </w:pPr>
    </w:p>
    <w:p w:rsidR="00A90510" w:rsidRPr="009F7794" w:rsidRDefault="00A90510">
      <w:pPr>
        <w:pStyle w:val="RKnormal"/>
      </w:pPr>
    </w:p>
    <w:sectPr w:rsidR="00A90510" w:rsidRPr="009F779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B68" w:rsidRPr="009F7794" w:rsidRDefault="006F5B68">
      <w:r w:rsidRPr="009F7794">
        <w:separator/>
      </w:r>
    </w:p>
  </w:endnote>
  <w:endnote w:type="continuationSeparator" w:id="0">
    <w:p w:rsidR="006F5B68" w:rsidRPr="009F7794" w:rsidRDefault="006F5B68">
      <w:r w:rsidRPr="009F7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B68" w:rsidRPr="009F7794" w:rsidRDefault="006F5B68">
      <w:r w:rsidRPr="009F7794">
        <w:separator/>
      </w:r>
    </w:p>
  </w:footnote>
  <w:footnote w:type="continuationSeparator" w:id="0">
    <w:p w:rsidR="006F5B68" w:rsidRPr="009F7794" w:rsidRDefault="006F5B68">
      <w:r w:rsidRPr="009F7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983" w:rsidRPr="009F7794" w:rsidRDefault="00747983">
    <w:pPr>
      <w:pStyle w:val="Sidhuvud"/>
      <w:framePr w:wrap="around" w:vAnchor="text" w:hAnchor="margin" w:xAlign="right" w:y="1"/>
      <w:rPr>
        <w:rStyle w:val="Sidnummer"/>
      </w:rPr>
    </w:pPr>
    <w:r w:rsidRPr="009F7794">
      <w:rPr>
        <w:rStyle w:val="Sidnummer"/>
      </w:rPr>
      <w:fldChar w:fldCharType="begin" w:fldLock="1"/>
    </w:r>
    <w:r w:rsidRPr="009F7794">
      <w:rPr>
        <w:rStyle w:val="Sidnummer"/>
      </w:rPr>
      <w:instrText xml:space="preserve">PAGE  </w:instrText>
    </w:r>
    <w:r w:rsidRPr="009F7794">
      <w:rPr>
        <w:rStyle w:val="Sidnummer"/>
      </w:rPr>
      <w:fldChar w:fldCharType="separate"/>
    </w:r>
    <w:r w:rsidR="009534D7" w:rsidRPr="009F7794">
      <w:rPr>
        <w:rStyle w:val="Sidnummer"/>
      </w:rPr>
      <w:t>4</w:t>
    </w:r>
    <w:r w:rsidRPr="009F77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47983" w:rsidRPr="009F7794">
      <w:tblPrEx>
        <w:tblCellMar>
          <w:top w:w="0" w:type="dxa"/>
          <w:bottom w:w="0" w:type="dxa"/>
        </w:tblCellMar>
      </w:tblPrEx>
      <w:trPr>
        <w:cantSplit/>
      </w:trPr>
      <w:tc>
        <w:tcPr>
          <w:tcW w:w="3119" w:type="dxa"/>
        </w:tcPr>
        <w:p w:rsidR="00747983" w:rsidRPr="009F7794" w:rsidRDefault="00747983">
          <w:pPr>
            <w:pStyle w:val="Sidhuvud"/>
            <w:spacing w:line="200" w:lineRule="atLeast"/>
            <w:ind w:right="357"/>
            <w:rPr>
              <w:rFonts w:ascii="TradeGothic" w:hAnsi="TradeGothic"/>
              <w:b/>
              <w:bCs/>
              <w:sz w:val="16"/>
            </w:rPr>
          </w:pPr>
        </w:p>
      </w:tc>
      <w:tc>
        <w:tcPr>
          <w:tcW w:w="4111" w:type="dxa"/>
          <w:tcMar>
            <w:left w:w="567" w:type="dxa"/>
          </w:tcMar>
        </w:tcPr>
        <w:p w:rsidR="00747983" w:rsidRPr="009F7794" w:rsidRDefault="00747983">
          <w:pPr>
            <w:pStyle w:val="Sidhuvud"/>
            <w:ind w:right="360"/>
          </w:pPr>
        </w:p>
      </w:tc>
      <w:tc>
        <w:tcPr>
          <w:tcW w:w="1525" w:type="dxa"/>
        </w:tcPr>
        <w:p w:rsidR="00747983" w:rsidRPr="009F7794" w:rsidRDefault="00747983">
          <w:pPr>
            <w:pStyle w:val="Sidhuvud"/>
            <w:ind w:right="360"/>
          </w:pPr>
        </w:p>
      </w:tc>
    </w:tr>
  </w:tbl>
  <w:p w:rsidR="00747983" w:rsidRPr="009F7794" w:rsidRDefault="007479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983" w:rsidRPr="009F7794" w:rsidRDefault="00747983">
    <w:pPr>
      <w:pStyle w:val="Sidhuvud"/>
      <w:framePr w:wrap="around" w:vAnchor="text" w:hAnchor="margin" w:xAlign="right" w:y="1"/>
      <w:rPr>
        <w:rStyle w:val="Sidnummer"/>
      </w:rPr>
    </w:pPr>
    <w:r w:rsidRPr="009F7794">
      <w:rPr>
        <w:rStyle w:val="Sidnummer"/>
      </w:rPr>
      <w:fldChar w:fldCharType="begin" w:fldLock="1"/>
    </w:r>
    <w:r w:rsidRPr="009F7794">
      <w:rPr>
        <w:rStyle w:val="Sidnummer"/>
      </w:rPr>
      <w:instrText xml:space="preserve">PAGE  </w:instrText>
    </w:r>
    <w:r w:rsidRPr="009F7794">
      <w:rPr>
        <w:rStyle w:val="Sidnummer"/>
      </w:rPr>
      <w:fldChar w:fldCharType="separate"/>
    </w:r>
    <w:r w:rsidR="009534D7" w:rsidRPr="009F7794">
      <w:rPr>
        <w:rStyle w:val="Sidnummer"/>
      </w:rPr>
      <w:t>3</w:t>
    </w:r>
    <w:r w:rsidRPr="009F77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47983" w:rsidRPr="009F7794">
      <w:tblPrEx>
        <w:tblCellMar>
          <w:top w:w="0" w:type="dxa"/>
          <w:bottom w:w="0" w:type="dxa"/>
        </w:tblCellMar>
      </w:tblPrEx>
      <w:trPr>
        <w:cantSplit/>
      </w:trPr>
      <w:tc>
        <w:tcPr>
          <w:tcW w:w="3119" w:type="dxa"/>
        </w:tcPr>
        <w:p w:rsidR="00747983" w:rsidRPr="009F7794" w:rsidRDefault="00747983">
          <w:pPr>
            <w:pStyle w:val="Sidhuvud"/>
            <w:spacing w:line="200" w:lineRule="atLeast"/>
            <w:ind w:right="357"/>
            <w:rPr>
              <w:rFonts w:ascii="TradeGothic" w:hAnsi="TradeGothic"/>
              <w:b/>
              <w:bCs/>
              <w:sz w:val="16"/>
            </w:rPr>
          </w:pPr>
        </w:p>
      </w:tc>
      <w:tc>
        <w:tcPr>
          <w:tcW w:w="4111" w:type="dxa"/>
          <w:tcMar>
            <w:left w:w="567" w:type="dxa"/>
          </w:tcMar>
        </w:tcPr>
        <w:p w:rsidR="00747983" w:rsidRPr="009F7794" w:rsidRDefault="00747983">
          <w:pPr>
            <w:pStyle w:val="Sidhuvud"/>
            <w:ind w:right="360"/>
          </w:pPr>
        </w:p>
      </w:tc>
      <w:tc>
        <w:tcPr>
          <w:tcW w:w="1525" w:type="dxa"/>
        </w:tcPr>
        <w:p w:rsidR="00747983" w:rsidRPr="009F7794" w:rsidRDefault="00747983">
          <w:pPr>
            <w:pStyle w:val="Sidhuvud"/>
            <w:ind w:right="360"/>
          </w:pPr>
        </w:p>
      </w:tc>
    </w:tr>
  </w:tbl>
  <w:p w:rsidR="00747983" w:rsidRPr="009F7794" w:rsidRDefault="007479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983" w:rsidRPr="009F7794" w:rsidRDefault="009F7794">
    <w:pPr>
      <w:framePr w:w="2948" w:h="1321" w:hRule="exact" w:wrap="notBeside" w:vAnchor="page" w:hAnchor="page" w:x="1362" w:y="653"/>
    </w:pPr>
    <w:r w:rsidRPr="009F779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47983" w:rsidRPr="009F7794" w:rsidRDefault="00747983">
    <w:pPr>
      <w:pStyle w:val="RKrubrik"/>
      <w:keepNext w:val="0"/>
      <w:tabs>
        <w:tab w:val="clear" w:pos="1134"/>
        <w:tab w:val="clear" w:pos="2835"/>
      </w:tabs>
      <w:spacing w:before="0" w:after="0" w:line="320" w:lineRule="atLeast"/>
      <w:rPr>
        <w:bCs/>
      </w:rPr>
    </w:pPr>
  </w:p>
  <w:p w:rsidR="00747983" w:rsidRPr="009F7794" w:rsidRDefault="00747983">
    <w:pPr>
      <w:rPr>
        <w:rFonts w:ascii="TradeGothic" w:hAnsi="TradeGothic"/>
        <w:b/>
        <w:bCs/>
        <w:spacing w:val="12"/>
        <w:sz w:val="22"/>
      </w:rPr>
    </w:pPr>
  </w:p>
  <w:p w:rsidR="00747983" w:rsidRPr="009F7794" w:rsidRDefault="00747983">
    <w:pPr>
      <w:pStyle w:val="RKrubrik"/>
      <w:keepNext w:val="0"/>
      <w:tabs>
        <w:tab w:val="clear" w:pos="1134"/>
        <w:tab w:val="clear" w:pos="2835"/>
      </w:tabs>
      <w:spacing w:before="0" w:after="0" w:line="320" w:lineRule="atLeast"/>
      <w:rPr>
        <w:bCs/>
      </w:rPr>
    </w:pPr>
  </w:p>
  <w:p w:rsidR="00747983" w:rsidRPr="009F7794" w:rsidRDefault="0074798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90510"/>
    <w:rsid w:val="00140DB8"/>
    <w:rsid w:val="00150384"/>
    <w:rsid w:val="00153E5E"/>
    <w:rsid w:val="001805B7"/>
    <w:rsid w:val="001B73F3"/>
    <w:rsid w:val="00295AFF"/>
    <w:rsid w:val="003B3449"/>
    <w:rsid w:val="004A328D"/>
    <w:rsid w:val="00586407"/>
    <w:rsid w:val="0058762B"/>
    <w:rsid w:val="006979D6"/>
    <w:rsid w:val="006E4E11"/>
    <w:rsid w:val="006F5B68"/>
    <w:rsid w:val="007242A3"/>
    <w:rsid w:val="00747983"/>
    <w:rsid w:val="0078781A"/>
    <w:rsid w:val="007A6855"/>
    <w:rsid w:val="0080451F"/>
    <w:rsid w:val="009534D7"/>
    <w:rsid w:val="009603F9"/>
    <w:rsid w:val="009F7794"/>
    <w:rsid w:val="00A90510"/>
    <w:rsid w:val="00B10D38"/>
    <w:rsid w:val="00C60CFE"/>
    <w:rsid w:val="00C72E8C"/>
    <w:rsid w:val="00D133D7"/>
    <w:rsid w:val="00E51423"/>
    <w:rsid w:val="00EB1E1E"/>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EE597-87AC-4055-A7C9-90DFCA28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953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6187</Characters>
  <Application>Microsoft Office Word</Application>
  <DocSecurity>4</DocSecurity>
  <Lines>150</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2011-09-26T13:59:00Z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