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13759806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49357F">
              <w:rPr>
                <w:b/>
              </w:rPr>
              <w:t>4</w:t>
            </w:r>
            <w:r w:rsidR="006375F0">
              <w:rPr>
                <w:b/>
              </w:rPr>
              <w:t>/2</w:t>
            </w:r>
            <w:r w:rsidR="0049357F">
              <w:rPr>
                <w:b/>
              </w:rPr>
              <w:t>5</w:t>
            </w:r>
            <w:r w:rsidR="00C07F65">
              <w:rPr>
                <w:b/>
              </w:rPr>
              <w:t>:</w:t>
            </w:r>
            <w:r w:rsidR="006974FE">
              <w:rPr>
                <w:b/>
              </w:rPr>
              <w:t>46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1763FB2C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701F1D">
              <w:t>5</w:t>
            </w:r>
            <w:r w:rsidR="002A3730">
              <w:t>-</w:t>
            </w:r>
            <w:r w:rsidR="00262F59">
              <w:t>05-08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55B84DF6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262F59" w:rsidRPr="009651DC">
              <w:t>10.30-</w:t>
            </w:r>
            <w:r w:rsidR="009651DC" w:rsidRPr="009651DC">
              <w:t>11.34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2A3730" w14:paraId="7C6E34BD" w14:textId="77777777" w:rsidTr="008035C8">
        <w:tc>
          <w:tcPr>
            <w:tcW w:w="567" w:type="dxa"/>
          </w:tcPr>
          <w:p w14:paraId="59DE8C7E" w14:textId="48DEC007" w:rsidR="002A3730" w:rsidRPr="00C92C53" w:rsidRDefault="00262F59" w:rsidP="002A3730">
            <w:pPr>
              <w:pStyle w:val="Default"/>
              <w:rPr>
                <w:b/>
              </w:rPr>
            </w:pPr>
            <w:r>
              <w:rPr>
                <w:b/>
              </w:rPr>
              <w:t>§ 1</w:t>
            </w:r>
          </w:p>
        </w:tc>
        <w:tc>
          <w:tcPr>
            <w:tcW w:w="7655" w:type="dxa"/>
          </w:tcPr>
          <w:p w14:paraId="2AF66191" w14:textId="77777777" w:rsidR="002A3730" w:rsidRDefault="00262F59" w:rsidP="002A3730">
            <w:pPr>
              <w:outlineLvl w:val="0"/>
              <w:rPr>
                <w:bCs/>
                <w:szCs w:val="24"/>
              </w:rPr>
            </w:pPr>
            <w:r w:rsidRPr="006B0C26">
              <w:rPr>
                <w:b/>
              </w:rPr>
              <w:t>Förordning om statistik över kommersiella fastigheter</w:t>
            </w:r>
            <w:r>
              <w:rPr>
                <w:b/>
              </w:rPr>
              <w:br/>
            </w:r>
            <w:r w:rsidR="00C9696D">
              <w:rPr>
                <w:bCs/>
                <w:szCs w:val="24"/>
              </w:rPr>
              <w:t xml:space="preserve">Utskottet överlade med statssekreterare </w:t>
            </w:r>
            <w:proofErr w:type="spellStart"/>
            <w:r w:rsidR="00C9696D">
              <w:rPr>
                <w:bCs/>
                <w:szCs w:val="24"/>
              </w:rPr>
              <w:t>Natasa</w:t>
            </w:r>
            <w:proofErr w:type="spellEnd"/>
            <w:r w:rsidR="00C9696D">
              <w:rPr>
                <w:bCs/>
                <w:szCs w:val="24"/>
              </w:rPr>
              <w:t xml:space="preserve"> </w:t>
            </w:r>
            <w:proofErr w:type="spellStart"/>
            <w:r w:rsidR="00C9696D">
              <w:rPr>
                <w:bCs/>
                <w:szCs w:val="24"/>
              </w:rPr>
              <w:t>Ristic</w:t>
            </w:r>
            <w:proofErr w:type="spellEnd"/>
            <w:r w:rsidR="00C9696D">
              <w:rPr>
                <w:bCs/>
                <w:szCs w:val="24"/>
              </w:rPr>
              <w:t xml:space="preserve"> Davidson, biträdd av medarbetare från Finansdepartementet.</w:t>
            </w:r>
          </w:p>
          <w:p w14:paraId="70A8C2F1" w14:textId="15EBD793" w:rsidR="00C9696D" w:rsidRDefault="00C9696D" w:rsidP="002A3730">
            <w:pPr>
              <w:outlineLvl w:val="0"/>
              <w:rPr>
                <w:bCs/>
              </w:rPr>
            </w:pPr>
            <w:r>
              <w:rPr>
                <w:bCs/>
                <w:szCs w:val="24"/>
              </w:rPr>
              <w:br/>
              <w:t xml:space="preserve">Underlaget utgjordes av faktapromemorian 2024/25:FPM28 och en PPT-presentation </w:t>
            </w:r>
            <w:r w:rsidRPr="00041348">
              <w:rPr>
                <w:bCs/>
              </w:rPr>
              <w:t>(dnr 184–2024/25)</w:t>
            </w:r>
            <w:r>
              <w:rPr>
                <w:bCs/>
              </w:rPr>
              <w:t>.</w:t>
            </w:r>
            <w:r>
              <w:rPr>
                <w:bCs/>
              </w:rPr>
              <w:br/>
            </w:r>
            <w:r>
              <w:rPr>
                <w:bCs/>
              </w:rPr>
              <w:br/>
              <w:t xml:space="preserve">Statssekreterare </w:t>
            </w:r>
            <w:proofErr w:type="spellStart"/>
            <w:r>
              <w:rPr>
                <w:bCs/>
              </w:rPr>
              <w:t>Natasa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Ristic</w:t>
            </w:r>
            <w:proofErr w:type="spellEnd"/>
            <w:r>
              <w:rPr>
                <w:bCs/>
              </w:rPr>
              <w:t xml:space="preserve"> Davidson redogjorde för regeringens ståndpunkt i enlighet med faktapromemorian:</w:t>
            </w:r>
          </w:p>
          <w:p w14:paraId="19A6F89A" w14:textId="4910D0FD" w:rsidR="00F62B74" w:rsidRPr="00F62B74" w:rsidRDefault="00F62B74" w:rsidP="0033620A">
            <w:pPr>
              <w:ind w:left="432" w:hanging="432"/>
              <w:outlineLvl w:val="0"/>
              <w:rPr>
                <w:bCs/>
              </w:rPr>
            </w:pPr>
            <w:r>
              <w:rPr>
                <w:bCs/>
              </w:rPr>
              <w:br/>
            </w:r>
            <w:r w:rsidRPr="00F62B74">
              <w:rPr>
                <w:bCs/>
              </w:rPr>
              <w:t>Regeringen ser ett behov av att det kommer att finnas jämförbar statistik på detta område och stöder i huvudsak förslaget. Regeringen är angelägen om att förslagets kostnadsdrivande påverkan begränsas så mycket som möjligt, bl.a. genom att det fortsatta utvecklingsarbetet sker på frivillig basis utanför regleringen.</w:t>
            </w:r>
          </w:p>
          <w:p w14:paraId="359BDB27" w14:textId="7D723CDE" w:rsidR="00F62B74" w:rsidRPr="00F62B74" w:rsidRDefault="00F62B74" w:rsidP="0033620A">
            <w:pPr>
              <w:ind w:left="432" w:hanging="432"/>
              <w:outlineLvl w:val="0"/>
              <w:rPr>
                <w:bCs/>
              </w:rPr>
            </w:pPr>
            <w:r>
              <w:rPr>
                <w:bCs/>
              </w:rPr>
              <w:br/>
            </w:r>
            <w:r w:rsidRPr="00F62B74">
              <w:rPr>
                <w:bCs/>
              </w:rPr>
              <w:t>Regeringen avser att verka för att regleringen inte leder till ökad börda för kommuner, företag eller individer då regelförenklingar och konkurrenskraft är ett prioriterat område för regeringens EU-arbete.</w:t>
            </w:r>
          </w:p>
          <w:p w14:paraId="37332B47" w14:textId="252E54A6" w:rsidR="00F62B74" w:rsidRPr="00F62B74" w:rsidRDefault="00F62B74" w:rsidP="0033620A">
            <w:pPr>
              <w:ind w:left="432" w:hanging="432"/>
              <w:outlineLvl w:val="0"/>
              <w:rPr>
                <w:bCs/>
              </w:rPr>
            </w:pPr>
            <w:r>
              <w:rPr>
                <w:bCs/>
              </w:rPr>
              <w:br/>
            </w:r>
            <w:r w:rsidRPr="00F62B74">
              <w:rPr>
                <w:bCs/>
              </w:rPr>
              <w:t xml:space="preserve">Omfattningen av regleringens kostnadsdrivande påverkan kommer att kunna bedömas i sin helhet först när kommissionen föreslår nödvändiga </w:t>
            </w:r>
            <w:proofErr w:type="spellStart"/>
            <w:r w:rsidRPr="00F62B74">
              <w:rPr>
                <w:bCs/>
              </w:rPr>
              <w:t>genomförandeakter</w:t>
            </w:r>
            <w:proofErr w:type="spellEnd"/>
            <w:r w:rsidRPr="00F62B74">
              <w:rPr>
                <w:bCs/>
              </w:rPr>
              <w:t xml:space="preserve">, som kommer att fastställa bl.a. omfattningen och frekvensen av rapporteringen till kommissionen. Regeringen anser att det kan vara aktuellt att begränsa omfattningen av delegeringen till kommissionen för att </w:t>
            </w:r>
            <w:proofErr w:type="spellStart"/>
            <w:r w:rsidRPr="00F62B74">
              <w:rPr>
                <w:bCs/>
              </w:rPr>
              <w:t>genomförandeakterna</w:t>
            </w:r>
            <w:proofErr w:type="spellEnd"/>
            <w:r w:rsidRPr="00F62B74">
              <w:rPr>
                <w:bCs/>
              </w:rPr>
              <w:t xml:space="preserve"> inte ska bli mer kostnadsdrivande än nödvändigt.</w:t>
            </w:r>
          </w:p>
          <w:p w14:paraId="3691D04A" w14:textId="77777777" w:rsidR="0033620A" w:rsidRDefault="00F62B74" w:rsidP="0033620A">
            <w:pPr>
              <w:ind w:left="432" w:hanging="432"/>
              <w:outlineLvl w:val="0"/>
              <w:rPr>
                <w:bCs/>
              </w:rPr>
            </w:pPr>
            <w:r>
              <w:rPr>
                <w:bCs/>
              </w:rPr>
              <w:br/>
            </w:r>
            <w:r w:rsidRPr="00F62B74">
              <w:rPr>
                <w:bCs/>
              </w:rPr>
              <w:t>Kommissionens möjlighet att ändra datakraven (variabellistan) genom delegerade akter är förknippad med potentiellt stor kostnadspåverkan. Regeringen anser därför att kommissionens</w:t>
            </w:r>
            <w:r w:rsidR="0033620A">
              <w:rPr>
                <w:bCs/>
              </w:rPr>
              <w:t xml:space="preserve"> </w:t>
            </w:r>
            <w:r w:rsidRPr="00F62B74">
              <w:rPr>
                <w:bCs/>
              </w:rPr>
              <w:t>möjlighet att anta delegerade akter kan behöva begränsas i tid och omfattning.</w:t>
            </w:r>
          </w:p>
          <w:p w14:paraId="2B933867" w14:textId="77777777" w:rsidR="0033620A" w:rsidRDefault="0033620A" w:rsidP="0033620A">
            <w:pPr>
              <w:ind w:left="432" w:hanging="432"/>
              <w:outlineLvl w:val="0"/>
              <w:rPr>
                <w:bCs/>
              </w:rPr>
            </w:pPr>
          </w:p>
          <w:p w14:paraId="49C09703" w14:textId="2A0F9970" w:rsidR="00C9696D" w:rsidRPr="0033620A" w:rsidRDefault="0033620A" w:rsidP="0033620A">
            <w:pPr>
              <w:ind w:left="432" w:hanging="432"/>
              <w:outlineLvl w:val="0"/>
              <w:rPr>
                <w:bCs/>
              </w:rPr>
            </w:pPr>
            <w:r>
              <w:rPr>
                <w:bCs/>
              </w:rPr>
              <w:t>Ordföranden konstaterade att det fanns stöd för regeringens ståndpunkt.</w:t>
            </w:r>
            <w:r w:rsidR="00C9696D">
              <w:rPr>
                <w:bCs/>
              </w:rPr>
              <w:br/>
            </w:r>
          </w:p>
        </w:tc>
      </w:tr>
      <w:tr w:rsidR="00262F59" w14:paraId="6D67CC44" w14:textId="77777777" w:rsidTr="008035C8">
        <w:tc>
          <w:tcPr>
            <w:tcW w:w="567" w:type="dxa"/>
          </w:tcPr>
          <w:p w14:paraId="0C76FF8F" w14:textId="6F6375F8" w:rsidR="00262F59" w:rsidRDefault="00262F59" w:rsidP="002A3730">
            <w:pPr>
              <w:pStyle w:val="Defaul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468FFCD4" w14:textId="5CC4A605" w:rsidR="00921791" w:rsidRDefault="00262F59" w:rsidP="00921791">
            <w:pPr>
              <w:outlineLvl w:val="0"/>
              <w:rPr>
                <w:bCs/>
                <w:szCs w:val="24"/>
              </w:rPr>
            </w:pPr>
            <w:r w:rsidRPr="006B0C26">
              <w:rPr>
                <w:b/>
              </w:rPr>
              <w:t>ECA:s särskilda rapporter</w:t>
            </w:r>
            <w:r w:rsidR="00921791">
              <w:rPr>
                <w:b/>
              </w:rPr>
              <w:br/>
            </w:r>
            <w:r w:rsidR="00921791" w:rsidRPr="00921791">
              <w:rPr>
                <w:bCs/>
              </w:rPr>
              <w:t>Hans Lindblad</w:t>
            </w:r>
            <w:r w:rsidR="00921791">
              <w:rPr>
                <w:bCs/>
                <w:szCs w:val="24"/>
              </w:rPr>
              <w:t xml:space="preserve">, ledamot av Europeiska revisionsrätten, </w:t>
            </w:r>
            <w:r w:rsidR="00921791" w:rsidRPr="009651DC">
              <w:rPr>
                <w:bCs/>
                <w:szCs w:val="24"/>
              </w:rPr>
              <w:t>och medarbetare</w:t>
            </w:r>
            <w:r w:rsidR="00921791">
              <w:rPr>
                <w:bCs/>
                <w:szCs w:val="24"/>
              </w:rPr>
              <w:t xml:space="preserve"> informerade utskottet om en så kallad särskild rapport och en översikt från ECA:</w:t>
            </w:r>
          </w:p>
          <w:p w14:paraId="21747A8E" w14:textId="18E61142" w:rsidR="00921791" w:rsidRPr="00CA7267" w:rsidRDefault="00921791" w:rsidP="00CA7267">
            <w:pPr>
              <w:pStyle w:val="Liststycke"/>
              <w:numPr>
                <w:ilvl w:val="0"/>
                <w:numId w:val="15"/>
              </w:numPr>
              <w:outlineLvl w:val="0"/>
              <w:rPr>
                <w:bCs/>
                <w:szCs w:val="24"/>
              </w:rPr>
            </w:pPr>
            <w:r w:rsidRPr="00CA7267">
              <w:rPr>
                <w:bCs/>
                <w:szCs w:val="24"/>
              </w:rPr>
              <w:t>Särskild rapport: Europeiska fonden för strategiska investeringar</w:t>
            </w:r>
            <w:r w:rsidR="00DA7D55">
              <w:rPr>
                <w:bCs/>
                <w:szCs w:val="24"/>
              </w:rPr>
              <w:t>.</w:t>
            </w:r>
          </w:p>
          <w:p w14:paraId="4C36CD1E" w14:textId="4B013CAF" w:rsidR="00262F59" w:rsidRPr="00CA7267" w:rsidRDefault="00921791" w:rsidP="00CA7267">
            <w:pPr>
              <w:pStyle w:val="Liststycke"/>
              <w:numPr>
                <w:ilvl w:val="0"/>
                <w:numId w:val="15"/>
              </w:numPr>
              <w:outlineLvl w:val="0"/>
              <w:rPr>
                <w:bCs/>
                <w:szCs w:val="24"/>
              </w:rPr>
            </w:pPr>
            <w:r w:rsidRPr="00CA7267">
              <w:rPr>
                <w:bCs/>
                <w:szCs w:val="24"/>
              </w:rPr>
              <w:t>Översikt: Prestationsinriktning, ansvarsutkrävande och insyn – lärdomar</w:t>
            </w:r>
            <w:r w:rsidR="00DA7D55">
              <w:rPr>
                <w:bCs/>
                <w:szCs w:val="24"/>
              </w:rPr>
              <w:t xml:space="preserve"> </w:t>
            </w:r>
            <w:r w:rsidRPr="00CA7267">
              <w:rPr>
                <w:bCs/>
                <w:szCs w:val="24"/>
              </w:rPr>
              <w:t xml:space="preserve">från bristerna i faciliteten för återhämtning och </w:t>
            </w:r>
            <w:proofErr w:type="spellStart"/>
            <w:r w:rsidRPr="00CA7267">
              <w:rPr>
                <w:bCs/>
                <w:szCs w:val="24"/>
              </w:rPr>
              <w:t>resiliens</w:t>
            </w:r>
            <w:proofErr w:type="spellEnd"/>
            <w:r w:rsidRPr="00CA7267">
              <w:rPr>
                <w:bCs/>
                <w:szCs w:val="24"/>
              </w:rPr>
              <w:t>.</w:t>
            </w:r>
            <w:r w:rsidR="00262F59" w:rsidRPr="00CA7267">
              <w:rPr>
                <w:bCs/>
                <w:szCs w:val="24"/>
              </w:rPr>
              <w:br/>
            </w:r>
            <w:r w:rsidRPr="00CA7267">
              <w:rPr>
                <w:bCs/>
                <w:szCs w:val="24"/>
              </w:rPr>
              <w:t xml:space="preserve"> </w:t>
            </w:r>
          </w:p>
        </w:tc>
      </w:tr>
      <w:tr w:rsidR="00262F59" w14:paraId="401E8B6F" w14:textId="77777777" w:rsidTr="008035C8">
        <w:tc>
          <w:tcPr>
            <w:tcW w:w="567" w:type="dxa"/>
          </w:tcPr>
          <w:p w14:paraId="6C67E2C2" w14:textId="77777777" w:rsidR="001172C0" w:rsidRDefault="001172C0" w:rsidP="002A3730">
            <w:pPr>
              <w:pStyle w:val="Default"/>
              <w:rPr>
                <w:b/>
                <w:snapToGrid w:val="0"/>
              </w:rPr>
            </w:pPr>
          </w:p>
          <w:p w14:paraId="6BC00594" w14:textId="77777777" w:rsidR="00E17191" w:rsidRDefault="00E17191" w:rsidP="002A3730">
            <w:pPr>
              <w:pStyle w:val="Default"/>
              <w:rPr>
                <w:b/>
                <w:snapToGrid w:val="0"/>
              </w:rPr>
            </w:pPr>
          </w:p>
          <w:p w14:paraId="5255E959" w14:textId="1A5FE424" w:rsidR="00262F59" w:rsidRDefault="00262F59" w:rsidP="002A3730">
            <w:pPr>
              <w:pStyle w:val="Defaul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14:paraId="5E25C750" w14:textId="77777777" w:rsidR="001172C0" w:rsidRDefault="001172C0" w:rsidP="002A3730">
            <w:pPr>
              <w:outlineLvl w:val="0"/>
              <w:rPr>
                <w:b/>
                <w:szCs w:val="24"/>
              </w:rPr>
            </w:pPr>
          </w:p>
          <w:p w14:paraId="44FA45D9" w14:textId="77777777" w:rsidR="00E17191" w:rsidRDefault="00E17191" w:rsidP="002A3730">
            <w:pPr>
              <w:outlineLvl w:val="0"/>
              <w:rPr>
                <w:b/>
                <w:szCs w:val="24"/>
              </w:rPr>
            </w:pPr>
          </w:p>
          <w:p w14:paraId="44E5D4B9" w14:textId="17988F64" w:rsidR="00262F59" w:rsidRPr="00262F59" w:rsidRDefault="00262F59" w:rsidP="002A3730">
            <w:pPr>
              <w:outlineLvl w:val="0"/>
              <w:rPr>
                <w:bCs/>
                <w:szCs w:val="24"/>
              </w:rPr>
            </w:pPr>
            <w:r w:rsidRPr="002A3730">
              <w:rPr>
                <w:b/>
                <w:szCs w:val="24"/>
              </w:rPr>
              <w:t>Anmälningar</w:t>
            </w:r>
            <w:r w:rsidRPr="002A3730">
              <w:rPr>
                <w:b/>
                <w:szCs w:val="24"/>
              </w:rPr>
              <w:br/>
            </w:r>
            <w:r>
              <w:rPr>
                <w:bCs/>
                <w:szCs w:val="24"/>
              </w:rPr>
              <w:t>En kortrapport från IMF och Världsbankens vårmöten anmäldes</w:t>
            </w:r>
            <w:r w:rsidR="00831AD2">
              <w:rPr>
                <w:bCs/>
                <w:szCs w:val="24"/>
              </w:rPr>
              <w:t xml:space="preserve"> (dnr </w:t>
            </w:r>
            <w:r w:rsidR="00831AD2">
              <w:t>1701–2024/25)</w:t>
            </w:r>
            <w:r>
              <w:rPr>
                <w:bCs/>
                <w:szCs w:val="24"/>
              </w:rPr>
              <w:t>.</w:t>
            </w:r>
            <w:r>
              <w:rPr>
                <w:bCs/>
                <w:szCs w:val="24"/>
              </w:rPr>
              <w:br/>
            </w:r>
          </w:p>
        </w:tc>
      </w:tr>
      <w:tr w:rsidR="002A3730" w14:paraId="2C8ABE0A" w14:textId="77777777" w:rsidTr="008035C8">
        <w:tc>
          <w:tcPr>
            <w:tcW w:w="567" w:type="dxa"/>
          </w:tcPr>
          <w:p w14:paraId="442699FD" w14:textId="2BED7F6A" w:rsidR="002A3730" w:rsidRPr="00C92C53" w:rsidRDefault="002A3730" w:rsidP="002A3730">
            <w:pPr>
              <w:pStyle w:val="Default"/>
              <w:rPr>
                <w:b/>
              </w:rPr>
            </w:pPr>
            <w:r w:rsidRPr="00C92C53">
              <w:rPr>
                <w:b/>
              </w:rPr>
              <w:lastRenderedPageBreak/>
              <w:t xml:space="preserve">§ </w:t>
            </w:r>
            <w:r w:rsidR="00262F59">
              <w:rPr>
                <w:b/>
              </w:rPr>
              <w:t>4</w:t>
            </w:r>
          </w:p>
        </w:tc>
        <w:tc>
          <w:tcPr>
            <w:tcW w:w="7655" w:type="dxa"/>
          </w:tcPr>
          <w:p w14:paraId="17EE5049" w14:textId="687325EF" w:rsidR="002A3730" w:rsidRPr="002A3730" w:rsidRDefault="002A3730" w:rsidP="002A3730">
            <w:pPr>
              <w:outlineLvl w:val="0"/>
              <w:rPr>
                <w:bCs/>
                <w:szCs w:val="24"/>
              </w:rPr>
            </w:pPr>
            <w:r w:rsidRPr="002A3730">
              <w:rPr>
                <w:b/>
                <w:szCs w:val="24"/>
              </w:rPr>
              <w:t>Justering av protokoll</w:t>
            </w:r>
            <w:r w:rsidR="00262F59">
              <w:rPr>
                <w:b/>
                <w:szCs w:val="24"/>
              </w:rPr>
              <w:br/>
            </w:r>
            <w:r w:rsidR="00262F59">
              <w:rPr>
                <w:bCs/>
                <w:szCs w:val="24"/>
              </w:rPr>
              <w:t>Utskottet justerade protokoll nr 2024/25:45.</w:t>
            </w:r>
            <w:r w:rsidRPr="002A3730">
              <w:rPr>
                <w:b/>
                <w:szCs w:val="24"/>
              </w:rPr>
              <w:br/>
            </w:r>
          </w:p>
        </w:tc>
      </w:tr>
      <w:tr w:rsidR="006A74AC" w14:paraId="381DDF23" w14:textId="77777777" w:rsidTr="008035C8">
        <w:tc>
          <w:tcPr>
            <w:tcW w:w="567" w:type="dxa"/>
          </w:tcPr>
          <w:p w14:paraId="3B83AFC3" w14:textId="116F00A8" w:rsidR="006A74AC" w:rsidRDefault="006A74A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262F59">
              <w:rPr>
                <w:b/>
              </w:rPr>
              <w:t xml:space="preserve"> 5</w:t>
            </w:r>
          </w:p>
        </w:tc>
        <w:tc>
          <w:tcPr>
            <w:tcW w:w="7655" w:type="dxa"/>
          </w:tcPr>
          <w:p w14:paraId="3BAB142E" w14:textId="47654A0E" w:rsidR="006A74AC" w:rsidRDefault="00262F59" w:rsidP="002A3730">
            <w:pPr>
              <w:outlineLvl w:val="0"/>
            </w:pPr>
            <w:r>
              <w:rPr>
                <w:b/>
              </w:rPr>
              <w:t>En effektivare förvaltning av buffertkapitalet (FiU36)</w:t>
            </w:r>
            <w:r>
              <w:rPr>
                <w:b/>
              </w:rPr>
              <w:br/>
            </w:r>
            <w:r>
              <w:t>Utskottet fortsatte beredningen av proposition 2024/25:133.</w:t>
            </w:r>
          </w:p>
          <w:p w14:paraId="13D6C634" w14:textId="317E8339" w:rsidR="00262F59" w:rsidRDefault="00262F59" w:rsidP="002A3730">
            <w:pPr>
              <w:outlineLvl w:val="0"/>
            </w:pPr>
          </w:p>
          <w:p w14:paraId="5D7CDC60" w14:textId="59507F53" w:rsidR="00262F59" w:rsidRPr="00262F59" w:rsidRDefault="00262F59" w:rsidP="002A3730">
            <w:pPr>
              <w:outlineLvl w:val="0"/>
            </w:pPr>
            <w:r>
              <w:t>Ärendet bordlades.</w:t>
            </w:r>
          </w:p>
          <w:p w14:paraId="45FA8DC7" w14:textId="6462C1A0" w:rsidR="006A74AC" w:rsidRDefault="006A74AC" w:rsidP="002A3730">
            <w:pPr>
              <w:outlineLvl w:val="0"/>
              <w:rPr>
                <w:b/>
                <w:bCs/>
              </w:rPr>
            </w:pPr>
          </w:p>
        </w:tc>
      </w:tr>
      <w:tr w:rsidR="006A74AC" w14:paraId="20B894FB" w14:textId="77777777" w:rsidTr="008035C8">
        <w:tc>
          <w:tcPr>
            <w:tcW w:w="567" w:type="dxa"/>
          </w:tcPr>
          <w:p w14:paraId="34A9F0DB" w14:textId="06A755FD" w:rsidR="006A74AC" w:rsidRDefault="006A74A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262F59">
              <w:rPr>
                <w:b/>
              </w:rPr>
              <w:t xml:space="preserve"> 6</w:t>
            </w:r>
          </w:p>
        </w:tc>
        <w:tc>
          <w:tcPr>
            <w:tcW w:w="7655" w:type="dxa"/>
          </w:tcPr>
          <w:p w14:paraId="7381826B" w14:textId="5B057C68" w:rsidR="006A74AC" w:rsidRPr="00262F59" w:rsidRDefault="00262F59" w:rsidP="002A3730">
            <w:pPr>
              <w:outlineLvl w:val="0"/>
            </w:pPr>
            <w:r>
              <w:rPr>
                <w:b/>
                <w:bCs/>
              </w:rPr>
              <w:t>Inkommen skrivelse</w:t>
            </w:r>
            <w:r>
              <w:rPr>
                <w:b/>
                <w:bCs/>
              </w:rPr>
              <w:br/>
            </w:r>
            <w:r w:rsidR="008C564B">
              <w:t xml:space="preserve">Ett kompletterande svar från </w:t>
            </w:r>
            <w:r w:rsidR="001B6F7A">
              <w:t>R</w:t>
            </w:r>
            <w:r w:rsidR="008C564B">
              <w:t>egeringskansliet om finansiering av stödet till Ukraina inkom (dnr</w:t>
            </w:r>
            <w:r w:rsidR="008F2054">
              <w:t xml:space="preserve"> </w:t>
            </w:r>
            <w:r w:rsidR="004E7E5A">
              <w:t>1684</w:t>
            </w:r>
            <w:r w:rsidR="008F2054">
              <w:t>–2024/25).</w:t>
            </w:r>
            <w:r w:rsidR="008F2054">
              <w:br/>
            </w:r>
          </w:p>
          <w:p w14:paraId="7689D4E0" w14:textId="2D32089F" w:rsidR="006A74AC" w:rsidRDefault="006A74AC" w:rsidP="002A3730">
            <w:pPr>
              <w:outlineLvl w:val="0"/>
              <w:rPr>
                <w:b/>
                <w:bCs/>
              </w:rPr>
            </w:pPr>
          </w:p>
        </w:tc>
      </w:tr>
      <w:tr w:rsidR="002A3730" w14:paraId="3BC19977" w14:textId="77777777" w:rsidTr="008035C8">
        <w:tc>
          <w:tcPr>
            <w:tcW w:w="567" w:type="dxa"/>
          </w:tcPr>
          <w:p w14:paraId="6B43BC28" w14:textId="77465993" w:rsidR="002A3730" w:rsidRDefault="002A3730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651DC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14:paraId="20962978" w14:textId="32A6D0EA" w:rsidR="002A3730" w:rsidRDefault="002A3730" w:rsidP="002A3730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Övriga frågor</w:t>
            </w:r>
            <w:r w:rsidR="009651DC">
              <w:rPr>
                <w:b/>
                <w:bCs/>
              </w:rPr>
              <w:br/>
            </w:r>
            <w:proofErr w:type="spellStart"/>
            <w:r w:rsidR="009651DC">
              <w:t>Janine</w:t>
            </w:r>
            <w:proofErr w:type="spellEnd"/>
            <w:r w:rsidR="009651DC">
              <w:t xml:space="preserve"> Alm Ericson (MP) och Peder Björk (S) återrapporterade från IMF och Världsbankens </w:t>
            </w:r>
            <w:r w:rsidR="006B7DA6">
              <w:t>parlamentariska nätverk</w:t>
            </w:r>
            <w:r w:rsidR="009651DC">
              <w:t xml:space="preserve"> den 21 och 22 april</w:t>
            </w:r>
            <w:r w:rsidR="00013416">
              <w:t xml:space="preserve"> i Washington</w:t>
            </w:r>
            <w:r w:rsidR="000374B5">
              <w:t xml:space="preserve"> D.C</w:t>
            </w:r>
            <w:r w:rsidR="009651DC">
              <w:t>.</w:t>
            </w:r>
            <w:r>
              <w:rPr>
                <w:b/>
                <w:bCs/>
              </w:rPr>
              <w:br/>
            </w:r>
          </w:p>
        </w:tc>
      </w:tr>
      <w:tr w:rsidR="002A3730" w14:paraId="448AFCE1" w14:textId="77777777" w:rsidTr="008035C8">
        <w:tc>
          <w:tcPr>
            <w:tcW w:w="567" w:type="dxa"/>
          </w:tcPr>
          <w:p w14:paraId="265C4579" w14:textId="60E75C87" w:rsidR="002A3730" w:rsidRDefault="002A3730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651DC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14:paraId="00914D18" w14:textId="3C7CB038" w:rsidR="002A3730" w:rsidRPr="001172C0" w:rsidRDefault="002A3730" w:rsidP="002A3730">
            <w:pPr>
              <w:outlineLvl w:val="0"/>
              <w:rPr>
                <w:bCs/>
              </w:rPr>
            </w:pPr>
            <w:r>
              <w:rPr>
                <w:b/>
              </w:rPr>
              <w:t>Nästa sammanträde</w:t>
            </w:r>
            <w:r w:rsidR="001172C0">
              <w:rPr>
                <w:b/>
              </w:rPr>
              <w:br/>
            </w:r>
            <w:r w:rsidR="001172C0">
              <w:rPr>
                <w:bCs/>
              </w:rPr>
              <w:t>Torsdag 15 maj:</w:t>
            </w:r>
            <w:r w:rsidR="001172C0">
              <w:rPr>
                <w:bCs/>
              </w:rPr>
              <w:br/>
              <w:t>Offentligt sammanträde i Förstakammarsalen</w:t>
            </w:r>
          </w:p>
          <w:p w14:paraId="3CE1FBF0" w14:textId="145C5433" w:rsidR="002A3730" w:rsidRPr="002B3CE9" w:rsidRDefault="002A3730" w:rsidP="002A3730">
            <w:pPr>
              <w:outlineLvl w:val="0"/>
              <w:rPr>
                <w:b/>
                <w:bCs/>
              </w:rPr>
            </w:pPr>
          </w:p>
        </w:tc>
      </w:tr>
      <w:tr w:rsidR="002A3730" w14:paraId="3025882C" w14:textId="77777777" w:rsidTr="008035C8">
        <w:tc>
          <w:tcPr>
            <w:tcW w:w="8222" w:type="dxa"/>
            <w:gridSpan w:val="2"/>
          </w:tcPr>
          <w:p w14:paraId="4E614365" w14:textId="77777777" w:rsidR="002A3730" w:rsidRDefault="002A3730" w:rsidP="002A3730">
            <w:pPr>
              <w:outlineLvl w:val="0"/>
            </w:pPr>
          </w:p>
          <w:p w14:paraId="1BB0098D" w14:textId="77777777" w:rsidR="00262F59" w:rsidRDefault="00262F59" w:rsidP="002A3730">
            <w:pPr>
              <w:outlineLvl w:val="0"/>
            </w:pPr>
          </w:p>
          <w:p w14:paraId="2F50798C" w14:textId="3D53B133" w:rsidR="002A3730" w:rsidRDefault="002A3730" w:rsidP="002A3730">
            <w:pPr>
              <w:outlineLvl w:val="0"/>
            </w:pPr>
          </w:p>
          <w:p w14:paraId="16576EC6" w14:textId="33415794" w:rsidR="002A3730" w:rsidRDefault="002A3730" w:rsidP="002A3730">
            <w:pPr>
              <w:outlineLvl w:val="0"/>
            </w:pPr>
          </w:p>
          <w:p w14:paraId="54FA6D78" w14:textId="77777777" w:rsidR="007D3849" w:rsidRDefault="007D3849" w:rsidP="002A3730">
            <w:pPr>
              <w:outlineLvl w:val="0"/>
            </w:pPr>
          </w:p>
          <w:p w14:paraId="7B13580B" w14:textId="7D7D8F96" w:rsidR="002A3730" w:rsidRPr="00BD39D1" w:rsidRDefault="002A3730" w:rsidP="002A3730">
            <w:pPr>
              <w:outlineLvl w:val="0"/>
            </w:pPr>
            <w:r>
              <w:t>Justera</w:t>
            </w:r>
            <w:r w:rsidR="007D3849">
              <w:t>t</w:t>
            </w:r>
            <w:r>
              <w:t xml:space="preserve"> den </w:t>
            </w:r>
            <w:r w:rsidR="00262F59">
              <w:t>15 maj 2025</w:t>
            </w:r>
            <w:r>
              <w:t xml:space="preserve"> </w:t>
            </w:r>
            <w:r w:rsidR="00262F59">
              <w:br/>
              <w:t xml:space="preserve">Edward </w:t>
            </w:r>
            <w:proofErr w:type="spellStart"/>
            <w:r w:rsidR="00262F59">
              <w:t>Riedl</w:t>
            </w:r>
            <w:proofErr w:type="spellEnd"/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1FB112F8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805D17">
        <w:rPr>
          <w:sz w:val="22"/>
          <w:szCs w:val="22"/>
        </w:rPr>
        <w:t>4</w:t>
      </w:r>
      <w:r>
        <w:rPr>
          <w:sz w:val="22"/>
          <w:szCs w:val="22"/>
        </w:rPr>
        <w:t>/2</w:t>
      </w:r>
      <w:r w:rsidR="00805D17">
        <w:rPr>
          <w:sz w:val="22"/>
          <w:szCs w:val="22"/>
        </w:rPr>
        <w:t>5</w:t>
      </w:r>
      <w:r w:rsidRPr="00282678">
        <w:rPr>
          <w:sz w:val="22"/>
          <w:szCs w:val="22"/>
        </w:rPr>
        <w:t>:</w:t>
      </w:r>
      <w:r w:rsidR="00C463BA">
        <w:rPr>
          <w:sz w:val="22"/>
          <w:szCs w:val="22"/>
        </w:rPr>
        <w:t>46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756CF4BC" w:rsidR="00EF6F88" w:rsidRPr="000E151F" w:rsidRDefault="00125422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§1-8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Riedl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6FF5B646" w:rsidR="00EF6F88" w:rsidRPr="000E151F" w:rsidRDefault="00125422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125422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125422" w:rsidRPr="00A946FF" w:rsidRDefault="00125422" w:rsidP="0012542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48C87D9D" w:rsidR="00125422" w:rsidRPr="000E151F" w:rsidRDefault="00125422" w:rsidP="00125422">
            <w:pPr>
              <w:rPr>
                <w:sz w:val="22"/>
                <w:szCs w:val="22"/>
              </w:rPr>
            </w:pPr>
            <w:r w:rsidRPr="0064487D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</w:tr>
      <w:tr w:rsidR="00125422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125422" w:rsidRPr="00A946FF" w:rsidRDefault="00125422" w:rsidP="0012542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4E87D27E" w:rsidR="00125422" w:rsidRPr="000E151F" w:rsidRDefault="00125422" w:rsidP="00125422">
            <w:pPr>
              <w:rPr>
                <w:sz w:val="22"/>
                <w:szCs w:val="22"/>
              </w:rPr>
            </w:pPr>
            <w:r w:rsidRPr="0064487D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</w:tr>
      <w:tr w:rsidR="00125422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125422" w:rsidRPr="000E151F" w:rsidRDefault="00125422" w:rsidP="0012542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4BA2F92D" w:rsidR="00125422" w:rsidRPr="000E151F" w:rsidRDefault="00125422" w:rsidP="00125422">
            <w:pPr>
              <w:rPr>
                <w:sz w:val="22"/>
                <w:szCs w:val="22"/>
              </w:rPr>
            </w:pPr>
            <w:r w:rsidRPr="0064487D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</w:tr>
      <w:tr w:rsidR="00125422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125422" w:rsidRDefault="00125422" w:rsidP="0012542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Dennis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Dioukarev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463DFF2D" w:rsidR="00125422" w:rsidRPr="000E151F" w:rsidRDefault="00125422" w:rsidP="00125422">
            <w:pPr>
              <w:rPr>
                <w:sz w:val="22"/>
                <w:szCs w:val="22"/>
              </w:rPr>
            </w:pPr>
            <w:r w:rsidRPr="0064487D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</w:tr>
      <w:tr w:rsidR="00125422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125422" w:rsidRDefault="00125422" w:rsidP="0012542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Björn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Wiechel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4E0A82E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</w:tr>
      <w:tr w:rsidR="00125422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125422" w:rsidRDefault="00125422" w:rsidP="0012542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05A9FE03" w:rsidR="00125422" w:rsidRPr="000E151F" w:rsidRDefault="00125422" w:rsidP="00125422">
            <w:pPr>
              <w:rPr>
                <w:sz w:val="22"/>
                <w:szCs w:val="22"/>
              </w:rPr>
            </w:pPr>
            <w:r w:rsidRPr="0064487D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</w:tr>
      <w:tr w:rsidR="00125422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125422" w:rsidRDefault="00125422" w:rsidP="0012542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6582679E" w:rsidR="00125422" w:rsidRPr="000E151F" w:rsidRDefault="00125422" w:rsidP="00125422">
            <w:pPr>
              <w:rPr>
                <w:sz w:val="22"/>
                <w:szCs w:val="22"/>
              </w:rPr>
            </w:pPr>
            <w:r w:rsidRPr="0064487D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</w:tr>
      <w:tr w:rsidR="00125422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125422" w:rsidRDefault="00125422" w:rsidP="0012542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Charlotte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Quensel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56CE10E2" w:rsidR="00125422" w:rsidRPr="000E151F" w:rsidRDefault="00125422" w:rsidP="00125422">
            <w:pPr>
              <w:rPr>
                <w:sz w:val="22"/>
                <w:szCs w:val="22"/>
              </w:rPr>
            </w:pPr>
            <w:r w:rsidRPr="0064487D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</w:tr>
      <w:tr w:rsidR="00125422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125422" w:rsidRDefault="00125422" w:rsidP="0012542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044CC05F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</w:tr>
      <w:tr w:rsidR="00125422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125422" w:rsidRPr="000E151F" w:rsidRDefault="00125422" w:rsidP="0012542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2460F50D" w:rsidR="00125422" w:rsidRPr="000E151F" w:rsidRDefault="00125422" w:rsidP="00125422">
            <w:pPr>
              <w:rPr>
                <w:sz w:val="22"/>
                <w:szCs w:val="22"/>
              </w:rPr>
            </w:pPr>
            <w:r w:rsidRPr="0064487D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</w:tr>
      <w:tr w:rsidR="00125422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125422" w:rsidRPr="000E151F" w:rsidRDefault="00125422" w:rsidP="0012542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36A5C1B9" w:rsidR="00125422" w:rsidRPr="000E151F" w:rsidRDefault="00125422" w:rsidP="00125422">
            <w:pPr>
              <w:rPr>
                <w:sz w:val="22"/>
                <w:szCs w:val="22"/>
              </w:rPr>
            </w:pPr>
            <w:r w:rsidRPr="0064487D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</w:tr>
      <w:tr w:rsidR="00125422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125422" w:rsidRPr="000E151F" w:rsidRDefault="00125422" w:rsidP="0012542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1005B36C" w:rsidR="00125422" w:rsidRPr="000E151F" w:rsidRDefault="00125422" w:rsidP="00125422">
            <w:pPr>
              <w:rPr>
                <w:sz w:val="22"/>
                <w:szCs w:val="22"/>
              </w:rPr>
            </w:pPr>
            <w:r w:rsidRPr="0064487D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</w:tr>
      <w:tr w:rsidR="00125422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125422" w:rsidRPr="000E151F" w:rsidRDefault="00125422" w:rsidP="0012542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45C0E836" w:rsidR="00125422" w:rsidRPr="000E151F" w:rsidRDefault="00125422" w:rsidP="00125422">
            <w:pPr>
              <w:rPr>
                <w:sz w:val="22"/>
                <w:szCs w:val="22"/>
              </w:rPr>
            </w:pPr>
            <w:r w:rsidRPr="0064487D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</w:tr>
      <w:tr w:rsidR="00125422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125422" w:rsidRPr="000E151F" w:rsidRDefault="00125422" w:rsidP="0012542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14993F61" w:rsidR="00125422" w:rsidRPr="000E151F" w:rsidRDefault="00125422" w:rsidP="00125422">
            <w:pPr>
              <w:rPr>
                <w:sz w:val="22"/>
                <w:szCs w:val="22"/>
              </w:rPr>
            </w:pPr>
            <w:r w:rsidRPr="0064487D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</w:tr>
      <w:tr w:rsidR="00125422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125422" w:rsidRDefault="00125422" w:rsidP="0012542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A946FF">
              <w:rPr>
                <w:snapToGrid w:val="0"/>
                <w:sz w:val="22"/>
                <w:szCs w:val="22"/>
              </w:rPr>
              <w:t>Janine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562124F5" w:rsidR="00125422" w:rsidRPr="000E151F" w:rsidRDefault="00125422" w:rsidP="00125422">
            <w:pPr>
              <w:rPr>
                <w:sz w:val="22"/>
                <w:szCs w:val="22"/>
              </w:rPr>
            </w:pPr>
            <w:r w:rsidRPr="0064487D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</w:tr>
      <w:tr w:rsidR="00125422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125422" w:rsidRPr="000E151F" w:rsidRDefault="00125422" w:rsidP="0012542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5093B819" w:rsidR="00125422" w:rsidRPr="000E151F" w:rsidRDefault="00125422" w:rsidP="00125422">
            <w:pPr>
              <w:rPr>
                <w:sz w:val="22"/>
                <w:szCs w:val="22"/>
              </w:rPr>
            </w:pPr>
            <w:r w:rsidRPr="0064487D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125422" w:rsidRPr="000E151F" w:rsidRDefault="00125422" w:rsidP="00125422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0F7CB7EF" w:rsidR="000E2953" w:rsidRPr="000E151F" w:rsidRDefault="00125422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3EA900E0" w:rsidR="000E2953" w:rsidRPr="000E151F" w:rsidRDefault="00125422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74935BED" w:rsidR="000E2953" w:rsidRPr="000E151F" w:rsidRDefault="00125422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6FFFCACC" w:rsidR="000E2953" w:rsidRDefault="00A1088E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Pia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Trollehjelm</w:t>
            </w:r>
            <w:proofErr w:type="spellEnd"/>
            <w:r w:rsidR="000E2953"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Ilona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Szatmári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5B932C1B" w:rsidR="000E2953" w:rsidRPr="000E151F" w:rsidRDefault="00125422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1A5C220E" w:rsidR="000E2953" w:rsidRPr="000E151F" w:rsidRDefault="00125422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380FEA6A" w:rsidR="003A581E" w:rsidRPr="000E151F" w:rsidRDefault="00125422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87309"/>
    <w:multiLevelType w:val="hybridMultilevel"/>
    <w:tmpl w:val="476A19FC"/>
    <w:lvl w:ilvl="0" w:tplc="E2208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6D1163D1"/>
    <w:multiLevelType w:val="hybridMultilevel"/>
    <w:tmpl w:val="E4DE99D8"/>
    <w:lvl w:ilvl="0" w:tplc="9DF2D4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3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14"/>
  </w:num>
  <w:num w:numId="11">
    <w:abstractNumId w:val="10"/>
  </w:num>
  <w:num w:numId="12">
    <w:abstractNumId w:val="7"/>
  </w:num>
  <w:num w:numId="13">
    <w:abstractNumId w:val="12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4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416"/>
    <w:rsid w:val="00013B42"/>
    <w:rsid w:val="0002748E"/>
    <w:rsid w:val="0003470E"/>
    <w:rsid w:val="00035F71"/>
    <w:rsid w:val="000374B5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172C0"/>
    <w:rsid w:val="00125422"/>
    <w:rsid w:val="00126BB8"/>
    <w:rsid w:val="0013018A"/>
    <w:rsid w:val="001418E1"/>
    <w:rsid w:val="00141BE2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2AD2"/>
    <w:rsid w:val="001B4CE1"/>
    <w:rsid w:val="001B6F7A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62F59"/>
    <w:rsid w:val="00281FD0"/>
    <w:rsid w:val="00282678"/>
    <w:rsid w:val="002854B7"/>
    <w:rsid w:val="00293DD6"/>
    <w:rsid w:val="00294515"/>
    <w:rsid w:val="00296D10"/>
    <w:rsid w:val="002A373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3620A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E7E5A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974FE"/>
    <w:rsid w:val="006A0738"/>
    <w:rsid w:val="006A1A13"/>
    <w:rsid w:val="006A74AC"/>
    <w:rsid w:val="006B7B0C"/>
    <w:rsid w:val="006B7DA6"/>
    <w:rsid w:val="006C1499"/>
    <w:rsid w:val="006C21FA"/>
    <w:rsid w:val="006D0D77"/>
    <w:rsid w:val="006D3126"/>
    <w:rsid w:val="006D3360"/>
    <w:rsid w:val="006D5482"/>
    <w:rsid w:val="006E04F7"/>
    <w:rsid w:val="00701F1D"/>
    <w:rsid w:val="007055E3"/>
    <w:rsid w:val="00723D66"/>
    <w:rsid w:val="007243F5"/>
    <w:rsid w:val="00725B0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D3849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1AD2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564B"/>
    <w:rsid w:val="008C79F1"/>
    <w:rsid w:val="008D303B"/>
    <w:rsid w:val="008D51ED"/>
    <w:rsid w:val="008E3A32"/>
    <w:rsid w:val="008F2054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2179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51DC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1088E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BD4"/>
    <w:rsid w:val="00A67C77"/>
    <w:rsid w:val="00A744C3"/>
    <w:rsid w:val="00A75B9F"/>
    <w:rsid w:val="00AA0DFB"/>
    <w:rsid w:val="00AA2873"/>
    <w:rsid w:val="00AB4139"/>
    <w:rsid w:val="00AC283D"/>
    <w:rsid w:val="00AC6648"/>
    <w:rsid w:val="00AD0133"/>
    <w:rsid w:val="00AD47F5"/>
    <w:rsid w:val="00AE5BBD"/>
    <w:rsid w:val="00AE7247"/>
    <w:rsid w:val="00AF3CA6"/>
    <w:rsid w:val="00B0449C"/>
    <w:rsid w:val="00B054F1"/>
    <w:rsid w:val="00B33983"/>
    <w:rsid w:val="00B36495"/>
    <w:rsid w:val="00B44E5B"/>
    <w:rsid w:val="00B523F7"/>
    <w:rsid w:val="00B54410"/>
    <w:rsid w:val="00B547D0"/>
    <w:rsid w:val="00B55F04"/>
    <w:rsid w:val="00B62482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3C35"/>
    <w:rsid w:val="00C3449C"/>
    <w:rsid w:val="00C35200"/>
    <w:rsid w:val="00C3579D"/>
    <w:rsid w:val="00C447CF"/>
    <w:rsid w:val="00C45FAF"/>
    <w:rsid w:val="00C463BA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9696D"/>
    <w:rsid w:val="00CA3B1E"/>
    <w:rsid w:val="00CA58BF"/>
    <w:rsid w:val="00CA5D30"/>
    <w:rsid w:val="00CA7267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67459"/>
    <w:rsid w:val="00D74308"/>
    <w:rsid w:val="00D84F88"/>
    <w:rsid w:val="00D86209"/>
    <w:rsid w:val="00DA1CE8"/>
    <w:rsid w:val="00DA30F0"/>
    <w:rsid w:val="00DA7D55"/>
    <w:rsid w:val="00DB1740"/>
    <w:rsid w:val="00DB1AB2"/>
    <w:rsid w:val="00DC5A2B"/>
    <w:rsid w:val="00DD11DB"/>
    <w:rsid w:val="00DE3126"/>
    <w:rsid w:val="00DE54FF"/>
    <w:rsid w:val="00DF06AE"/>
    <w:rsid w:val="00E0219D"/>
    <w:rsid w:val="00E15BE8"/>
    <w:rsid w:val="00E16DC2"/>
    <w:rsid w:val="00E17191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62B74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4305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7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Oformateradtext">
    <w:name w:val="Plain Text"/>
    <w:basedOn w:val="Normal"/>
    <w:link w:val="OformateradtextChar"/>
    <w:rsid w:val="002A3730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2A3730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593</Words>
  <Characters>4347</Characters>
  <Application>Microsoft Office Word</Application>
  <DocSecurity>0</DocSecurity>
  <Lines>1086</Lines>
  <Paragraphs>164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24</cp:revision>
  <cp:lastPrinted>2018-10-02T11:13:00Z</cp:lastPrinted>
  <dcterms:created xsi:type="dcterms:W3CDTF">2025-05-07T11:02:00Z</dcterms:created>
  <dcterms:modified xsi:type="dcterms:W3CDTF">2025-05-15T10:46:00Z</dcterms:modified>
</cp:coreProperties>
</file>