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346" w:rsidRPr="003D0DF8" w:rsidRDefault="009E7346" w:rsidP="00D46614">
      <w:pPr>
        <w:pStyle w:val="Hemstlrubrik"/>
      </w:pPr>
      <w:r w:rsidRPr="003D0DF8">
        <w:t>Förslag till riksdagsbeslut</w:t>
      </w:r>
    </w:p>
    <w:p w:rsidR="004E4F2C" w:rsidRPr="003D0DF8" w:rsidRDefault="009E7346" w:rsidP="009E7346">
      <w:pPr>
        <w:pStyle w:val="Hemstlatt"/>
      </w:pPr>
      <w:r w:rsidRPr="003D0DF8">
        <w:t>Riksdagen anvisar med följande ändringar i förhållande till regeringens förslag anslagen under utgiftsområde 25</w:t>
      </w:r>
      <w:r w:rsidR="004E4F2C" w:rsidRPr="003D0DF8">
        <w:t xml:space="preserve"> Allmänna bidrag till kommuner</w:t>
      </w:r>
      <w:r w:rsidRPr="003D0DF8">
        <w:t xml:space="preserve"> enligt uppställningen</w:t>
      </w:r>
      <w:r w:rsidR="0032362F" w:rsidRPr="003D0DF8">
        <w:t>:</w:t>
      </w:r>
      <w:r w:rsidRPr="003D0DF8">
        <w:t xml:space="preserve"> </w:t>
      </w:r>
    </w:p>
    <w:p w:rsidR="009E7346" w:rsidRPr="003D0DF8" w:rsidRDefault="00D46614" w:rsidP="00D46614">
      <w:pPr>
        <w:pStyle w:val="Hemstlatt"/>
        <w:ind w:left="-95"/>
        <w:rPr>
          <w:sz w:val="16"/>
          <w:szCs w:val="16"/>
        </w:rPr>
      </w:pPr>
      <w:r w:rsidRPr="003D0DF8">
        <w:rPr>
          <w:i/>
          <w:sz w:val="16"/>
          <w:szCs w:val="16"/>
        </w:rPr>
        <w:t>Tusen</w:t>
      </w:r>
      <w:r w:rsidR="00271FC9" w:rsidRPr="003D0DF8">
        <w:rPr>
          <w:i/>
          <w:sz w:val="16"/>
          <w:szCs w:val="16"/>
        </w:rPr>
        <w:t xml:space="preserve"> kronor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87"/>
        <w:gridCol w:w="1936"/>
        <w:gridCol w:w="2130"/>
      </w:tblGrid>
      <w:tr w:rsidR="004E4F2C" w:rsidRPr="003D0DF8"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</w:tcPr>
          <w:p w:rsidR="004E4F2C" w:rsidRPr="003D0DF8" w:rsidRDefault="004E4F2C" w:rsidP="00E2401B">
            <w:pPr>
              <w:pStyle w:val="Tabelltext"/>
              <w:spacing w:after="0"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sz w:val="16"/>
                <w:szCs w:val="16"/>
              </w:rPr>
              <w:t>Anslag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</w:tcPr>
          <w:p w:rsidR="004E4F2C" w:rsidRPr="003D0DF8" w:rsidRDefault="004E4F2C" w:rsidP="00E2401B">
            <w:pPr>
              <w:pStyle w:val="Tabelltext"/>
              <w:spacing w:after="0"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sz w:val="16"/>
                <w:szCs w:val="16"/>
              </w:rPr>
              <w:t>Utg. omr. 25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</w:tcPr>
          <w:p w:rsidR="004E4F2C" w:rsidRPr="003D0DF8" w:rsidRDefault="004E4F2C" w:rsidP="00E2401B">
            <w:pPr>
              <w:spacing w:before="60" w:after="0" w:line="200" w:lineRule="exact"/>
              <w:ind w:right="538"/>
              <w:jc w:val="right"/>
              <w:rPr>
                <w:sz w:val="16"/>
                <w:szCs w:val="16"/>
              </w:rPr>
            </w:pPr>
            <w:r w:rsidRPr="003D0DF8">
              <w:rPr>
                <w:b/>
                <w:sz w:val="16"/>
                <w:szCs w:val="16"/>
              </w:rPr>
              <w:t>Förändring, tkr</w:t>
            </w:r>
          </w:p>
        </w:tc>
      </w:tr>
      <w:tr w:rsidR="004E4F2C" w:rsidRPr="003D0DF8">
        <w:tc>
          <w:tcPr>
            <w:tcW w:w="2881" w:type="dxa"/>
            <w:tcBorders>
              <w:top w:val="single" w:sz="4" w:space="0" w:color="auto"/>
            </w:tcBorders>
          </w:tcPr>
          <w:p w:rsidR="004E4F2C" w:rsidRPr="003D0DF8" w:rsidRDefault="004E4F2C" w:rsidP="00E2401B">
            <w:pPr>
              <w:pStyle w:val="Tabelltext"/>
              <w:spacing w:after="0"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sz w:val="16"/>
                <w:szCs w:val="16"/>
              </w:rPr>
              <w:t>A 48:1</w:t>
            </w:r>
          </w:p>
        </w:tc>
        <w:tc>
          <w:tcPr>
            <w:tcW w:w="2881" w:type="dxa"/>
            <w:tcBorders>
              <w:top w:val="single" w:sz="4" w:space="0" w:color="auto"/>
            </w:tcBorders>
          </w:tcPr>
          <w:p w:rsidR="004E4F2C" w:rsidRPr="003D0DF8" w:rsidRDefault="004E4F2C" w:rsidP="00E2401B">
            <w:pPr>
              <w:pStyle w:val="Tabelltext"/>
              <w:spacing w:after="0" w:line="20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sz w:val="16"/>
                <w:szCs w:val="16"/>
              </w:rPr>
              <w:t>Kommunalekonomisk</w:t>
            </w:r>
            <w:r w:rsidR="00D772C0" w:rsidRPr="003D0DF8">
              <w:rPr>
                <w:rFonts w:ascii="Times New Roman" w:hAnsi="Times New Roman"/>
                <w:sz w:val="16"/>
                <w:szCs w:val="16"/>
              </w:rPr>
              <w:br/>
            </w:r>
            <w:r w:rsidRPr="003D0DF8">
              <w:rPr>
                <w:rFonts w:ascii="Times New Roman" w:hAnsi="Times New Roman"/>
                <w:sz w:val="16"/>
                <w:szCs w:val="16"/>
              </w:rPr>
              <w:t xml:space="preserve"> utjä</w:t>
            </w:r>
            <w:r w:rsidRPr="003D0DF8">
              <w:rPr>
                <w:rFonts w:ascii="Times New Roman" w:hAnsi="Times New Roman"/>
                <w:sz w:val="16"/>
                <w:szCs w:val="16"/>
              </w:rPr>
              <w:t>m</w:t>
            </w:r>
            <w:r w:rsidRPr="003D0DF8">
              <w:rPr>
                <w:rFonts w:ascii="Times New Roman" w:hAnsi="Times New Roman"/>
                <w:sz w:val="16"/>
                <w:szCs w:val="16"/>
              </w:rPr>
              <w:t>ning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vAlign w:val="bottom"/>
          </w:tcPr>
          <w:p w:rsidR="004E4F2C" w:rsidRPr="003D0DF8" w:rsidRDefault="004E4F2C" w:rsidP="00E2401B">
            <w:pPr>
              <w:pStyle w:val="Tabelltext"/>
              <w:spacing w:after="0" w:line="200" w:lineRule="exact"/>
              <w:ind w:right="53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sz w:val="16"/>
                <w:szCs w:val="16"/>
              </w:rPr>
              <w:t>+48 189 749</w:t>
            </w:r>
          </w:p>
        </w:tc>
      </w:tr>
      <w:tr w:rsidR="004E4F2C" w:rsidRPr="003D0DF8">
        <w:tc>
          <w:tcPr>
            <w:tcW w:w="2881" w:type="dxa"/>
          </w:tcPr>
          <w:p w:rsidR="004E4F2C" w:rsidRPr="003D0DF8" w:rsidRDefault="004E4F2C" w:rsidP="00E2401B">
            <w:pPr>
              <w:pStyle w:val="Tabelltext"/>
              <w:spacing w:after="0"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sz w:val="16"/>
                <w:szCs w:val="16"/>
              </w:rPr>
              <w:t>A 48:2</w:t>
            </w:r>
          </w:p>
        </w:tc>
        <w:tc>
          <w:tcPr>
            <w:tcW w:w="2881" w:type="dxa"/>
          </w:tcPr>
          <w:p w:rsidR="004E4F2C" w:rsidRPr="003D0DF8" w:rsidRDefault="004E4F2C" w:rsidP="00E2401B">
            <w:pPr>
              <w:pStyle w:val="Tabelltext"/>
              <w:spacing w:after="0" w:line="20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sz w:val="16"/>
                <w:szCs w:val="16"/>
              </w:rPr>
              <w:t>Bidrag till särskilda insatser i vissa kommuner och landsting</w:t>
            </w:r>
          </w:p>
        </w:tc>
        <w:tc>
          <w:tcPr>
            <w:tcW w:w="2882" w:type="dxa"/>
            <w:vAlign w:val="bottom"/>
          </w:tcPr>
          <w:p w:rsidR="004E4F2C" w:rsidRPr="003D0DF8" w:rsidRDefault="004E4F2C" w:rsidP="00E2401B">
            <w:pPr>
              <w:pStyle w:val="Tabelltext"/>
              <w:spacing w:after="0" w:line="200" w:lineRule="exact"/>
              <w:ind w:right="53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sz w:val="16"/>
                <w:szCs w:val="16"/>
              </w:rPr>
              <w:t>–251 410</w:t>
            </w:r>
          </w:p>
        </w:tc>
      </w:tr>
      <w:tr w:rsidR="004E4F2C" w:rsidRPr="003D0DF8">
        <w:tc>
          <w:tcPr>
            <w:tcW w:w="2881" w:type="dxa"/>
            <w:tcBorders>
              <w:bottom w:val="single" w:sz="4" w:space="0" w:color="auto"/>
            </w:tcBorders>
          </w:tcPr>
          <w:p w:rsidR="004E4F2C" w:rsidRPr="003D0DF8" w:rsidRDefault="004E4F2C" w:rsidP="00E2401B">
            <w:pPr>
              <w:pStyle w:val="Tabelltext"/>
              <w:spacing w:after="0"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sz w:val="16"/>
                <w:szCs w:val="16"/>
              </w:rPr>
              <w:t>A 48:3</w:t>
            </w: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4E4F2C" w:rsidRPr="003D0DF8" w:rsidRDefault="004E4F2C" w:rsidP="00E2401B">
            <w:pPr>
              <w:pStyle w:val="Tabelltext"/>
              <w:spacing w:after="0" w:line="20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sz w:val="16"/>
                <w:szCs w:val="16"/>
              </w:rPr>
              <w:t>Statligt utjämningsbidrag för LSS-kostnader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vAlign w:val="bottom"/>
          </w:tcPr>
          <w:p w:rsidR="004E4F2C" w:rsidRPr="003D0DF8" w:rsidRDefault="004E4F2C" w:rsidP="00E2401B">
            <w:pPr>
              <w:pStyle w:val="Tabelltext"/>
              <w:spacing w:after="0" w:line="200" w:lineRule="exact"/>
              <w:ind w:right="53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sz w:val="16"/>
                <w:szCs w:val="16"/>
              </w:rPr>
              <w:t>–1 767 150</w:t>
            </w:r>
          </w:p>
        </w:tc>
      </w:tr>
    </w:tbl>
    <w:p w:rsidR="00241EE9" w:rsidRPr="003D0DF8" w:rsidRDefault="00241EE9" w:rsidP="004E4F2C">
      <w:pPr>
        <w:pStyle w:val="Rubrik1"/>
      </w:pPr>
      <w:r w:rsidRPr="003D0DF8">
        <w:t>Våra satsningar på skola, vård och omsorg</w:t>
      </w:r>
    </w:p>
    <w:p w:rsidR="00241EE9" w:rsidRPr="003D0DF8" w:rsidRDefault="00241EE9" w:rsidP="00241EE9">
      <w:r w:rsidRPr="003D0DF8">
        <w:t xml:space="preserve">En stor del av de centrala välfärdstjänsterna utförs inom den kommunala eller landstingskommunala sektorn (nedan </w:t>
      </w:r>
      <w:r w:rsidR="00CD6DC7" w:rsidRPr="003D0DF8">
        <w:t>”</w:t>
      </w:r>
      <w:r w:rsidRPr="003D0DF8">
        <w:t>kommunerna</w:t>
      </w:r>
      <w:r w:rsidR="00CD6DC7" w:rsidRPr="003D0DF8">
        <w:t>”</w:t>
      </w:r>
      <w:r w:rsidRPr="003D0DF8">
        <w:t xml:space="preserve">). Ett grundelement i </w:t>
      </w:r>
      <w:r w:rsidR="0032362F" w:rsidRPr="003D0DF8">
        <w:t xml:space="preserve">Moderaternas </w:t>
      </w:r>
      <w:r w:rsidRPr="003D0DF8">
        <w:t>politik är att vi prioriterar dessa välfärdstjänster framför bidrag. I vår ekonomisk-politiska motion (motion 2005/06:</w:t>
      </w:r>
      <w:r w:rsidR="0032362F" w:rsidRPr="003D0DF8">
        <w:t>Fi240</w:t>
      </w:r>
      <w:r w:rsidRPr="003D0DF8">
        <w:t>) beskrivs de sat</w:t>
      </w:r>
      <w:r w:rsidRPr="003D0DF8">
        <w:t>s</w:t>
      </w:r>
      <w:r w:rsidRPr="003D0DF8">
        <w:t>ningar som berör kommunsektorn i större detalj. Sammanlagt över tre år a</w:t>
      </w:r>
      <w:r w:rsidRPr="003D0DF8">
        <w:t>n</w:t>
      </w:r>
      <w:r w:rsidRPr="003D0DF8">
        <w:t>slår vi 12,3 miljarder kronor mer än regeringen till kommunerna.</w:t>
      </w:r>
    </w:p>
    <w:p w:rsidR="00241EE9" w:rsidRPr="003D0DF8" w:rsidRDefault="00241EE9" w:rsidP="00241EE9">
      <w:pPr>
        <w:pStyle w:val="Rubrik2"/>
      </w:pPr>
      <w:r w:rsidRPr="003D0DF8">
        <w:t>A 48:1 Kommunalekonomisk utjämning</w:t>
      </w:r>
    </w:p>
    <w:p w:rsidR="00241EE9" w:rsidRPr="003D0DF8" w:rsidRDefault="00241EE9" w:rsidP="00241EE9">
      <w:r w:rsidRPr="003D0DF8">
        <w:t>De viktigaste förändringarna redovisas i nedanstående tabell. Sammantaget innebär våra förslag en ökning av anslag 48:1 Kommunalekonomisk utjä</w:t>
      </w:r>
      <w:r w:rsidRPr="003D0DF8">
        <w:t>m</w:t>
      </w:r>
      <w:r w:rsidRPr="003D0DF8">
        <w:t>ning med 48 190 miljoner kronor i förhållande till regeringens förslag. I tabe</w:t>
      </w:r>
      <w:r w:rsidRPr="003D0DF8">
        <w:t>l</w:t>
      </w:r>
      <w:r w:rsidRPr="003D0DF8">
        <w:t>len redovisas även beräknade förändringar för 2007 och 2008.</w:t>
      </w:r>
    </w:p>
    <w:p w:rsidR="00241EE9" w:rsidRPr="003D0DF8" w:rsidRDefault="00241EE9" w:rsidP="00241EE9">
      <w:pPr>
        <w:pStyle w:val="Normaltindrag"/>
      </w:pPr>
      <w:r w:rsidRPr="003D0DF8">
        <w:lastRenderedPageBreak/>
        <w:t>Anslaget höjs på grund av att vi överför några av regeringens specialdest</w:t>
      </w:r>
      <w:r w:rsidRPr="003D0DF8">
        <w:t>i</w:t>
      </w:r>
      <w:r w:rsidRPr="003D0DF8">
        <w:t>nerade statsbidrag till det generella bidraget. Det gäller anslagen 25:9 Bidrag till pe</w:t>
      </w:r>
      <w:r w:rsidR="0032362F" w:rsidRPr="003D0DF8">
        <w:t>rsonalförstärkningar i förskola och</w:t>
      </w:r>
      <w:r w:rsidRPr="003D0DF8">
        <w:t xml:space="preserve"> 25:10 Bidrag till personalförstär</w:t>
      </w:r>
      <w:r w:rsidRPr="003D0DF8">
        <w:t>k</w:t>
      </w:r>
      <w:r w:rsidRPr="003D0DF8">
        <w:t xml:space="preserve">ningar i skola och fritidshem </w:t>
      </w:r>
      <w:r w:rsidR="0032362F" w:rsidRPr="003D0DF8">
        <w:t>inom</w:t>
      </w:r>
      <w:r w:rsidRPr="003D0DF8">
        <w:t xml:space="preserve"> utgiftsområde 16 samt anslag 48:3 Statligt utjämningsbidrag för LSS</w:t>
      </w:r>
      <w:r w:rsidRPr="003D0DF8">
        <w:noBreakHyphen/>
        <w:t xml:space="preserve">kostnader </w:t>
      </w:r>
      <w:r w:rsidR="00D772C0" w:rsidRPr="003D0DF8">
        <w:t xml:space="preserve">inom </w:t>
      </w:r>
      <w:r w:rsidRPr="003D0DF8">
        <w:t>detta utgiftsområde. Vidare höjs anslaget på grund av att vi minskar anslag 13:2 Bidrag för läkemedelsförm</w:t>
      </w:r>
      <w:r w:rsidRPr="003D0DF8">
        <w:t>å</w:t>
      </w:r>
      <w:r w:rsidRPr="003D0DF8">
        <w:t xml:space="preserve">nerna utgiftsområde 9. </w:t>
      </w:r>
      <w:r w:rsidRPr="003D0DF8">
        <w:rPr>
          <w:color w:val="000000"/>
          <w:szCs w:val="24"/>
        </w:rPr>
        <w:t>Det riktade statsbidraget för utbildning av vuxna under anslag 25:16 Statligt stöd för utbildning av vuxna är en kvarleva av det tidig</w:t>
      </w:r>
      <w:r w:rsidRPr="003D0DF8">
        <w:rPr>
          <w:color w:val="000000"/>
          <w:szCs w:val="24"/>
        </w:rPr>
        <w:t>a</w:t>
      </w:r>
      <w:r w:rsidRPr="003D0DF8">
        <w:rPr>
          <w:color w:val="000000"/>
          <w:szCs w:val="24"/>
        </w:rPr>
        <w:t>re Kunskapslyftet, och bör även det tillföras det generella statsbidraget. Sedan Kunskapslyftet avslutades har</w:t>
      </w:r>
      <w:r w:rsidR="00E2401B" w:rsidRPr="003D0DF8">
        <w:rPr>
          <w:color w:val="000000"/>
          <w:szCs w:val="24"/>
        </w:rPr>
        <w:t xml:space="preserve"> dock antalet studieplatser på k</w:t>
      </w:r>
      <w:r w:rsidRPr="003D0DF8">
        <w:rPr>
          <w:color w:val="000000"/>
          <w:szCs w:val="24"/>
        </w:rPr>
        <w:t>omvux minskat drastiskt. Vi gör bedömningen att behovet av kommunal vuxenutbildning kommer att fortsätta minska, varför vi föreslår att ersättningen till komm</w:t>
      </w:r>
      <w:r w:rsidRPr="003D0DF8">
        <w:rPr>
          <w:color w:val="000000"/>
          <w:szCs w:val="24"/>
        </w:rPr>
        <w:t>u</w:t>
      </w:r>
      <w:r w:rsidRPr="003D0DF8">
        <w:rPr>
          <w:color w:val="000000"/>
          <w:szCs w:val="24"/>
        </w:rPr>
        <w:t>nerna minskas med 600</w:t>
      </w:r>
      <w:r w:rsidR="00D97C64" w:rsidRPr="003D0DF8">
        <w:rPr>
          <w:color w:val="000000"/>
          <w:szCs w:val="24"/>
        </w:rPr>
        <w:t> </w:t>
      </w:r>
      <w:r w:rsidRPr="003D0DF8">
        <w:rPr>
          <w:color w:val="000000"/>
          <w:szCs w:val="24"/>
        </w:rPr>
        <w:t>miljoner kronor per år.</w:t>
      </w:r>
    </w:p>
    <w:p w:rsidR="00241EE9" w:rsidRPr="003D0DF8" w:rsidRDefault="00241EE9" w:rsidP="00241EE9">
      <w:pPr>
        <w:pStyle w:val="Normaltindrag"/>
      </w:pPr>
      <w:r w:rsidRPr="003D0DF8">
        <w:t>Några av de av oss föreslagna förändringarna i transfereringssystemen p</w:t>
      </w:r>
      <w:r w:rsidRPr="003D0DF8">
        <w:t>å</w:t>
      </w:r>
      <w:r w:rsidRPr="003D0DF8">
        <w:t xml:space="preserve">verkar kommunernas intäkter, vilket vi kompenserar genom en höjning av anslaget. </w:t>
      </w:r>
    </w:p>
    <w:p w:rsidR="00241EE9" w:rsidRPr="003D0DF8" w:rsidRDefault="00241EE9" w:rsidP="00241EE9">
      <w:pPr>
        <w:pStyle w:val="Normaltindrag"/>
      </w:pPr>
      <w:r w:rsidRPr="003D0DF8">
        <w:t>På två punkter leder regelförändringar till att kommunernas ekonomiska villkor förändras. Det gäller läkemedelsförmånen</w:t>
      </w:r>
      <w:r w:rsidR="00D97C64" w:rsidRPr="003D0DF8">
        <w:t>,</w:t>
      </w:r>
      <w:r w:rsidRPr="003D0DF8">
        <w:t xml:space="preserve"> där vi föreslår höjda avgi</w:t>
      </w:r>
      <w:r w:rsidRPr="003D0DF8">
        <w:t>f</w:t>
      </w:r>
      <w:r w:rsidRPr="003D0DF8">
        <w:t>ter. Anslaget minskas i motsvarande mån. Vi föreslår också att staten tar över ansvaret för as</w:t>
      </w:r>
      <w:r w:rsidR="00D97C64" w:rsidRPr="003D0DF8">
        <w:t>sistansersättningen</w:t>
      </w:r>
      <w:r w:rsidRPr="003D0DF8">
        <w:t xml:space="preserve"> och finansierar detta genom ett särskilt anslag </w:t>
      </w:r>
      <w:r w:rsidR="00E2401B" w:rsidRPr="003D0DF8">
        <w:t>inom</w:t>
      </w:r>
      <w:r w:rsidRPr="003D0DF8">
        <w:t xml:space="preserve"> utgiftsområde 9. Anslag 48:1 minskas med samma belopp som kommunernas kostnader minskar.</w:t>
      </w:r>
    </w:p>
    <w:p w:rsidR="00241EE9" w:rsidRPr="003D0DF8" w:rsidRDefault="00241EE9" w:rsidP="00D97C64">
      <w:pPr>
        <w:pStyle w:val="Normaltindrag"/>
      </w:pPr>
      <w:r w:rsidRPr="003D0DF8">
        <w:t>Flera av Moderaternas förslag på skatteområdet påverkar i huvudsak kommunernas skatteintäkter. Dessa förändringar neutraliseras enligt finansi</w:t>
      </w:r>
      <w:r w:rsidRPr="003D0DF8">
        <w:t>e</w:t>
      </w:r>
      <w:r w:rsidRPr="003D0DF8">
        <w:t>ringsprincipen. De viktigaste neutraliseringarna gäller dels vårt arbetsavdrag, dels de riktade stöd som staten ger kommunerna på budgetens inkomstsida – sysselsättningsstö</w:t>
      </w:r>
      <w:r w:rsidR="00E2401B" w:rsidRPr="003D0DF8">
        <w:t>det till kommuner och landsting</w:t>
      </w:r>
      <w:r w:rsidRPr="003D0DF8">
        <w:t xml:space="preserve"> samt regeringens s.k. u</w:t>
      </w:r>
      <w:r w:rsidRPr="003D0DF8">
        <w:t>t</w:t>
      </w:r>
      <w:r w:rsidRPr="003D0DF8">
        <w:t>bildningsvikariat</w:t>
      </w:r>
      <w:r w:rsidR="00D97C64" w:rsidRPr="003D0DF8">
        <w:t xml:space="preserve"> och plusjobb</w:t>
      </w:r>
      <w:r w:rsidRPr="003D0DF8">
        <w:t>. Vi bruttoredovisar dessa stöd, även i de fall då vi avvisar dem, för att markera mot regeringens åsidosättande av budgetl</w:t>
      </w:r>
      <w:r w:rsidRPr="003D0DF8">
        <w:t>a</w:t>
      </w:r>
      <w:r w:rsidRPr="003D0DF8">
        <w:t>gens krav på bruttoredovisning.</w:t>
      </w:r>
    </w:p>
    <w:p w:rsidR="00241EE9" w:rsidRPr="003D0DF8" w:rsidRDefault="00241EE9" w:rsidP="00241EE9">
      <w:pPr>
        <w:pStyle w:val="Normaltindrag"/>
      </w:pPr>
      <w:r w:rsidRPr="003D0DF8">
        <w:t>I konsekvens med att vi avskaffar det statliga utjämningsbidraget för LSS-kostnader, avskaffar vi också utjämningsavgiften för LSS-kostnader på i</w:t>
      </w:r>
      <w:r w:rsidRPr="003D0DF8">
        <w:t>n</w:t>
      </w:r>
      <w:r w:rsidRPr="003D0DF8">
        <w:t>komstsidan, vilket neutraliseras genom en minskning av anslag 48:1. Avska</w:t>
      </w:r>
      <w:r w:rsidRPr="003D0DF8">
        <w:t>f</w:t>
      </w:r>
      <w:r w:rsidRPr="003D0DF8">
        <w:t>fandet av LSS-utjämningen ger alltså upphov till en minskni</w:t>
      </w:r>
      <w:r w:rsidR="00E2401B" w:rsidRPr="003D0DF8">
        <w:t>ng av utgifterna för kommunerna</w:t>
      </w:r>
      <w:r w:rsidRPr="003D0DF8">
        <w:t xml:space="preserve"> och en motsvarande minskning av statens skatteintäkter. Detta kompenseras genom en minskning av anslag 48:1. Vidare överför vi, som ovan nämnts, anslag 48:3 Statligt utjämningsbidrag för LSS-kostnader till anslag 48:1. Nettoeffekten på såväl staten som kommunsektorn blir dä</w:t>
      </w:r>
      <w:r w:rsidRPr="003D0DF8">
        <w:t>r</w:t>
      </w:r>
      <w:r w:rsidRPr="003D0DF8">
        <w:t>igenom noll.</w:t>
      </w:r>
    </w:p>
    <w:p w:rsidR="00241EE9" w:rsidRPr="003D0DF8" w:rsidRDefault="00241EE9" w:rsidP="00241EE9">
      <w:pPr>
        <w:pStyle w:val="Normaltindrag"/>
      </w:pPr>
      <w:r w:rsidRPr="003D0DF8">
        <w:t>Våra övriga förändringar av anslag 48:1 består i att vi avvisar regeringens förslag om utbildningsvikariat, liksom regeringens sysselsättningsstöd. Vi finansierar också de förändringar av skatteutjämningssystemet som vi föreslår i vår motion 2003/04:Fi46 med anledning av prop. 2003/04:155 Ändringar i det kommunala utjämningssystemet. Statens kostnader för de förändringar vi föreslår beräknas uppgå till 1,75 miljarder kronor.</w:t>
      </w:r>
    </w:p>
    <w:p w:rsidR="00241EE9" w:rsidRPr="003D0DF8" w:rsidRDefault="00241EE9" w:rsidP="00D97C64">
      <w:pPr>
        <w:pStyle w:val="Normaltindrag"/>
      </w:pPr>
      <w:r w:rsidRPr="003D0DF8">
        <w:t>Genom vårt förslag om höjd maxtaxa får kommunerna ökade intäkter, vi</w:t>
      </w:r>
      <w:r w:rsidRPr="003D0DF8">
        <w:t>l</w:t>
      </w:r>
      <w:r w:rsidRPr="003D0DF8">
        <w:t>ka neutraliseras genom en minskning av statsbidragen.</w:t>
      </w:r>
    </w:p>
    <w:p w:rsidR="00241EE9" w:rsidRPr="003D0DF8" w:rsidRDefault="00241EE9" w:rsidP="00241EE9">
      <w:pPr>
        <w:pStyle w:val="Normaltindrag"/>
      </w:pPr>
      <w:r w:rsidRPr="003D0DF8">
        <w:t>Vi avvisar regeringens förslag till vårdgaranti och medel f</w:t>
      </w:r>
      <w:r w:rsidR="00D97C64" w:rsidRPr="003D0DF8">
        <w:t>ör ökad tillgän</w:t>
      </w:r>
      <w:r w:rsidR="00D97C64" w:rsidRPr="003D0DF8">
        <w:t>g</w:t>
      </w:r>
      <w:r w:rsidR="00D97C64" w:rsidRPr="003D0DF8">
        <w:t>lighet i vården</w:t>
      </w:r>
      <w:r w:rsidRPr="003D0DF8">
        <w:t xml:space="preserve"> och har i stället egna förslag på dessa områden. Därigenom minskar anslag 48:1 i förhållande till regeringens förslag.</w:t>
      </w:r>
    </w:p>
    <w:p w:rsidR="00241EE9" w:rsidRPr="003D0DF8" w:rsidRDefault="00241EE9" w:rsidP="00241EE9">
      <w:pPr>
        <w:pStyle w:val="Normaltindrag"/>
      </w:pPr>
      <w:r w:rsidRPr="003D0DF8">
        <w:t xml:space="preserve">Slutligen gör vi en ökning av anslaget med 7,5 miljarder </w:t>
      </w:r>
      <w:r w:rsidR="00E2401B" w:rsidRPr="003D0DF8">
        <w:t xml:space="preserve">kronor </w:t>
      </w:r>
      <w:r w:rsidRPr="003D0DF8">
        <w:t>under 2006 och 2007, utöver vad regeringen anslår, för att möjliggöra satsningar på ökad kvalitet i den kommunala verksamheten. Mot bakgrund av att regerin</w:t>
      </w:r>
      <w:r w:rsidRPr="003D0DF8">
        <w:t>g</w:t>
      </w:r>
      <w:r w:rsidRPr="003D0DF8">
        <w:t>en ökar anslagen avsevärt mellan 2007 och 2008 är vår satsning utöver rege</w:t>
      </w:r>
      <w:r w:rsidRPr="003D0DF8">
        <w:t>r</w:t>
      </w:r>
      <w:r w:rsidRPr="003D0DF8">
        <w:t>ingen</w:t>
      </w:r>
      <w:r w:rsidR="00E2401B" w:rsidRPr="003D0DF8">
        <w:t>s</w:t>
      </w:r>
      <w:r w:rsidRPr="003D0DF8">
        <w:t xml:space="preserve"> något mindre 2008, cirka 4,0 miljarder</w:t>
      </w:r>
      <w:r w:rsidR="00E2401B" w:rsidRPr="003D0DF8">
        <w:t xml:space="preserve"> kronor</w:t>
      </w:r>
      <w:r w:rsidRPr="003D0DF8">
        <w:t>.</w:t>
      </w:r>
    </w:p>
    <w:p w:rsidR="00241EE9" w:rsidRPr="003D0DF8" w:rsidRDefault="00241EE9" w:rsidP="00967DCE">
      <w:pPr>
        <w:keepNext/>
        <w:keepLines/>
        <w:rPr>
          <w:b/>
        </w:rPr>
      </w:pPr>
      <w:r w:rsidRPr="003D0DF8">
        <w:rPr>
          <w:b/>
        </w:rPr>
        <w:t>Beräkning av anslag 48:1, skillnad mot regeringen</w:t>
      </w:r>
      <w:r w:rsidR="00D97C64" w:rsidRPr="003D0DF8">
        <w:rPr>
          <w:b/>
        </w:rPr>
        <w:t>, tusen kronor</w:t>
      </w:r>
    </w:p>
    <w:tbl>
      <w:tblPr>
        <w:tblStyle w:val="Enkeltabell1"/>
        <w:tblW w:w="5897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2975"/>
        <w:gridCol w:w="974"/>
        <w:gridCol w:w="974"/>
        <w:gridCol w:w="974"/>
      </w:tblGrid>
      <w:tr w:rsidR="00241EE9" w:rsidRPr="003D0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3"/>
          <w:tblHeader/>
        </w:trPr>
        <w:tc>
          <w:tcPr>
            <w:tcW w:w="2975" w:type="dxa"/>
            <w:tcBorders>
              <w:top w:val="single" w:sz="6" w:space="0" w:color="000000"/>
            </w:tcBorders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2008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Neutraliseringar pga. överföringar av specia</w:t>
            </w:r>
            <w:r w:rsidRPr="003D0DF8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l</w:t>
            </w:r>
            <w:r w:rsidRPr="003D0DF8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destinerade bidrag till generella statsbidrag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8 998 408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8 064 313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6 134 505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bidrag för läkemedelsförmånerna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2 450 000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2 450 000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2 450 000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bidrag till personalförstärkningar i fö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r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skola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2 000 000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2 000 000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bidrag till personalförstärkningar i skola och fritid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s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hem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1 000 000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statligt stöd för utbildning av vuxna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1 781 258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1 847 163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1 917 355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statligt utjämningsbidrag för LSS-kostnader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1 767 150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1 767 150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1 767 150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Neutraliseringar pga. förändringar av transfereringss</w:t>
            </w:r>
            <w:r w:rsidRPr="003D0DF8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y</w:t>
            </w:r>
            <w:r w:rsidRPr="003D0DF8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stemen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1 686 491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2 239 271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1 706 833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Sjukpenning och rehabilitering m.m.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D772C0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D772C0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300 000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Aktivitets- och sjukersättningar m.m.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500 000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Föräldraförsäkring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583 158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735 938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756 833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Bidrag till arbetslöshetsersättning och aktivitet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s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stöd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1 103 333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1 103 333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750 000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Neutraliseringar pga. ändrade regler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7 550 000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7 550 000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7 550 000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ändrade regler för läkemedelsfö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r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månen (höjda avgi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f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ter)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2 450 000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2 450 000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2 450 000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kostnader för statlig assistanse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r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sättning (statligt övertagande)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5 100 000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5 100 000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5 100 000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Neutraliseringar pga. skatteförändrin</w:t>
            </w:r>
            <w:r w:rsidRPr="003D0DF8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g</w:t>
            </w:r>
            <w:r w:rsidRPr="003D0DF8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ar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46 322 850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48 088 850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51 090 850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jobbavdrag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36 700 000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45 100 000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53 200 000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slopat sysselsättningsstöd till ko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m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muner och land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s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ting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7 000 000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utbildningsvikariat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1 248 000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1 248 000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plusjobb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3 834 000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5 100 000</w:t>
            </w:r>
          </w:p>
        </w:tc>
        <w:tc>
          <w:tcPr>
            <w:tcW w:w="97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2 600 000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2975" w:type="dxa"/>
            <w:tcBorders>
              <w:bottom w:val="nil"/>
            </w:tcBorders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utjämningsavgift för LSS</w:t>
            </w:r>
            <w:r w:rsidR="00CD6DC7"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–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kostnader</w:t>
            </w:r>
          </w:p>
        </w:tc>
        <w:tc>
          <w:tcPr>
            <w:tcW w:w="974" w:type="dxa"/>
            <w:tcBorders>
              <w:bottom w:val="nil"/>
            </w:tcBorders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1 767 150</w:t>
            </w:r>
          </w:p>
        </w:tc>
        <w:tc>
          <w:tcPr>
            <w:tcW w:w="974" w:type="dxa"/>
            <w:tcBorders>
              <w:bottom w:val="nil"/>
            </w:tcBorders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1 767 150</w:t>
            </w:r>
          </w:p>
        </w:tc>
        <w:tc>
          <w:tcPr>
            <w:tcW w:w="974" w:type="dxa"/>
            <w:tcBorders>
              <w:bottom w:val="nil"/>
            </w:tcBorders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1 767 150</w:t>
            </w:r>
          </w:p>
        </w:tc>
      </w:tr>
      <w:tr w:rsidR="00241EE9" w:rsidRPr="003D0D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255"/>
        </w:trPr>
        <w:tc>
          <w:tcPr>
            <w:tcW w:w="2975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Övrigt</w:t>
            </w:r>
          </w:p>
        </w:tc>
        <w:tc>
          <w:tcPr>
            <w:tcW w:w="974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692 000</w:t>
            </w:r>
          </w:p>
        </w:tc>
        <w:tc>
          <w:tcPr>
            <w:tcW w:w="974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1 592 000</w:t>
            </w:r>
          </w:p>
        </w:tc>
        <w:tc>
          <w:tcPr>
            <w:tcW w:w="974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2 942 000</w:t>
            </w:r>
          </w:p>
        </w:tc>
      </w:tr>
    </w:tbl>
    <w:p w:rsidR="00967DCE" w:rsidRPr="003D0DF8" w:rsidRDefault="00967DCE"/>
    <w:tbl>
      <w:tblPr>
        <w:tblStyle w:val="Enkeltabell1"/>
        <w:tblW w:w="6169" w:type="dxa"/>
        <w:tblLayout w:type="fixed"/>
        <w:tblLook w:val="01E0" w:firstRow="1" w:lastRow="1" w:firstColumn="1" w:lastColumn="1" w:noHBand="0" w:noVBand="0"/>
      </w:tblPr>
      <w:tblGrid>
        <w:gridCol w:w="3124"/>
        <w:gridCol w:w="1015"/>
        <w:gridCol w:w="1015"/>
        <w:gridCol w:w="1015"/>
      </w:tblGrid>
      <w:tr w:rsidR="00967DCE" w:rsidRPr="003D0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3"/>
          <w:tblHeader/>
        </w:trPr>
        <w:tc>
          <w:tcPr>
            <w:tcW w:w="3124" w:type="dxa"/>
            <w:tcBorders>
              <w:top w:val="single" w:sz="6" w:space="0" w:color="000000"/>
            </w:tcBorders>
            <w:noWrap/>
            <w:vAlign w:val="bottom"/>
          </w:tcPr>
          <w:p w:rsidR="00967DCE" w:rsidRPr="003D0DF8" w:rsidRDefault="00967DCE" w:rsidP="00967DCE">
            <w:pPr>
              <w:keepNext/>
              <w:keepLines/>
              <w:spacing w:before="60" w:line="200" w:lineRule="exact"/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000000"/>
            </w:tcBorders>
            <w:noWrap/>
            <w:vAlign w:val="bottom"/>
          </w:tcPr>
          <w:p w:rsidR="00967DCE" w:rsidRPr="003D0DF8" w:rsidRDefault="00967DCE" w:rsidP="00967DCE">
            <w:pPr>
              <w:keepNext/>
              <w:keepLines/>
              <w:spacing w:before="60" w:line="200" w:lineRule="exact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015" w:type="dxa"/>
            <w:tcBorders>
              <w:top w:val="single" w:sz="6" w:space="0" w:color="000000"/>
            </w:tcBorders>
            <w:noWrap/>
            <w:vAlign w:val="bottom"/>
          </w:tcPr>
          <w:p w:rsidR="00967DCE" w:rsidRPr="003D0DF8" w:rsidRDefault="00967DCE" w:rsidP="00967DCE">
            <w:pPr>
              <w:keepNext/>
              <w:keepLines/>
              <w:spacing w:before="60" w:line="200" w:lineRule="exact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015" w:type="dxa"/>
            <w:tcBorders>
              <w:top w:val="single" w:sz="6" w:space="0" w:color="000000"/>
            </w:tcBorders>
            <w:noWrap/>
            <w:vAlign w:val="bottom"/>
          </w:tcPr>
          <w:p w:rsidR="00967DCE" w:rsidRPr="003D0DF8" w:rsidRDefault="00967DCE" w:rsidP="00967DCE">
            <w:pPr>
              <w:keepNext/>
              <w:keepLines/>
              <w:spacing w:before="60" w:line="200" w:lineRule="exact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2008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312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Övriga förändringar av anslag 48:1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1 268 000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948 000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3 180 000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312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nej till utbildningsvikariat (inkomst</w:t>
            </w:r>
            <w:r w:rsidR="00D46614"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softHyphen/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t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i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tel)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1 248 000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1 248 000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3124" w:type="dxa"/>
            <w:tcBorders>
              <w:bottom w:val="nil"/>
            </w:tcBorders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förändringar av skatteutjämnings</w:t>
            </w:r>
            <w:r w:rsidR="00D46614"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softHyphen/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s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y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stemet</w:t>
            </w:r>
          </w:p>
        </w:tc>
        <w:tc>
          <w:tcPr>
            <w:tcW w:w="1015" w:type="dxa"/>
            <w:tcBorders>
              <w:bottom w:val="nil"/>
            </w:tcBorders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1 796 000</w:t>
            </w:r>
          </w:p>
        </w:tc>
        <w:tc>
          <w:tcPr>
            <w:tcW w:w="1015" w:type="dxa"/>
            <w:tcBorders>
              <w:bottom w:val="nil"/>
            </w:tcBorders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1 796 000</w:t>
            </w:r>
          </w:p>
        </w:tc>
        <w:tc>
          <w:tcPr>
            <w:tcW w:w="1015" w:type="dxa"/>
            <w:tcBorders>
              <w:bottom w:val="nil"/>
            </w:tcBorders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1 796 000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3124" w:type="dxa"/>
            <w:tcBorders>
              <w:top w:val="nil"/>
              <w:bottom w:val="nil"/>
            </w:tcBorders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nej till regeringens vårgaranti och tillgänglighet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s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pengar</w:t>
            </w:r>
          </w:p>
        </w:tc>
        <w:tc>
          <w:tcPr>
            <w:tcW w:w="1015" w:type="dxa"/>
            <w:tcBorders>
              <w:top w:val="nil"/>
              <w:bottom w:val="nil"/>
            </w:tcBorders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1 750 000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1 750 000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1 750 000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3124" w:type="dxa"/>
            <w:tcBorders>
              <w:top w:val="nil"/>
            </w:tcBorders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nej till regeringens sysselsättningsstöd</w:t>
            </w:r>
          </w:p>
        </w:tc>
        <w:tc>
          <w:tcPr>
            <w:tcW w:w="1015" w:type="dxa"/>
            <w:tcBorders>
              <w:top w:val="nil"/>
            </w:tcBorders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7 000 000</w:t>
            </w:r>
          </w:p>
        </w:tc>
        <w:tc>
          <w:tcPr>
            <w:tcW w:w="1015" w:type="dxa"/>
            <w:tcBorders>
              <w:top w:val="nil"/>
            </w:tcBorders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7 000 000</w:t>
            </w:r>
          </w:p>
        </w:tc>
        <w:tc>
          <w:tcPr>
            <w:tcW w:w="1015" w:type="dxa"/>
            <w:tcBorders>
              <w:top w:val="nil"/>
            </w:tcBorders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7 000 000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312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minskat anslag till vuxenutbildning (regeringens riktade stöd till vuxenutbil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d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ning)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CD6DC7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r w:rsidR="00241EE9"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600 000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312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satsning på pedagogisk förskola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320 000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340 000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312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Varav ökade resurser för att klara </w:t>
            </w:r>
            <w:r w:rsidR="00CD6DC7"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”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kontrol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l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st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a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tioner</w:t>
            </w:r>
            <w:r w:rsidR="00CD6DC7"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80 000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80 000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80 000</w:t>
            </w:r>
          </w:p>
        </w:tc>
      </w:tr>
      <w:tr w:rsidR="00241EE9" w:rsidRPr="003D0DF8">
        <w:trPr>
          <w:cantSplit/>
          <w:trHeight w:val="255"/>
        </w:trPr>
        <w:tc>
          <w:tcPr>
            <w:tcW w:w="3124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lef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Varav övriga förändringar av UO</w:t>
            </w:r>
            <w:r w:rsidR="00CD6DC7"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25, </w:t>
            </w:r>
            <w:r w:rsidR="00CD6DC7"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anslag </w:t>
            </w:r>
            <w:r w:rsidRPr="003D0DF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48:1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7 454 000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7 454 000</w:t>
            </w:r>
          </w:p>
        </w:tc>
        <w:tc>
          <w:tcPr>
            <w:tcW w:w="1015" w:type="dxa"/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color w:val="000000"/>
                <w:sz w:val="16"/>
                <w:szCs w:val="16"/>
              </w:rPr>
              <w:t>3 954 000</w:t>
            </w:r>
          </w:p>
        </w:tc>
      </w:tr>
      <w:tr w:rsidR="00241EE9" w:rsidRPr="003D0D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255"/>
        </w:trPr>
        <w:tc>
          <w:tcPr>
            <w:tcW w:w="3124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241EE9" w:rsidRPr="003D0DF8" w:rsidRDefault="00D97C64" w:rsidP="00967DCE">
            <w:pPr>
              <w:keepNext/>
              <w:keepLines/>
              <w:spacing w:before="60" w:line="200" w:lineRule="exact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Summa</w:t>
            </w:r>
          </w:p>
        </w:tc>
        <w:tc>
          <w:tcPr>
            <w:tcW w:w="1015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ind w:left="-113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48 189 749</w:t>
            </w:r>
          </w:p>
        </w:tc>
        <w:tc>
          <w:tcPr>
            <w:tcW w:w="1015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ind w:left="-113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49 894 434</w:t>
            </w:r>
          </w:p>
        </w:tc>
        <w:tc>
          <w:tcPr>
            <w:tcW w:w="1015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241EE9" w:rsidRPr="003D0DF8" w:rsidRDefault="00241EE9" w:rsidP="00967DCE">
            <w:pPr>
              <w:keepNext/>
              <w:keepLines/>
              <w:spacing w:before="60" w:line="200" w:lineRule="exact"/>
              <w:ind w:left="-113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0D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48 202 188</w:t>
            </w:r>
          </w:p>
        </w:tc>
      </w:tr>
    </w:tbl>
    <w:p w:rsidR="00241EE9" w:rsidRPr="003D0DF8" w:rsidRDefault="00241EE9" w:rsidP="00967DCE">
      <w:pPr>
        <w:pStyle w:val="Rubrik2"/>
      </w:pPr>
      <w:r w:rsidRPr="003D0DF8">
        <w:t>A 48:2 Bidrag till särskilda insatser i vissa kommuner och landsting</w:t>
      </w:r>
    </w:p>
    <w:p w:rsidR="00241EE9" w:rsidRPr="003D0DF8" w:rsidRDefault="00241EE9" w:rsidP="00241EE9">
      <w:r w:rsidRPr="003D0DF8">
        <w:t>Detta anslag syftat till att bistå enskilda kommuner och landsting som på grund av speciella omständigheter råkat i en särskilt svår ekonomisk situation. Anslaget har bland annat använts för att avhjälpa den besvärliga ekonomiska situationen i Stockholms läns landsting. De speciella omständigheterna i detta fall orsakades av regeringen, som utformat skatteutjämningssystemet på ett sådant vis att Stockholms läns landsting sattes i en orimlig situation. Vi för</w:t>
      </w:r>
      <w:r w:rsidRPr="003D0DF8">
        <w:t>e</w:t>
      </w:r>
      <w:r w:rsidRPr="003D0DF8">
        <w:t>slår en förändring av skatteutjämningssystemet och föreslår en lång rad andra åtgärder som förbättrar kommunernas och landstingens ekonomiska situation. Behovet av detta anslag upphör då, varför vi avvisar det i sin helhet.</w:t>
      </w:r>
    </w:p>
    <w:p w:rsidR="00241EE9" w:rsidRPr="003D0DF8" w:rsidRDefault="00241EE9" w:rsidP="002A13A0">
      <w:pPr>
        <w:pStyle w:val="Rubrik2"/>
      </w:pPr>
      <w:r w:rsidRPr="003D0DF8">
        <w:t>A 48:3 Statligt utjämningsbidrag för LSS-kostnader</w:t>
      </w:r>
    </w:p>
    <w:p w:rsidR="00241EE9" w:rsidRPr="003D0DF8" w:rsidRDefault="00241EE9" w:rsidP="002A13A0">
      <w:r w:rsidRPr="003D0DF8">
        <w:t>Vi vill avskaffa utjämningssystemet för LSS-kostnaden. Anslag 48:3 avv</w:t>
      </w:r>
      <w:r w:rsidRPr="003D0DF8">
        <w:t>i</w:t>
      </w:r>
      <w:r w:rsidRPr="003D0DF8">
        <w:t>sas därför.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731BE" w:rsidRPr="003D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731BE" w:rsidRPr="003D0DF8" w:rsidRDefault="008731BE" w:rsidP="008731BE">
            <w:pPr>
              <w:pStyle w:val="UnderskriftDatum"/>
              <w:spacing w:before="240"/>
            </w:pPr>
            <w:r w:rsidRPr="003D0DF8">
              <w:t>Stockholm den 5 oktober 2005</w:t>
            </w:r>
          </w:p>
        </w:tc>
        <w:tc>
          <w:tcPr>
            <w:tcW w:w="3047" w:type="dxa"/>
          </w:tcPr>
          <w:p w:rsidR="008731BE" w:rsidRPr="003D0DF8" w:rsidRDefault="008731BE" w:rsidP="008731BE">
            <w:pPr>
              <w:pStyle w:val="Underskrifter"/>
              <w:spacing w:before="240"/>
            </w:pPr>
          </w:p>
        </w:tc>
      </w:tr>
      <w:tr w:rsidR="008731BE" w:rsidRPr="003D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731BE" w:rsidRPr="003D0DF8" w:rsidRDefault="008731BE" w:rsidP="008731BE">
            <w:pPr>
              <w:pStyle w:val="Underskrifter"/>
            </w:pPr>
            <w:r w:rsidRPr="003D0DF8">
              <w:t>Mikael Odenberg (m)</w:t>
            </w:r>
          </w:p>
        </w:tc>
        <w:tc>
          <w:tcPr>
            <w:tcW w:w="3047" w:type="dxa"/>
          </w:tcPr>
          <w:p w:rsidR="008731BE" w:rsidRPr="003D0DF8" w:rsidRDefault="008731BE" w:rsidP="008731BE">
            <w:pPr>
              <w:pStyle w:val="Underskrifter"/>
            </w:pPr>
          </w:p>
        </w:tc>
      </w:tr>
      <w:tr w:rsidR="008731BE" w:rsidRPr="003D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731BE" w:rsidRPr="003D0DF8" w:rsidRDefault="008731BE" w:rsidP="008731BE">
            <w:pPr>
              <w:pStyle w:val="Underskrifter"/>
            </w:pPr>
            <w:r w:rsidRPr="003D0DF8">
              <w:t>Gunnar Axén (m)</w:t>
            </w:r>
          </w:p>
        </w:tc>
        <w:tc>
          <w:tcPr>
            <w:tcW w:w="3047" w:type="dxa"/>
          </w:tcPr>
          <w:p w:rsidR="008731BE" w:rsidRPr="003D0DF8" w:rsidRDefault="008731BE" w:rsidP="008731BE">
            <w:pPr>
              <w:pStyle w:val="Underskrifter"/>
            </w:pPr>
            <w:r w:rsidRPr="003D0DF8">
              <w:t>Tomas Högström (m)</w:t>
            </w:r>
          </w:p>
        </w:tc>
      </w:tr>
      <w:tr w:rsidR="008731BE" w:rsidRPr="003D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731BE" w:rsidRPr="003D0DF8" w:rsidRDefault="008731BE" w:rsidP="008731BE">
            <w:pPr>
              <w:pStyle w:val="Underskrifter"/>
            </w:pPr>
            <w:r w:rsidRPr="003D0DF8">
              <w:t>Cecilia Widegren (m)</w:t>
            </w:r>
          </w:p>
        </w:tc>
        <w:tc>
          <w:tcPr>
            <w:tcW w:w="3047" w:type="dxa"/>
          </w:tcPr>
          <w:p w:rsidR="008731BE" w:rsidRPr="003D0DF8" w:rsidRDefault="008731BE" w:rsidP="008731BE">
            <w:pPr>
              <w:pStyle w:val="Underskrifter"/>
            </w:pPr>
            <w:r w:rsidRPr="003D0DF8">
              <w:t>Ulf Sjösten (m)</w:t>
            </w:r>
          </w:p>
        </w:tc>
      </w:tr>
      <w:tr w:rsidR="008731BE" w:rsidRPr="003D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731BE" w:rsidRPr="003D0DF8" w:rsidRDefault="008731BE" w:rsidP="008731BE">
            <w:pPr>
              <w:pStyle w:val="Underskrifter"/>
            </w:pPr>
            <w:r w:rsidRPr="003D0DF8">
              <w:t>Lennart Hedquist (m)</w:t>
            </w:r>
          </w:p>
        </w:tc>
        <w:tc>
          <w:tcPr>
            <w:tcW w:w="3047" w:type="dxa"/>
          </w:tcPr>
          <w:p w:rsidR="008731BE" w:rsidRPr="003D0DF8" w:rsidRDefault="008731BE" w:rsidP="008731BE">
            <w:pPr>
              <w:pStyle w:val="Underskrifter"/>
            </w:pPr>
            <w:r w:rsidRPr="003D0DF8">
              <w:t>Anne-Marie Pålsson (m)</w:t>
            </w:r>
          </w:p>
        </w:tc>
      </w:tr>
    </w:tbl>
    <w:p w:rsidR="00241EE9" w:rsidRPr="003D0DF8" w:rsidRDefault="00241EE9" w:rsidP="008731BE">
      <w:pPr>
        <w:pStyle w:val="Normaltindrag"/>
      </w:pPr>
    </w:p>
    <w:sectPr w:rsidR="00241EE9" w:rsidRPr="003D0DF8" w:rsidSect="00E24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1EA4" w:rsidRPr="003D0DF8" w:rsidRDefault="002A1EA4">
      <w:r w:rsidRPr="003D0DF8">
        <w:separator/>
      </w:r>
    </w:p>
  </w:endnote>
  <w:endnote w:type="continuationSeparator" w:id="0">
    <w:p w:rsidR="002A1EA4" w:rsidRPr="003D0DF8" w:rsidRDefault="002A1EA4">
      <w:r w:rsidRPr="003D0D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614" w:rsidRPr="003D0DF8" w:rsidRDefault="003D0DF8" w:rsidP="00E2401B">
    <w:pPr>
      <w:pStyle w:val="Sidfot"/>
    </w:pPr>
    <w:r w:rsidRPr="003D0D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79806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614" w:rsidRDefault="00D466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731B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6614" w:rsidRDefault="00D466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731B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614" w:rsidRPr="003D0DF8" w:rsidRDefault="003D0DF8" w:rsidP="00E2401B">
    <w:pPr>
      <w:pStyle w:val="Sidfot"/>
    </w:pPr>
    <w:r w:rsidRPr="003D0D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60901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614" w:rsidRDefault="00D466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731B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6614" w:rsidRDefault="00D466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731B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614" w:rsidRPr="003D0DF8" w:rsidRDefault="003D0DF8" w:rsidP="00E2401B">
    <w:pPr>
      <w:pStyle w:val="Sidfot"/>
    </w:pPr>
    <w:r w:rsidRPr="003D0D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53752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614" w:rsidRDefault="00D466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731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6614" w:rsidRDefault="00D466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731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1EA4" w:rsidRPr="003D0DF8" w:rsidRDefault="002A1EA4">
      <w:r w:rsidRPr="003D0DF8">
        <w:separator/>
      </w:r>
    </w:p>
  </w:footnote>
  <w:footnote w:type="continuationSeparator" w:id="0">
    <w:p w:rsidR="002A1EA4" w:rsidRPr="003D0DF8" w:rsidRDefault="002A1EA4">
      <w:r w:rsidRPr="003D0D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614" w:rsidRPr="003D0DF8" w:rsidRDefault="003D0DF8" w:rsidP="00E2401B">
    <w:pPr>
      <w:pStyle w:val="Sidhuvud"/>
    </w:pPr>
    <w:r w:rsidRPr="003D0D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98471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614" w:rsidRDefault="00D466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731B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731BE">
                            <w:t>Fi303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6614" w:rsidRDefault="00D466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731B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731BE">
                      <w:t>Fi303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614" w:rsidRPr="003D0DF8" w:rsidRDefault="003D0DF8" w:rsidP="00E2401B">
    <w:pPr>
      <w:pStyle w:val="Sidhuvud"/>
    </w:pPr>
    <w:r w:rsidRPr="003D0D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97667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614" w:rsidRDefault="00D466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731B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731BE">
                            <w:t>Fi303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6614" w:rsidRDefault="00D466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731B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731BE">
                      <w:t>Fi303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614" w:rsidRPr="003D0DF8" w:rsidRDefault="00D46614">
    <w:pPr>
      <w:pStyle w:val="FSHNormal"/>
      <w:tabs>
        <w:tab w:val="right" w:pos="5840"/>
      </w:tabs>
    </w:pPr>
    <w:r w:rsidRPr="003D0DF8">
      <w:br/>
    </w:r>
    <w:r w:rsidRPr="003D0DF8">
      <w:fldChar w:fldCharType="begin" w:fldLock="1"/>
    </w:r>
    <w:r w:rsidRPr="003D0DF8">
      <w:instrText xml:space="preserve"> DOCPROPERTY</w:instrText>
    </w:r>
    <w:r w:rsidRPr="003D0DF8">
      <w:rPr>
        <w:sz w:val="18"/>
      </w:rPr>
      <w:instrText xml:space="preserve"> "YearUser" *\charformat </w:instrText>
    </w:r>
    <w:r w:rsidRPr="003D0DF8">
      <w:fldChar w:fldCharType="separate"/>
    </w:r>
    <w:r w:rsidR="008731BE" w:rsidRPr="003D0DF8">
      <w:t>2005/06</w:t>
    </w:r>
    <w:r w:rsidRPr="003D0DF8">
      <w:fldChar w:fldCharType="end"/>
    </w:r>
    <w:r w:rsidRPr="003D0DF8">
      <w:t xml:space="preserve"> </w:t>
    </w:r>
    <w:r w:rsidRPr="003D0DF8">
      <w:tab/>
      <w:t xml:space="preserve">mnr: </w:t>
    </w:r>
    <w:r w:rsidRPr="003D0DF8">
      <w:fldChar w:fldCharType="begin" w:fldLock="1"/>
    </w:r>
    <w:r w:rsidRPr="003D0DF8">
      <w:instrText xml:space="preserve"> DOCPROPERTY</w:instrText>
    </w:r>
    <w:r w:rsidRPr="003D0DF8">
      <w:rPr>
        <w:sz w:val="18"/>
      </w:rPr>
      <w:instrText xml:space="preserve"> "Motionsnummer" *\charformat </w:instrText>
    </w:r>
    <w:r w:rsidRPr="003D0DF8">
      <w:fldChar w:fldCharType="separate"/>
    </w:r>
    <w:r w:rsidR="008731BE" w:rsidRPr="003D0DF8">
      <w:t>Fi303</w:t>
    </w:r>
    <w:r w:rsidRPr="003D0DF8">
      <w:fldChar w:fldCharType="end"/>
    </w:r>
    <w:r w:rsidRPr="003D0DF8">
      <w:br/>
    </w:r>
    <w:r w:rsidRPr="003D0DF8">
      <w:fldChar w:fldCharType="begin" w:fldLock="1"/>
    </w:r>
    <w:r w:rsidRPr="003D0DF8">
      <w:instrText xml:space="preserve"> DOCPROPERTY</w:instrText>
    </w:r>
    <w:r w:rsidRPr="003D0DF8">
      <w:rPr>
        <w:sz w:val="18"/>
      </w:rPr>
      <w:instrText xml:space="preserve"> "Samling" *\charformat </w:instrText>
    </w:r>
    <w:r w:rsidRPr="003D0DF8">
      <w:fldChar w:fldCharType="end"/>
    </w:r>
    <w:r w:rsidRPr="003D0DF8">
      <w:tab/>
      <w:t xml:space="preserve">pnr: </w:t>
    </w:r>
    <w:r w:rsidRPr="003D0DF8">
      <w:fldChar w:fldCharType="begin" w:fldLock="1"/>
    </w:r>
    <w:r w:rsidRPr="003D0DF8">
      <w:instrText xml:space="preserve"> DOCPROPERTY</w:instrText>
    </w:r>
    <w:r w:rsidRPr="003D0DF8">
      <w:rPr>
        <w:sz w:val="18"/>
      </w:rPr>
      <w:instrText xml:space="preserve"> "Partinummer" *\charformat </w:instrText>
    </w:r>
    <w:r w:rsidRPr="003D0DF8">
      <w:fldChar w:fldCharType="separate"/>
    </w:r>
    <w:r w:rsidR="008731BE" w:rsidRPr="003D0DF8">
      <w:t>m176</w:t>
    </w:r>
    <w:r w:rsidRPr="003D0DF8">
      <w:fldChar w:fldCharType="end"/>
    </w:r>
  </w:p>
  <w:p w:rsidR="00D46614" w:rsidRPr="003D0DF8" w:rsidRDefault="00D46614">
    <w:pPr>
      <w:pStyle w:val="FSHRub1"/>
    </w:pPr>
    <w:r w:rsidRPr="003D0DF8">
      <w:t>Motion till riksdagen</w:t>
    </w:r>
    <w:r w:rsidRPr="003D0DF8">
      <w:br/>
    </w:r>
    <w:r w:rsidRPr="003D0DF8">
      <w:fldChar w:fldCharType="begin" w:fldLock="1"/>
    </w:r>
    <w:r w:rsidRPr="003D0DF8">
      <w:instrText xml:space="preserve"> DOCPROPERTY "YearUser" *\charformat </w:instrText>
    </w:r>
    <w:r w:rsidRPr="003D0DF8">
      <w:fldChar w:fldCharType="separate"/>
    </w:r>
    <w:r w:rsidR="008731BE" w:rsidRPr="003D0DF8">
      <w:t>2005/06</w:t>
    </w:r>
    <w:r w:rsidRPr="003D0DF8">
      <w:fldChar w:fldCharType="end"/>
    </w:r>
    <w:r w:rsidRPr="003D0DF8">
      <w:t>:</w:t>
    </w:r>
    <w:r w:rsidRPr="003D0DF8">
      <w:fldChar w:fldCharType="begin" w:fldLock="1"/>
    </w:r>
    <w:r w:rsidRPr="003D0DF8">
      <w:instrText xml:space="preserve"> DOCPROPERTY "Motionsnummer" *\charformat </w:instrText>
    </w:r>
    <w:r w:rsidRPr="003D0DF8">
      <w:fldChar w:fldCharType="separate"/>
    </w:r>
    <w:r w:rsidR="008731BE" w:rsidRPr="003D0DF8">
      <w:t>Fi303</w:t>
    </w:r>
    <w:r w:rsidRPr="003D0DF8">
      <w:fldChar w:fldCharType="end"/>
    </w:r>
  </w:p>
  <w:p w:rsidR="00D46614" w:rsidRPr="003D0DF8" w:rsidRDefault="00D46614">
    <w:pPr>
      <w:pStyle w:val="FSHNormalS5"/>
    </w:pPr>
    <w:r w:rsidRPr="003D0DF8">
      <w:fldChar w:fldCharType="begin" w:fldLock="1"/>
    </w:r>
    <w:r w:rsidRPr="003D0DF8">
      <w:instrText xml:space="preserve"> DOCPROPERTY "MotionarText" *\charformat </w:instrText>
    </w:r>
    <w:r w:rsidRPr="003D0DF8">
      <w:fldChar w:fldCharType="separate"/>
    </w:r>
    <w:r w:rsidR="008731BE" w:rsidRPr="003D0DF8">
      <w:t>av Mikael Odenberg m.fl. (m)</w:t>
    </w:r>
    <w:r w:rsidRPr="003D0DF8">
      <w:fldChar w:fldCharType="end"/>
    </w:r>
    <w:r w:rsidRPr="003D0DF8">
      <w:br/>
    </w:r>
    <w:r w:rsidRPr="003D0DF8">
      <w:fldChar w:fldCharType="begin" w:fldLock="1"/>
    </w:r>
    <w:r w:rsidRPr="003D0DF8">
      <w:instrText xml:space="preserve"> DOCPROPERTY "SvarFrasKort" *\charformat </w:instrText>
    </w:r>
    <w:r w:rsidRPr="003D0DF8">
      <w:fldChar w:fldCharType="end"/>
    </w:r>
  </w:p>
  <w:p w:rsidR="00D46614" w:rsidRPr="003D0DF8" w:rsidRDefault="00D46614">
    <w:pPr>
      <w:pStyle w:val="FSHTitel"/>
    </w:pPr>
    <w:r w:rsidRPr="003D0DF8">
      <w:fldChar w:fldCharType="begin" w:fldLock="1"/>
    </w:r>
    <w:r w:rsidRPr="003D0DF8">
      <w:instrText xml:space="preserve"> DOCPROPERTY</w:instrText>
    </w:r>
    <w:r w:rsidRPr="003D0DF8">
      <w:rPr>
        <w:sz w:val="18"/>
      </w:rPr>
      <w:instrText xml:space="preserve"> "RubrikSvar" *\charformat </w:instrText>
    </w:r>
    <w:r w:rsidRPr="003D0DF8">
      <w:fldChar w:fldCharType="separate"/>
    </w:r>
    <w:r w:rsidR="008731BE" w:rsidRPr="003D0DF8">
      <w:t>Utgiftsområde 25 Allmänna bidrag till kommuner</w:t>
    </w:r>
    <w:r w:rsidRPr="003D0DF8">
      <w:fldChar w:fldCharType="end"/>
    </w:r>
  </w:p>
  <w:p w:rsidR="00D46614" w:rsidRPr="003D0DF8" w:rsidRDefault="00D46614" w:rsidP="00E2401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151614">
    <w:abstractNumId w:val="13"/>
  </w:num>
  <w:num w:numId="2" w16cid:durableId="212036986">
    <w:abstractNumId w:val="10"/>
  </w:num>
  <w:num w:numId="3" w16cid:durableId="1124033825">
    <w:abstractNumId w:val="11"/>
  </w:num>
  <w:num w:numId="4" w16cid:durableId="2251022">
    <w:abstractNumId w:val="12"/>
  </w:num>
  <w:num w:numId="5" w16cid:durableId="1088381519">
    <w:abstractNumId w:val="8"/>
  </w:num>
  <w:num w:numId="6" w16cid:durableId="854877712">
    <w:abstractNumId w:val="3"/>
  </w:num>
  <w:num w:numId="7" w16cid:durableId="1319071468">
    <w:abstractNumId w:val="2"/>
  </w:num>
  <w:num w:numId="8" w16cid:durableId="771516691">
    <w:abstractNumId w:val="1"/>
  </w:num>
  <w:num w:numId="9" w16cid:durableId="987248362">
    <w:abstractNumId w:val="0"/>
  </w:num>
  <w:num w:numId="10" w16cid:durableId="1918242163">
    <w:abstractNumId w:val="9"/>
  </w:num>
  <w:num w:numId="11" w16cid:durableId="959533429">
    <w:abstractNumId w:val="7"/>
  </w:num>
  <w:num w:numId="12" w16cid:durableId="713119756">
    <w:abstractNumId w:val="6"/>
  </w:num>
  <w:num w:numId="13" w16cid:durableId="328606184">
    <w:abstractNumId w:val="5"/>
  </w:num>
  <w:num w:numId="14" w16cid:durableId="2071807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241EE9"/>
    <w:rsid w:val="0004381F"/>
    <w:rsid w:val="00064BC3"/>
    <w:rsid w:val="00066775"/>
    <w:rsid w:val="00072FB9"/>
    <w:rsid w:val="000867FC"/>
    <w:rsid w:val="00100531"/>
    <w:rsid w:val="00201DFB"/>
    <w:rsid w:val="00204A63"/>
    <w:rsid w:val="00212FF1"/>
    <w:rsid w:val="00230193"/>
    <w:rsid w:val="00241EE9"/>
    <w:rsid w:val="0025068A"/>
    <w:rsid w:val="00271FC9"/>
    <w:rsid w:val="002818D3"/>
    <w:rsid w:val="002A13A0"/>
    <w:rsid w:val="002A1EA4"/>
    <w:rsid w:val="002D11A8"/>
    <w:rsid w:val="0032362F"/>
    <w:rsid w:val="003A7A96"/>
    <w:rsid w:val="003D0DF8"/>
    <w:rsid w:val="00445271"/>
    <w:rsid w:val="004673D3"/>
    <w:rsid w:val="004A0504"/>
    <w:rsid w:val="004E38D9"/>
    <w:rsid w:val="004E4F2C"/>
    <w:rsid w:val="00541E80"/>
    <w:rsid w:val="005B145B"/>
    <w:rsid w:val="0061452D"/>
    <w:rsid w:val="00740D6D"/>
    <w:rsid w:val="00741E05"/>
    <w:rsid w:val="0078597D"/>
    <w:rsid w:val="00794149"/>
    <w:rsid w:val="007A2ECA"/>
    <w:rsid w:val="007B67A7"/>
    <w:rsid w:val="007C6092"/>
    <w:rsid w:val="007C7E62"/>
    <w:rsid w:val="008731BE"/>
    <w:rsid w:val="00967DCE"/>
    <w:rsid w:val="009E7346"/>
    <w:rsid w:val="00A053C6"/>
    <w:rsid w:val="00AC256E"/>
    <w:rsid w:val="00B13BF0"/>
    <w:rsid w:val="00B81196"/>
    <w:rsid w:val="00C1285C"/>
    <w:rsid w:val="00C27B7D"/>
    <w:rsid w:val="00C62CBD"/>
    <w:rsid w:val="00C74E6A"/>
    <w:rsid w:val="00CB016A"/>
    <w:rsid w:val="00CD6DC7"/>
    <w:rsid w:val="00CF7A43"/>
    <w:rsid w:val="00D1174F"/>
    <w:rsid w:val="00D46614"/>
    <w:rsid w:val="00D772C0"/>
    <w:rsid w:val="00D9318E"/>
    <w:rsid w:val="00D97C64"/>
    <w:rsid w:val="00DC6C70"/>
    <w:rsid w:val="00E22893"/>
    <w:rsid w:val="00E2401B"/>
    <w:rsid w:val="00E360DE"/>
    <w:rsid w:val="00E615E5"/>
    <w:rsid w:val="00E75D28"/>
    <w:rsid w:val="00E84F25"/>
    <w:rsid w:val="00F7594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3240D2-91F2-4B60-9471-DD5D2B36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table" w:styleId="Tabellrutnt">
    <w:name w:val="Table Grid"/>
    <w:basedOn w:val="Normaltabell"/>
    <w:rsid w:val="009E734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1">
    <w:name w:val="Table Simple 1"/>
    <w:basedOn w:val="Normaltabell"/>
    <w:rsid w:val="009E7346"/>
    <w:pPr>
      <w:spacing w:before="6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clear" w:color="auto" w:fill="auto"/>
      </w:tcPr>
    </w:tblStylePr>
    <w:tblStylePr w:type="lastRow">
      <w:tblPr/>
      <w:tcPr>
        <w:tcBorders>
          <w:top w:val="single" w:sz="6" w:space="0" w:color="000000"/>
        </w:tcBorders>
        <w:shd w:val="clear" w:color="auto" w:fill="auto"/>
      </w:tcPr>
    </w:tblStylePr>
  </w:style>
  <w:style w:type="paragraph" w:customStyle="1" w:styleId="Hemstlrubrik">
    <w:name w:val="Hemstl_rubrik"/>
    <w:basedOn w:val="Rubrik1"/>
    <w:next w:val="Normal"/>
    <w:rsid w:val="0032362F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Tabelltext">
    <w:name w:val="Tabelltext"/>
    <w:basedOn w:val="Normal"/>
    <w:rsid w:val="009E7346"/>
    <w:pPr>
      <w:spacing w:before="60" w:line="240" w:lineRule="auto"/>
    </w:pPr>
    <w:rPr>
      <w:rFonts w:ascii="Letter Gothic" w:hAnsi="Letter Gothic"/>
      <w:sz w:val="20"/>
      <w:szCs w:val="24"/>
    </w:rPr>
  </w:style>
  <w:style w:type="paragraph" w:styleId="Ballongtext">
    <w:name w:val="Balloon Text"/>
    <w:basedOn w:val="Normal"/>
    <w:semiHidden/>
    <w:rsid w:val="00CB0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1249</Words>
  <Characters>7249</Characters>
  <Application>Microsoft Office Word</Application>
  <DocSecurity>4</DocSecurity>
  <Lines>278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Fi303</vt:lpstr>
    </vt:vector>
  </TitlesOfParts>
  <Company>Riksdagen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Fi303</dc:title>
  <dc:subject>Fi303</dc:subject>
  <dc:creator>Riksdagen</dc:creator>
  <cp:keywords>Riksdagen</cp:keywords>
  <dc:description/>
  <cp:lastModifiedBy>Lars Brink</cp:lastModifiedBy>
  <cp:revision>2</cp:revision>
  <cp:lastPrinted>2005-11-27T08:43:00Z</cp:lastPrinted>
  <dcterms:created xsi:type="dcterms:W3CDTF">2025-12-16T19:12:00Z</dcterms:created>
  <dcterms:modified xsi:type="dcterms:W3CDTF">2025-12-16T19:12:00Z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25 Allmänna bidrag till kommuner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25 Allmänna bidrag till kommuner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m176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Mikael Odenberg m.fl. (m)</vt:lpwstr>
  </property>
  <property fmtid="{D5CDD505-2E9C-101B-9397-08002B2CF9AE}" pid="26" name="MotionarLista">
    <vt:lpwstr>Odenberg, Mikael (m)\Axén, Gunnar (m)\Högström, Tomas (m)\Widegren, Cecilia (m)\Sjösten, Ulf (m)\Hedquist, Lennart (m)\Pålsson, Anne-Marie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Odenberg (m), Gunnar Axén (m), Tomas Högström (m), Cecilia Widegren (m), Ulf Sjösten (m), Lennart Hedquist (m), Anne-Marie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20052006000000000109000001760075</vt:lpwstr>
  </property>
  <property fmtid="{D5CDD505-2E9C-101B-9397-08002B2CF9AE}" pid="47" name="datum">
    <vt:lpwstr>051005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20052006000000000109000001760075</vt:lpwstr>
  </property>
  <property fmtid="{D5CDD505-2E9C-101B-9397-08002B2CF9AE}" pid="50" name="nummer">
    <vt:lpwstr>303</vt:lpwstr>
  </property>
  <property fmtid="{D5CDD505-2E9C-101B-9397-08002B2CF9AE}" pid="51" name="utskottsbeteckning">
    <vt:lpwstr>Fi</vt:lpwstr>
  </property>
</Properties>
</file>