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556D9-B2DA-4C3B-A451-AAC8B9DB7322}"/>
</file>

<file path=customXml/itemProps2.xml><?xml version="1.0" encoding="utf-8"?>
<ds:datastoreItem xmlns:ds="http://schemas.openxmlformats.org/officeDocument/2006/customXml" ds:itemID="{D6219587-8A5D-45BE-A70B-73C2B19991AF}"/>
</file>

<file path=customXml/itemProps3.xml><?xml version="1.0" encoding="utf-8"?>
<ds:datastoreItem xmlns:ds="http://schemas.openxmlformats.org/officeDocument/2006/customXml" ds:itemID="{1861EC30-854F-41D0-A398-AB835C317080}"/>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