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D63EB">
        <w:tblPrEx>
          <w:tblCellMar>
            <w:top w:w="0" w:type="dxa"/>
            <w:left w:w="0" w:type="dxa"/>
            <w:bottom w:w="0" w:type="dxa"/>
            <w:right w:w="0" w:type="dxa"/>
          </w:tblCellMar>
        </w:tblPrEx>
        <w:trPr>
          <w:gridAfter w:val="2"/>
          <w:wAfter w:w="1758" w:type="dxa"/>
          <w:cantSplit/>
          <w:trHeight w:val="1320"/>
        </w:trPr>
        <w:tc>
          <w:tcPr>
            <w:tcW w:w="5897" w:type="dxa"/>
          </w:tcPr>
          <w:p w:rsidR="00226422" w:rsidRPr="000D63EB" w:rsidRDefault="00226422">
            <w:pPr>
              <w:pStyle w:val="HuvudRubrik"/>
            </w:pPr>
            <w:r w:rsidRPr="000D63EB">
              <w:t>Regeringskansliet</w:t>
            </w:r>
          </w:p>
          <w:p w:rsidR="00226422" w:rsidRPr="000D63EB" w:rsidRDefault="00226422">
            <w:pPr>
              <w:pStyle w:val="HuvudRubrik"/>
            </w:pPr>
            <w:r w:rsidRPr="000D63EB">
              <w:t>Faktapromemoria  2005/06:FPM15</w:t>
            </w:r>
          </w:p>
        </w:tc>
      </w:tr>
      <w:tr w:rsidR="00000000" w:rsidRPr="000D63EB">
        <w:tblPrEx>
          <w:tblCellMar>
            <w:top w:w="0" w:type="dxa"/>
            <w:left w:w="0" w:type="dxa"/>
            <w:bottom w:w="0" w:type="dxa"/>
            <w:right w:w="0" w:type="dxa"/>
          </w:tblCellMar>
        </w:tblPrEx>
        <w:trPr>
          <w:gridAfter w:val="2"/>
          <w:wAfter w:w="1758" w:type="dxa"/>
          <w:cantSplit/>
          <w:trHeight w:val="240"/>
        </w:trPr>
        <w:tc>
          <w:tcPr>
            <w:tcW w:w="5897" w:type="dxa"/>
          </w:tcPr>
          <w:p w:rsidR="00226422" w:rsidRPr="000D63EB" w:rsidRDefault="00226422">
            <w:pPr>
              <w:pStyle w:val="HuvudRubrik"/>
              <w:rPr>
                <w:sz w:val="28"/>
              </w:rPr>
            </w:pPr>
            <w:r w:rsidRPr="000D63EB">
              <w:t>Handlingsplan för statligt stöd</w:t>
            </w:r>
          </w:p>
        </w:tc>
      </w:tr>
      <w:tr w:rsidR="00DD3CEF" w:rsidRPr="000D63EB">
        <w:tblPrEx>
          <w:tblCellMar>
            <w:top w:w="0" w:type="dxa"/>
            <w:left w:w="0" w:type="dxa"/>
            <w:bottom w:w="0" w:type="dxa"/>
            <w:right w:w="0" w:type="dxa"/>
          </w:tblCellMar>
        </w:tblPrEx>
        <w:trPr>
          <w:cantSplit/>
          <w:trHeight w:val="285"/>
        </w:trPr>
        <w:tc>
          <w:tcPr>
            <w:tcW w:w="7655" w:type="dxa"/>
            <w:gridSpan w:val="3"/>
          </w:tcPr>
          <w:p w:rsidR="00DD3CEF" w:rsidRPr="000D63EB" w:rsidRDefault="00F403CA">
            <w:pPr>
              <w:pStyle w:val="Departement"/>
              <w:rPr>
                <w:sz w:val="28"/>
              </w:rPr>
            </w:pPr>
            <w:r w:rsidRPr="000D63EB">
              <w:t>Näringsdepartementet</w:t>
            </w:r>
          </w:p>
        </w:tc>
      </w:tr>
      <w:tr w:rsidR="00DD3CEF" w:rsidRPr="000D63EB">
        <w:tblPrEx>
          <w:tblCellMar>
            <w:top w:w="0" w:type="dxa"/>
            <w:left w:w="0" w:type="dxa"/>
            <w:bottom w:w="0" w:type="dxa"/>
            <w:right w:w="0" w:type="dxa"/>
          </w:tblCellMar>
        </w:tblPrEx>
        <w:trPr>
          <w:cantSplit/>
          <w:trHeight w:val="240"/>
        </w:trPr>
        <w:tc>
          <w:tcPr>
            <w:tcW w:w="7655" w:type="dxa"/>
            <w:gridSpan w:val="3"/>
          </w:tcPr>
          <w:p w:rsidR="00DD3CEF" w:rsidRPr="000D63EB" w:rsidRDefault="00F403CA">
            <w:pPr>
              <w:pStyle w:val="Dokumentdatum"/>
            </w:pPr>
            <w:r w:rsidRPr="000D63EB">
              <w:t>2005-10-21</w:t>
            </w:r>
          </w:p>
        </w:tc>
      </w:tr>
      <w:tr w:rsidR="00DD3CEF" w:rsidRPr="000D63EB">
        <w:tblPrEx>
          <w:tblCellMar>
            <w:top w:w="0" w:type="dxa"/>
            <w:left w:w="0" w:type="dxa"/>
            <w:bottom w:w="0" w:type="dxa"/>
            <w:right w:w="0" w:type="dxa"/>
          </w:tblCellMar>
        </w:tblPrEx>
        <w:trPr>
          <w:cantSplit/>
          <w:trHeight w:val="726"/>
        </w:trPr>
        <w:tc>
          <w:tcPr>
            <w:tcW w:w="7655" w:type="dxa"/>
            <w:gridSpan w:val="3"/>
            <w:vAlign w:val="bottom"/>
          </w:tcPr>
          <w:p w:rsidR="00DD3CEF" w:rsidRPr="000D63EB" w:rsidRDefault="00DD3CEF">
            <w:pPr>
              <w:pStyle w:val="Dokumentbeteckning"/>
            </w:pPr>
            <w:r w:rsidRPr="000D63EB">
              <w:t>Dokumentbeteckning</w:t>
            </w:r>
          </w:p>
        </w:tc>
      </w:tr>
      <w:tr w:rsidR="00DD3CEF" w:rsidRPr="000D63EB">
        <w:tblPrEx>
          <w:tblCellMar>
            <w:top w:w="0" w:type="dxa"/>
            <w:left w:w="0" w:type="dxa"/>
            <w:bottom w:w="0" w:type="dxa"/>
            <w:right w:w="0" w:type="dxa"/>
          </w:tblCellMar>
        </w:tblPrEx>
        <w:trPr>
          <w:gridAfter w:val="1"/>
          <w:wAfter w:w="1560" w:type="dxa"/>
          <w:trHeight w:val="120"/>
        </w:trPr>
        <w:tc>
          <w:tcPr>
            <w:tcW w:w="6095" w:type="dxa"/>
            <w:gridSpan w:val="2"/>
          </w:tcPr>
          <w:p w:rsidR="00DD3CEF" w:rsidRPr="000D63EB" w:rsidRDefault="00F403CA">
            <w:bookmarkStart w:id="0" w:name="KomNr"/>
            <w:bookmarkEnd w:id="0"/>
            <w:r w:rsidRPr="000D63EB">
              <w:t>KOM(2005) 107 slutlig</w:t>
            </w:r>
          </w:p>
        </w:tc>
      </w:tr>
      <w:tr w:rsidR="00DD3CEF" w:rsidRPr="000D63EB">
        <w:tblPrEx>
          <w:tblCellMar>
            <w:top w:w="0" w:type="dxa"/>
            <w:left w:w="0" w:type="dxa"/>
            <w:bottom w:w="0" w:type="dxa"/>
            <w:right w:w="0" w:type="dxa"/>
          </w:tblCellMar>
        </w:tblPrEx>
        <w:trPr>
          <w:gridAfter w:val="1"/>
          <w:wAfter w:w="1560" w:type="dxa"/>
          <w:trHeight w:val="120"/>
        </w:trPr>
        <w:tc>
          <w:tcPr>
            <w:tcW w:w="6095" w:type="dxa"/>
            <w:gridSpan w:val="2"/>
          </w:tcPr>
          <w:p w:rsidR="00DD3CEF" w:rsidRPr="000D63EB" w:rsidRDefault="00F403CA">
            <w:pPr>
              <w:pStyle w:val="Dokumentbeteckning-titel"/>
            </w:pPr>
            <w:r w:rsidRPr="000D63EB">
              <w:t>Handlingsplan för statligt stöd - Mindre men bättre riktat statligt stöd: en plan för reform av det statliga stödet 2005 - 2009 - Samrådsdokument</w:t>
            </w:r>
          </w:p>
        </w:tc>
      </w:tr>
    </w:tbl>
    <w:p w:rsidR="00DD3CEF" w:rsidRPr="000D63EB" w:rsidRDefault="00DD3CEF"/>
    <w:p w:rsidR="00DD3CEF" w:rsidRPr="000D63EB" w:rsidRDefault="00DD3CEF">
      <w:pPr>
        <w:pStyle w:val="Rubrik1"/>
        <w:numPr>
          <w:ilvl w:val="0"/>
          <w:numId w:val="0"/>
        </w:numPr>
      </w:pPr>
      <w:r w:rsidRPr="000D63EB">
        <w:t>Sammanfattning</w:t>
      </w:r>
    </w:p>
    <w:p w:rsidR="00DD3CEF" w:rsidRPr="000D63EB" w:rsidRDefault="00DD3CEF">
      <w:r w:rsidRPr="000D63EB">
        <w:t>Kommissionen redovisar riktlinjer för en omfattande reform av re</w:t>
      </w:r>
      <w:r w:rsidRPr="000D63EB">
        <w:t>g</w:t>
      </w:r>
      <w:r w:rsidRPr="000D63EB">
        <w:t>ler och förfaranden för statligt stöd under perioden 2005-2009 i en särskild han</w:t>
      </w:r>
      <w:r w:rsidRPr="000D63EB">
        <w:t>d</w:t>
      </w:r>
      <w:r w:rsidRPr="000D63EB">
        <w:t>lingsplan för statligt stöd. Kommissionen presenterade handling</w:t>
      </w:r>
      <w:r w:rsidRPr="000D63EB">
        <w:t>s</w:t>
      </w:r>
      <w:r w:rsidRPr="000D63EB">
        <w:t>planen i form av ett samrådsdokument  i juni 2005.</w:t>
      </w:r>
    </w:p>
    <w:p w:rsidR="00DD3CEF" w:rsidRPr="000D63EB" w:rsidRDefault="00DD3CEF">
      <w:r w:rsidRPr="000D63EB">
        <w:t>Kommissionen vill framför allt använda EG-fördragets regler om statligt stöd till att uppmuntra medlemsstaterna att bidra till Lissabonstrategin genom att nationellt statsstöd inriktas på att förbättra EU-företagens konkurrenskraft och skapa varaktiga arbetstillfällen (mer stöd till FoU, innovation och ris</w:t>
      </w:r>
      <w:r w:rsidRPr="000D63EB">
        <w:t>k</w:t>
      </w:r>
      <w:r w:rsidRPr="000D63EB">
        <w:t>kapital till småföretag), säkerställa social och regional sammanhållning, stärka miljöskyddet samt förbättra de offentliga tjän</w:t>
      </w:r>
      <w:r w:rsidRPr="000D63EB">
        <w:t>s</w:t>
      </w:r>
      <w:r w:rsidRPr="000D63EB">
        <w:t xml:space="preserve">terna. </w:t>
      </w:r>
    </w:p>
    <w:p w:rsidR="00DD3CEF" w:rsidRPr="000D63EB" w:rsidRDefault="00DD3CEF">
      <w:r w:rsidRPr="000D63EB">
        <w:t>I handlingsplanen diskuterar kommissionen förutsättningarna för sin tilläm</w:t>
      </w:r>
      <w:r w:rsidRPr="000D63EB">
        <w:t>p</w:t>
      </w:r>
      <w:r w:rsidRPr="000D63EB">
        <w:t>ning av fördragets bestämmelser om statligt stöd och anger att ett flexiblare och mer ekonomiskt förhållningssätt är önskvärt. Stöd som är mindre sne</w:t>
      </w:r>
      <w:r w:rsidRPr="000D63EB">
        <w:t>d</w:t>
      </w:r>
      <w:r w:rsidRPr="000D63EB">
        <w:t>vridande från konkurrenssynpunkt bör kunna godkännas lättare och snabbare än hittills så att kommissionen kan inrikta sina r</w:t>
      </w:r>
      <w:r w:rsidRPr="000D63EB">
        <w:t>e</w:t>
      </w:r>
      <w:r w:rsidRPr="000D63EB">
        <w:t>surser på de fall där risken för allvarliga snedvridningar av konkurrensen och handeln inom EU är stö</w:t>
      </w:r>
      <w:r w:rsidRPr="000D63EB">
        <w:t>r</w:t>
      </w:r>
      <w:r w:rsidRPr="000D63EB">
        <w:t xml:space="preserve">re. </w:t>
      </w:r>
    </w:p>
    <w:p w:rsidR="00DD3CEF" w:rsidRPr="000D63EB" w:rsidRDefault="00DD3CEF">
      <w:r w:rsidRPr="000D63EB">
        <w:t>Rationalisering och effektivisering av förfaranden bör ske så att reglerna blir tydligare och färre stöd behöver anmälas till kommissionen. Ko</w:t>
      </w:r>
      <w:r w:rsidRPr="000D63EB">
        <w:t>m</w:t>
      </w:r>
      <w:r w:rsidRPr="000D63EB">
        <w:t>missionens beslutsfattande skall snabbas upp och förutsägbarheten i s</w:t>
      </w:r>
      <w:r w:rsidRPr="000D63EB">
        <w:t>y</w:t>
      </w:r>
      <w:r w:rsidRPr="000D63EB">
        <w:t xml:space="preserve">stemet förbättras. </w:t>
      </w:r>
    </w:p>
    <w:p w:rsidR="00DD3CEF" w:rsidRPr="000D63EB" w:rsidRDefault="00DD3CEF">
      <w:r w:rsidRPr="000D63EB">
        <w:t>Kommissionen betonar vikten av ett delat ansvar mellan kommissionen och medlemsstaterna så att tillämpningen av statligt stöd fullt ut respekterar EG:s principer. Kommissionen anger här former för sitt eget mer uppstram</w:t>
      </w:r>
      <w:r w:rsidRPr="000D63EB">
        <w:t>a</w:t>
      </w:r>
      <w:r w:rsidRPr="000D63EB">
        <w:t xml:space="preserve">de </w:t>
      </w:r>
      <w:r w:rsidRPr="000D63EB">
        <w:lastRenderedPageBreak/>
        <w:t>övervakningsarbete och understryker den roll som olika organ inom me</w:t>
      </w:r>
      <w:r w:rsidRPr="000D63EB">
        <w:t>d</w:t>
      </w:r>
      <w:r w:rsidRPr="000D63EB">
        <w:t>lemsstaterna kan spela, såsom nationella domstolar men också oberoende nationella övervakningsmy</w:t>
      </w:r>
      <w:r w:rsidRPr="000D63EB">
        <w:t>n</w:t>
      </w:r>
      <w:r w:rsidRPr="000D63EB">
        <w:t xml:space="preserve">digheter för statsstöd.  </w:t>
      </w:r>
    </w:p>
    <w:p w:rsidR="00DD3CEF" w:rsidRPr="000D63EB" w:rsidRDefault="00DD3CEF">
      <w:pPr>
        <w:pStyle w:val="Rubrik1"/>
        <w:numPr>
          <w:ilvl w:val="0"/>
          <w:numId w:val="0"/>
        </w:numPr>
      </w:pPr>
    </w:p>
    <w:p w:rsidR="00DD3CEF" w:rsidRPr="000D63EB" w:rsidRDefault="00DD3CEF">
      <w:pPr>
        <w:pStyle w:val="Rubrik1"/>
      </w:pPr>
      <w:r w:rsidRPr="000D63EB">
        <w:t>Förslaget</w:t>
      </w:r>
    </w:p>
    <w:p w:rsidR="00DD3CEF" w:rsidRPr="000D63EB" w:rsidRDefault="00DD3CEF">
      <w:pPr>
        <w:pStyle w:val="Rubrik2"/>
      </w:pPr>
      <w:r w:rsidRPr="000D63EB">
        <w:t>Innehåll</w:t>
      </w:r>
    </w:p>
    <w:p w:rsidR="00DD3CEF" w:rsidRPr="000D63EB" w:rsidRDefault="00DD3CEF">
      <w:r w:rsidRPr="000D63EB">
        <w:t>Handlingsplanen inleds med ett avsnitt där kommissionen resonerar kring motiven för att inom EU upprätthålla adekvat kontroll av statligt stöd i me</w:t>
      </w:r>
      <w:r w:rsidRPr="000D63EB">
        <w:t>d</w:t>
      </w:r>
      <w:r w:rsidRPr="000D63EB">
        <w:t>lemsstaterna och de utmaningar som en refo</w:t>
      </w:r>
      <w:r w:rsidRPr="000D63EB">
        <w:t>r</w:t>
      </w:r>
      <w:r w:rsidRPr="000D63EB">
        <w:t xml:space="preserve">merad policy för statligt stöd måste svara upp mot. </w:t>
      </w:r>
    </w:p>
    <w:p w:rsidR="00DD3CEF" w:rsidRPr="000D63EB" w:rsidRDefault="00DD3CEF">
      <w:pPr>
        <w:rPr>
          <w:iCs/>
        </w:rPr>
      </w:pPr>
      <w:r w:rsidRPr="000D63EB">
        <w:rPr>
          <w:iCs/>
        </w:rPr>
        <w:t>I ett andra avsnitt redovisar kommi</w:t>
      </w:r>
      <w:r w:rsidRPr="000D63EB">
        <w:rPr>
          <w:iCs/>
        </w:rPr>
        <w:t>s</w:t>
      </w:r>
      <w:r w:rsidRPr="000D63EB">
        <w:rPr>
          <w:iCs/>
        </w:rPr>
        <w:t>sionen prioriterade åtgärder:</w:t>
      </w:r>
    </w:p>
    <w:p w:rsidR="00DD3CEF" w:rsidRPr="000D63EB" w:rsidRDefault="00DD3CEF">
      <w:r w:rsidRPr="000D63EB">
        <w:rPr>
          <w:iCs/>
        </w:rPr>
        <w:t xml:space="preserve">- </w:t>
      </w:r>
      <w:r w:rsidRPr="000D63EB">
        <w:t xml:space="preserve">Under 2005 avser kommissionen ta fram ett meddelande om </w:t>
      </w:r>
      <w:r w:rsidRPr="000D63EB">
        <w:rPr>
          <w:i/>
        </w:rPr>
        <w:t>sta</w:t>
      </w:r>
      <w:r w:rsidRPr="000D63EB">
        <w:rPr>
          <w:i/>
        </w:rPr>
        <w:t>t</w:t>
      </w:r>
      <w:r w:rsidRPr="000D63EB">
        <w:rPr>
          <w:i/>
        </w:rPr>
        <w:t>ligt stöd och innovation</w:t>
      </w:r>
      <w:r w:rsidRPr="000D63EB">
        <w:t>. Syftet är att analysera behovet av och fö</w:t>
      </w:r>
      <w:r w:rsidRPr="000D63EB">
        <w:t>r</w:t>
      </w:r>
      <w:r w:rsidRPr="000D63EB">
        <w:t xml:space="preserve">utsättningarna för en anpassning av befintligt regelverk för att främja innovationer inom EU. </w:t>
      </w:r>
    </w:p>
    <w:p w:rsidR="00DD3CEF" w:rsidRPr="000D63EB" w:rsidRDefault="00DD3CEF">
      <w:r w:rsidRPr="000D63EB">
        <w:t>- Kommissionen kommer därutöver att revidera nuvarande geme</w:t>
      </w:r>
      <w:r w:rsidRPr="000D63EB">
        <w:t>n</w:t>
      </w:r>
      <w:r w:rsidRPr="000D63EB">
        <w:t xml:space="preserve">skapsramar om statligt stöd till </w:t>
      </w:r>
      <w:r w:rsidRPr="000D63EB">
        <w:rPr>
          <w:i/>
        </w:rPr>
        <w:t>forskning och utveckling</w:t>
      </w:r>
      <w:r w:rsidRPr="000D63EB">
        <w:t xml:space="preserve">. </w:t>
      </w:r>
    </w:p>
    <w:p w:rsidR="00DD3CEF" w:rsidRPr="000D63EB" w:rsidRDefault="00DD3CEF">
      <w:r w:rsidRPr="000D63EB">
        <w:t>- I syfte att underlätta entreprenörskap och nyföretagande avser kommissi</w:t>
      </w:r>
      <w:r w:rsidRPr="000D63EB">
        <w:t>o</w:t>
      </w:r>
      <w:r w:rsidRPr="000D63EB">
        <w:t xml:space="preserve">nen göra en översyn av det meddelande som behandlar </w:t>
      </w:r>
      <w:r w:rsidRPr="000D63EB">
        <w:rPr>
          <w:i/>
        </w:rPr>
        <w:t>statligt stöd och riskkap</w:t>
      </w:r>
      <w:r w:rsidRPr="000D63EB">
        <w:rPr>
          <w:i/>
        </w:rPr>
        <w:t>i</w:t>
      </w:r>
      <w:r w:rsidRPr="000D63EB">
        <w:rPr>
          <w:i/>
        </w:rPr>
        <w:t>tal</w:t>
      </w:r>
      <w:r w:rsidRPr="000D63EB">
        <w:t>.</w:t>
      </w:r>
    </w:p>
    <w:p w:rsidR="00DD3CEF" w:rsidRPr="000D63EB" w:rsidRDefault="00DD3CEF">
      <w:r w:rsidRPr="000D63EB">
        <w:t>- Med hänvisning till den europeiska sysselsättningsstrategin u</w:t>
      </w:r>
      <w:r w:rsidRPr="000D63EB">
        <w:t>n</w:t>
      </w:r>
      <w:r w:rsidRPr="000D63EB">
        <w:t xml:space="preserve">derstryker kommissionen också vikten av investeringar i </w:t>
      </w:r>
      <w:r w:rsidRPr="000D63EB">
        <w:rPr>
          <w:i/>
        </w:rPr>
        <w:t>huma</w:t>
      </w:r>
      <w:r w:rsidRPr="000D63EB">
        <w:rPr>
          <w:i/>
        </w:rPr>
        <w:t>n</w:t>
      </w:r>
      <w:r w:rsidRPr="000D63EB">
        <w:rPr>
          <w:i/>
        </w:rPr>
        <w:t>kapitalet</w:t>
      </w:r>
      <w:r w:rsidRPr="000D63EB">
        <w:t xml:space="preserve">. Nuvarande s.k. gruppundantagslösningar för stöd till </w:t>
      </w:r>
      <w:r w:rsidRPr="000D63EB">
        <w:rPr>
          <w:i/>
        </w:rPr>
        <w:t>utbildning av anställda</w:t>
      </w:r>
      <w:r w:rsidRPr="000D63EB">
        <w:t xml:space="preserve"> och för stöd till </w:t>
      </w:r>
      <w:r w:rsidRPr="000D63EB">
        <w:rPr>
          <w:i/>
        </w:rPr>
        <w:t>sysselsättning</w:t>
      </w:r>
      <w:r w:rsidRPr="000D63EB">
        <w:t xml:space="preserve"> kommer att ses över. </w:t>
      </w:r>
    </w:p>
    <w:p w:rsidR="00DD3CEF" w:rsidRPr="000D63EB" w:rsidRDefault="00DD3CEF">
      <w:r w:rsidRPr="000D63EB">
        <w:t>- Tillgång till s.k</w:t>
      </w:r>
      <w:r w:rsidRPr="000D63EB">
        <w:rPr>
          <w:i/>
        </w:rPr>
        <w:t>. tjänster av allmänt ekonomiskt intresse</w:t>
      </w:r>
      <w:r w:rsidRPr="000D63EB">
        <w:t xml:space="preserve"> betraktar kommi</w:t>
      </w:r>
      <w:r w:rsidRPr="000D63EB">
        <w:t>s</w:t>
      </w:r>
      <w:r w:rsidRPr="000D63EB">
        <w:t>sionen som ett viktigt inslag i den europeiska välfärdsmodellen. Det är ang</w:t>
      </w:r>
      <w:r w:rsidRPr="000D63EB">
        <w:t>e</w:t>
      </w:r>
      <w:r w:rsidRPr="000D63EB">
        <w:t>läget att så tydliga regler som möjligt etableras för medlemsstaternas ti</w:t>
      </w:r>
      <w:r w:rsidRPr="000D63EB">
        <w:t>l</w:t>
      </w:r>
      <w:r w:rsidRPr="000D63EB">
        <w:t xml:space="preserve">lämpning.  </w:t>
      </w:r>
    </w:p>
    <w:p w:rsidR="00DD3CEF" w:rsidRPr="000D63EB" w:rsidRDefault="00DD3CEF">
      <w:r w:rsidRPr="000D63EB">
        <w:t>- För att underlätta medlemsstaternas tillämpning och för att rätt utnyttja kommissionens begränsade resurser, avser kommissi</w:t>
      </w:r>
      <w:r w:rsidRPr="000D63EB">
        <w:t>o</w:t>
      </w:r>
      <w:r w:rsidRPr="000D63EB">
        <w:t>nen gå vidare med den ordning med s.k. gruppundantagslösningar som funnits sedan några år tillb</w:t>
      </w:r>
      <w:r w:rsidRPr="000D63EB">
        <w:t>a</w:t>
      </w:r>
      <w:r w:rsidRPr="000D63EB">
        <w:t xml:space="preserve">ka. Avsikten är nu att introducera ett </w:t>
      </w:r>
      <w:r w:rsidRPr="000D63EB">
        <w:rPr>
          <w:i/>
        </w:rPr>
        <w:t>generellt och sammanhållet gruppu</w:t>
      </w:r>
      <w:r w:rsidRPr="000D63EB">
        <w:rPr>
          <w:i/>
        </w:rPr>
        <w:t>n</w:t>
      </w:r>
      <w:r w:rsidRPr="000D63EB">
        <w:rPr>
          <w:i/>
        </w:rPr>
        <w:t>dantag</w:t>
      </w:r>
      <w:r w:rsidRPr="000D63EB">
        <w:t xml:space="preserve"> för sådant stöd som klart kan anses vara förenligt med EG-fördraget. En förenkling och konsolid</w:t>
      </w:r>
      <w:r w:rsidRPr="000D63EB">
        <w:t>e</w:t>
      </w:r>
      <w:r w:rsidRPr="000D63EB">
        <w:t xml:space="preserve">ring av nuvarande gruppundantag planeras (SME, utbildning, sysselsättning) samt ett inkluderande i dessa bestämmelser av stöd för FoU-insatser i SME:s. Vissa typer av regionalt stöd, miljöstöd och undsättningsstöd för SME:s kan också komma att inkluderas. </w:t>
      </w:r>
    </w:p>
    <w:p w:rsidR="00DD3CEF" w:rsidRPr="000D63EB" w:rsidRDefault="00DD3CEF">
      <w:r w:rsidRPr="000D63EB">
        <w:t>- Kommissionen aviserar att belopp</w:t>
      </w:r>
      <w:r w:rsidRPr="000D63EB">
        <w:t>s</w:t>
      </w:r>
      <w:r w:rsidRPr="000D63EB">
        <w:t xml:space="preserve">gränsen för </w:t>
      </w:r>
      <w:r w:rsidRPr="000D63EB">
        <w:rPr>
          <w:i/>
          <w:iCs/>
        </w:rPr>
        <w:t>s.k. försumbart stöd</w:t>
      </w:r>
      <w:r w:rsidRPr="000D63EB">
        <w:t xml:space="preserve"> (idag max 100 000 euro/företag under tre år) kommer att höjas.</w:t>
      </w:r>
    </w:p>
    <w:p w:rsidR="00DD3CEF" w:rsidRPr="000D63EB" w:rsidRDefault="00DD3CEF">
      <w:r w:rsidRPr="000D63EB">
        <w:t xml:space="preserve">- Kommissionen refererar också till den pågående översynen av </w:t>
      </w:r>
      <w:r w:rsidRPr="000D63EB">
        <w:rPr>
          <w:i/>
          <w:iCs/>
        </w:rPr>
        <w:t>riktlinjerna för regionalt stöd</w:t>
      </w:r>
      <w:r w:rsidRPr="000D63EB">
        <w:t>. Politiken för statsstöd kan bidra g</w:t>
      </w:r>
      <w:r w:rsidRPr="000D63EB">
        <w:t>e</w:t>
      </w:r>
      <w:r w:rsidRPr="000D63EB">
        <w:t>nom att skapa sunda incitament för utveckling i de fattigare regionerna samtidigt som stödkap</w:t>
      </w:r>
      <w:r w:rsidRPr="000D63EB">
        <w:t>p</w:t>
      </w:r>
      <w:r w:rsidRPr="000D63EB">
        <w:t>löpning mellan medlemsstater och regioner undviks. Kommissionen bed</w:t>
      </w:r>
      <w:r w:rsidRPr="000D63EB">
        <w:t>ö</w:t>
      </w:r>
      <w:r w:rsidRPr="000D63EB">
        <w:t>mer bl.a. att det finns skäl att u</w:t>
      </w:r>
      <w:r w:rsidRPr="000D63EB">
        <w:t>t</w:t>
      </w:r>
      <w:r w:rsidRPr="000D63EB">
        <w:t xml:space="preserve">nyttja stora investeringsstöd mer återhållsamt och fokusera på de allra minst utvecklade områdena inom unionen. </w:t>
      </w:r>
    </w:p>
    <w:p w:rsidR="00DD3CEF" w:rsidRPr="000D63EB" w:rsidRDefault="00DD3CEF">
      <w:r w:rsidRPr="000D63EB">
        <w:t xml:space="preserve">- </w:t>
      </w:r>
      <w:r w:rsidRPr="000D63EB">
        <w:rPr>
          <w:i/>
          <w:iCs/>
        </w:rPr>
        <w:t>Miljöskydd</w:t>
      </w:r>
      <w:r w:rsidRPr="000D63EB">
        <w:t xml:space="preserve"> är nödvändigt i sig men också något som kan ge konkurrensfö</w:t>
      </w:r>
      <w:r w:rsidRPr="000D63EB">
        <w:t>r</w:t>
      </w:r>
      <w:r w:rsidRPr="000D63EB">
        <w:t xml:space="preserve">delar för Europa. Kommissionen avser att under 2005 inleda överväganden om hur nu gällande riktlinjer för stöd till miljöskydd bör ses över. </w:t>
      </w:r>
    </w:p>
    <w:p w:rsidR="00DD3CEF" w:rsidRPr="000D63EB" w:rsidRDefault="00DD3CEF">
      <w:r w:rsidRPr="000D63EB">
        <w:t xml:space="preserve">- En </w:t>
      </w:r>
      <w:r w:rsidRPr="000D63EB">
        <w:rPr>
          <w:i/>
          <w:iCs/>
        </w:rPr>
        <w:t>modern infrastruktur</w:t>
      </w:r>
      <w:r w:rsidRPr="000D63EB">
        <w:t xml:space="preserve"> behövs inom hela EU för transporter, energi och för informationssamhället. Kommissionen vill bidra med så tydl</w:t>
      </w:r>
      <w:r w:rsidRPr="000D63EB">
        <w:t>i</w:t>
      </w:r>
      <w:r w:rsidRPr="000D63EB">
        <w:t>ga regler för statligt stöd som möjligt, exempelvis för de fall som infrastrukturförbättrin</w:t>
      </w:r>
      <w:r w:rsidRPr="000D63EB">
        <w:t>g</w:t>
      </w:r>
      <w:r w:rsidRPr="000D63EB">
        <w:t>ar sker inom ramen för ’Pu</w:t>
      </w:r>
      <w:r w:rsidRPr="000D63EB">
        <w:t>b</w:t>
      </w:r>
      <w:r w:rsidRPr="000D63EB">
        <w:t>lic Private Partnership’-lösningar.</w:t>
      </w:r>
    </w:p>
    <w:p w:rsidR="00DD3CEF" w:rsidRPr="000D63EB" w:rsidRDefault="00DD3CEF">
      <w:r w:rsidRPr="000D63EB">
        <w:t>Handlingsplanens tredje huvudavsnitt ägnas åt frågor som gäller de olika förfaranden och procedurer som utnyttjas av kommissionen vid grans</w:t>
      </w:r>
      <w:r w:rsidRPr="000D63EB">
        <w:t>k</w:t>
      </w:r>
      <w:r w:rsidRPr="000D63EB">
        <w:t>ning m.m. av medlemsstaternas stödärenden. Den långa tidsutdräkten vid prö</w:t>
      </w:r>
      <w:r w:rsidRPr="000D63EB">
        <w:t>v</w:t>
      </w:r>
      <w:r w:rsidRPr="000D63EB">
        <w:t>ning av ärenden erkänns som ett huvudproblem och kommissi</w:t>
      </w:r>
      <w:r w:rsidRPr="000D63EB">
        <w:t>o</w:t>
      </w:r>
      <w:r w:rsidRPr="000D63EB">
        <w:t>nen menar att förändringar måste ske för att situationen, i spåren av u</w:t>
      </w:r>
      <w:r w:rsidRPr="000D63EB">
        <w:t>t</w:t>
      </w:r>
      <w:r w:rsidRPr="000D63EB">
        <w:t>vidgningen, inte skall förvärras ytterligare.</w:t>
      </w:r>
    </w:p>
    <w:p w:rsidR="00DD3CEF" w:rsidRPr="000D63EB" w:rsidRDefault="00DD3CEF">
      <w:r w:rsidRPr="000D63EB">
        <w:t>- Kommissionen avser ta olika steg för att snabba upp och effekt</w:t>
      </w:r>
      <w:r w:rsidRPr="000D63EB">
        <w:t>i</w:t>
      </w:r>
      <w:r w:rsidRPr="000D63EB">
        <w:t>visera sina egna rutiner och understryker att motsvarande också bör ske hos medlem</w:t>
      </w:r>
      <w:r w:rsidRPr="000D63EB">
        <w:t>s</w:t>
      </w:r>
      <w:r w:rsidRPr="000D63EB">
        <w:t>staterna själva – problemen med långa handläggningstider är enligt kommi</w:t>
      </w:r>
      <w:r w:rsidRPr="000D63EB">
        <w:t>s</w:t>
      </w:r>
      <w:r w:rsidRPr="000D63EB">
        <w:t>sionen inte bara en uppgift för den själv att åtgärda.</w:t>
      </w:r>
    </w:p>
    <w:p w:rsidR="00DD3CEF" w:rsidRPr="000D63EB" w:rsidRDefault="00DD3CEF">
      <w:r w:rsidRPr="000D63EB">
        <w:t>- Kommissionen kommer också att överväga huruvida självständiga stö</w:t>
      </w:r>
      <w:r w:rsidRPr="000D63EB">
        <w:t>d</w:t>
      </w:r>
      <w:r w:rsidRPr="000D63EB">
        <w:t>myndigheter i medlemsstaterna kan användas för att underlätta kommissi</w:t>
      </w:r>
      <w:r w:rsidRPr="000D63EB">
        <w:t>o</w:t>
      </w:r>
      <w:r w:rsidRPr="000D63EB">
        <w:t>nens uppgift när det gäller upptäckt och pr</w:t>
      </w:r>
      <w:r w:rsidRPr="000D63EB">
        <w:t>o</w:t>
      </w:r>
      <w:r w:rsidRPr="000D63EB">
        <w:t>visoriskt återkrav av illegalt stöd. Förbättrad d</w:t>
      </w:r>
      <w:r w:rsidRPr="000D63EB">
        <w:t>i</w:t>
      </w:r>
      <w:r w:rsidRPr="000D63EB">
        <w:t>sciplin när det gäller förhandsanmälan av stöd och verkställande av återkrav av stöd som förklarats oförenliga med fördraget är ytterligare såd</w:t>
      </w:r>
      <w:r w:rsidRPr="000D63EB">
        <w:t>a</w:t>
      </w:r>
      <w:r w:rsidRPr="000D63EB">
        <w:t>na uppgifter. Här finns tydliga brister i dagsläget.</w:t>
      </w:r>
    </w:p>
    <w:p w:rsidR="00DD3CEF" w:rsidRPr="000D63EB" w:rsidRDefault="00DD3CEF">
      <w:r w:rsidRPr="000D63EB">
        <w:t>- Kommissionen avser också förstärka sin övervakning av hur medlemsst</w:t>
      </w:r>
      <w:r w:rsidRPr="000D63EB">
        <w:t>a</w:t>
      </w:r>
      <w:r w:rsidRPr="000D63EB">
        <w:t>terna lever upp till åtaganden och villkor som är förkni</w:t>
      </w:r>
      <w:r w:rsidRPr="000D63EB">
        <w:t>p</w:t>
      </w:r>
      <w:r w:rsidRPr="000D63EB">
        <w:t>pade med stöd som tillåts.</w:t>
      </w:r>
    </w:p>
    <w:p w:rsidR="00DD3CEF" w:rsidRPr="000D63EB" w:rsidRDefault="00DD3CEF">
      <w:r w:rsidRPr="000D63EB">
        <w:t>- Kommissionen kommer också att förstärka sina informationsi</w:t>
      </w:r>
      <w:r w:rsidRPr="000D63EB">
        <w:t>n</w:t>
      </w:r>
      <w:r w:rsidRPr="000D63EB">
        <w:t>satser för berörda intressenter/aktörer på marknaden</w:t>
      </w:r>
      <w:r w:rsidRPr="000D63EB">
        <w:rPr>
          <w:i/>
          <w:iCs/>
        </w:rPr>
        <w:t xml:space="preserve"> </w:t>
      </w:r>
      <w:r w:rsidRPr="000D63EB">
        <w:t>i syfte att öka respekten för stat</w:t>
      </w:r>
      <w:r w:rsidRPr="000D63EB">
        <w:t>s</w:t>
      </w:r>
      <w:r w:rsidRPr="000D63EB">
        <w:t>stödsreglerna. Genom att utnyttja klag</w:t>
      </w:r>
      <w:r w:rsidRPr="000D63EB">
        <w:t>o</w:t>
      </w:r>
      <w:r w:rsidRPr="000D63EB">
        <w:t xml:space="preserve">rätt m.m. inför nationella domstolar kan disciplinen förbättras. Mot denna bakgrund kommer befintligt </w:t>
      </w:r>
      <w:r w:rsidRPr="000D63EB">
        <w:rPr>
          <w:i/>
          <w:iCs/>
        </w:rPr>
        <w:t>medd</w:t>
      </w:r>
      <w:r w:rsidRPr="000D63EB">
        <w:rPr>
          <w:i/>
          <w:iCs/>
        </w:rPr>
        <w:t>e</w:t>
      </w:r>
      <w:r w:rsidRPr="000D63EB">
        <w:rPr>
          <w:i/>
          <w:iCs/>
        </w:rPr>
        <w:t>lande rörande samarbete mellan nationella myndigheter och kommissionen</w:t>
      </w:r>
      <w:r w:rsidRPr="000D63EB">
        <w:t xml:space="preserve"> att ses över.</w:t>
      </w:r>
    </w:p>
    <w:p w:rsidR="00DD3CEF" w:rsidRPr="000D63EB" w:rsidRDefault="00DD3CEF">
      <w:r w:rsidRPr="000D63EB">
        <w:t>I övrigt framgår att kommissionen har ambitionen att göra en fullstä</w:t>
      </w:r>
      <w:r w:rsidRPr="000D63EB">
        <w:t>n</w:t>
      </w:r>
      <w:r w:rsidRPr="000D63EB">
        <w:t>dig översyn av samtl</w:t>
      </w:r>
      <w:r w:rsidRPr="000D63EB">
        <w:t>i</w:t>
      </w:r>
      <w:r w:rsidRPr="000D63EB">
        <w:t>ga kommissionsdokument som rör beviljande av statligt stöd. En indik</w:t>
      </w:r>
      <w:r w:rsidRPr="000D63EB">
        <w:t>a</w:t>
      </w:r>
      <w:r w:rsidRPr="000D63EB">
        <w:t>tiv tidsplan för arbetet anges.</w:t>
      </w:r>
    </w:p>
    <w:p w:rsidR="00DD3CEF" w:rsidRPr="000D63EB" w:rsidRDefault="00DD3CEF">
      <w:pPr>
        <w:pStyle w:val="Rubrik2"/>
      </w:pPr>
      <w:r w:rsidRPr="000D63EB">
        <w:t>Gällande svenska regler och förslagets effekt på dessa</w:t>
      </w:r>
    </w:p>
    <w:p w:rsidR="00DD3CEF" w:rsidRPr="000D63EB" w:rsidRDefault="00DD3CEF">
      <w:r w:rsidRPr="000D63EB">
        <w:t>-</w:t>
      </w:r>
    </w:p>
    <w:p w:rsidR="00DD3CEF" w:rsidRPr="000D63EB" w:rsidRDefault="00DD3CEF">
      <w:pPr>
        <w:pStyle w:val="Rubrik2"/>
      </w:pPr>
      <w:r w:rsidRPr="000D63EB">
        <w:t>Budgetära konsekvenser</w:t>
      </w:r>
    </w:p>
    <w:p w:rsidR="00DD3CEF" w:rsidRPr="000D63EB" w:rsidRDefault="00DD3CEF">
      <w:r w:rsidRPr="000D63EB">
        <w:t>-</w:t>
      </w:r>
    </w:p>
    <w:p w:rsidR="00DD3CEF" w:rsidRPr="000D63EB" w:rsidRDefault="00DD3CEF">
      <w:pPr>
        <w:pStyle w:val="Rubrik1"/>
      </w:pPr>
      <w:r w:rsidRPr="000D63EB">
        <w:t>Ståndpunkter</w:t>
      </w:r>
    </w:p>
    <w:p w:rsidR="00DD3CEF" w:rsidRPr="000D63EB" w:rsidRDefault="00DD3CEF">
      <w:pPr>
        <w:pStyle w:val="Rubrik2"/>
      </w:pPr>
      <w:r w:rsidRPr="000D63EB">
        <w:t>Svensk ståndpunkt</w:t>
      </w:r>
    </w:p>
    <w:p w:rsidR="00DD3CEF" w:rsidRPr="000D63EB" w:rsidRDefault="00DD3CEF">
      <w:r w:rsidRPr="000D63EB">
        <w:t>Sverige stödjer en reform av reglerna för statligt stöd så att dessa på ett bättre sätt främjar unionens konkurrenskraft, en väl fungerande inre marknad, social sammanhållning samt en hållbar utveckling och därmed bidrar till att uppnå målen inom Lissabonstrategin. R</w:t>
      </w:r>
      <w:r w:rsidRPr="000D63EB">
        <w:t>e</w:t>
      </w:r>
      <w:r w:rsidRPr="000D63EB">
        <w:t>formarbetet bör vila på en restriktiv grundsyn på statligt stöd i enlighet med målsättnin</w:t>
      </w:r>
      <w:r w:rsidRPr="000D63EB">
        <w:t>g</w:t>
      </w:r>
      <w:r w:rsidRPr="000D63EB">
        <w:t>en om ett ”minskat men bättre riktat statligt stöd” inom EU. Sverige välkomnar ambiti</w:t>
      </w:r>
      <w:r w:rsidRPr="000D63EB">
        <w:t>o</w:t>
      </w:r>
      <w:r w:rsidRPr="000D63EB">
        <w:t>nerna att effektivisera och påskynda förfarandena för hantering av stat</w:t>
      </w:r>
      <w:r w:rsidRPr="000D63EB">
        <w:t>s</w:t>
      </w:r>
      <w:r w:rsidRPr="000D63EB">
        <w:t xml:space="preserve">stödsärenden kommissionen och medlemsstaterna emellan. </w:t>
      </w:r>
    </w:p>
    <w:p w:rsidR="00DD3CEF" w:rsidRPr="000D63EB" w:rsidRDefault="00DD3CEF">
      <w:r w:rsidRPr="000D63EB">
        <w:t>Sverige välkomnar kommissionens arbete med att ta fram ett meddela</w:t>
      </w:r>
      <w:r w:rsidRPr="000D63EB">
        <w:t>n</w:t>
      </w:r>
      <w:r w:rsidRPr="000D63EB">
        <w:t xml:space="preserve">de om </w:t>
      </w:r>
      <w:r w:rsidRPr="000D63EB">
        <w:rPr>
          <w:iCs/>
        </w:rPr>
        <w:t>statligt stöd och innovation</w:t>
      </w:r>
      <w:r w:rsidRPr="000D63EB">
        <w:t>. Det är viktigt att ökad klarhet kan åsta</w:t>
      </w:r>
      <w:r w:rsidRPr="000D63EB">
        <w:t>d</w:t>
      </w:r>
      <w:r w:rsidRPr="000D63EB">
        <w:t>kommas kring innovationsbegreppet och att väl avgränsade villkor för stöd till inn</w:t>
      </w:r>
      <w:r w:rsidRPr="000D63EB">
        <w:t>o</w:t>
      </w:r>
      <w:r w:rsidRPr="000D63EB">
        <w:t xml:space="preserve">vation etableras. En översyn av gemenskapsramarna för statligt </w:t>
      </w:r>
      <w:r w:rsidRPr="000D63EB">
        <w:rPr>
          <w:iCs/>
        </w:rPr>
        <w:t>stöd till forskning och u</w:t>
      </w:r>
      <w:r w:rsidRPr="000D63EB">
        <w:rPr>
          <w:iCs/>
        </w:rPr>
        <w:t>t</w:t>
      </w:r>
      <w:r w:rsidRPr="000D63EB">
        <w:rPr>
          <w:iCs/>
        </w:rPr>
        <w:t>veckling</w:t>
      </w:r>
      <w:r w:rsidRPr="000D63EB">
        <w:rPr>
          <w:i/>
          <w:iCs/>
        </w:rPr>
        <w:t xml:space="preserve"> </w:t>
      </w:r>
      <w:r w:rsidRPr="000D63EB">
        <w:t>välkomnas. Det är angeläget att förhållandet till stöd till innovation tydliggörs. Nu tillgängliga stödnivåer för FoU förefa</w:t>
      </w:r>
      <w:r w:rsidRPr="000D63EB">
        <w:t>l</w:t>
      </w:r>
      <w:r w:rsidRPr="000D63EB">
        <w:t xml:space="preserve">ler enligt svensk uppfattning väsentligen vara väl avvägda. </w:t>
      </w:r>
    </w:p>
    <w:p w:rsidR="00DD3CEF" w:rsidRPr="000D63EB" w:rsidRDefault="00DD3CEF">
      <w:r w:rsidRPr="000D63EB">
        <w:t>Regelverken för stöd till sysselsättning respektive utbildning kan med fö</w:t>
      </w:r>
      <w:r w:rsidRPr="000D63EB">
        <w:t>r</w:t>
      </w:r>
      <w:r w:rsidRPr="000D63EB">
        <w:t>del ses över i den riktning kommissionen anger, dvs. mot en ökad fören</w:t>
      </w:r>
      <w:r w:rsidRPr="000D63EB">
        <w:t>k</w:t>
      </w:r>
      <w:r w:rsidRPr="000D63EB">
        <w:t xml:space="preserve">ling samt konsolidering i en ny gruppundantagsförordning. När det gäller </w:t>
      </w:r>
      <w:r w:rsidRPr="000D63EB">
        <w:rPr>
          <w:iCs/>
        </w:rPr>
        <w:t>sysse</w:t>
      </w:r>
      <w:r w:rsidRPr="000D63EB">
        <w:rPr>
          <w:iCs/>
        </w:rPr>
        <w:t>l</w:t>
      </w:r>
      <w:r w:rsidRPr="000D63EB">
        <w:rPr>
          <w:iCs/>
        </w:rPr>
        <w:t>sättningsstöd</w:t>
      </w:r>
      <w:r w:rsidRPr="000D63EB">
        <w:t xml:space="preserve"> finns enligt svensk uppfattning skäl att de</w:t>
      </w:r>
      <w:r w:rsidRPr="000D63EB">
        <w:t>l</w:t>
      </w:r>
      <w:r w:rsidRPr="000D63EB">
        <w:t>vis omvärdera de maximala nivåer för stöd som nu tillämpas, detta gäller stöd till vissa ind</w:t>
      </w:r>
      <w:r w:rsidRPr="000D63EB">
        <w:t>i</w:t>
      </w:r>
      <w:r w:rsidRPr="000D63EB">
        <w:t>vidkategorier som har särskilda problem att få reguljär anstäl</w:t>
      </w:r>
      <w:r w:rsidRPr="000D63EB">
        <w:t>l</w:t>
      </w:r>
      <w:r w:rsidRPr="000D63EB">
        <w:t>ning (t.ex. långtidsarbetslösa och äldre personer). Nu gällande stödnivå utgör i vissa fall inte tillräckligt incitament för arbetsgivare att anställa sådana personer. En ytterligare fråga som bör övervägas avser villkoren för stöd till funktion</w:t>
      </w:r>
      <w:r w:rsidRPr="000D63EB">
        <w:t>s</w:t>
      </w:r>
      <w:r w:rsidRPr="000D63EB">
        <w:t>hindrade. Nuvarande bestämmelser är svåra att tillämpa praktiskt i fall där ko</w:t>
      </w:r>
      <w:r w:rsidRPr="000D63EB">
        <w:t>m</w:t>
      </w:r>
      <w:r w:rsidRPr="000D63EB">
        <w:t>pensation för merkostnader lämnas till organ med särskilda uppdrag att enkom och i stor skala anställa personer med funktionshi</w:t>
      </w:r>
      <w:r w:rsidRPr="000D63EB">
        <w:t>n</w:t>
      </w:r>
      <w:r w:rsidRPr="000D63EB">
        <w:t>der.</w:t>
      </w:r>
    </w:p>
    <w:p w:rsidR="00DD3CEF" w:rsidRPr="000D63EB" w:rsidRDefault="00DD3CEF">
      <w:r w:rsidRPr="000D63EB">
        <w:t xml:space="preserve">När det gäller stöd till </w:t>
      </w:r>
      <w:r w:rsidRPr="000D63EB">
        <w:rPr>
          <w:iCs/>
        </w:rPr>
        <w:t>miljöskydd</w:t>
      </w:r>
      <w:r w:rsidRPr="000D63EB">
        <w:t xml:space="preserve"> välkomnar Sverige en översyn i enli</w:t>
      </w:r>
      <w:r w:rsidRPr="000D63EB">
        <w:t>g</w:t>
      </w:r>
      <w:r w:rsidRPr="000D63EB">
        <w:t>het med den tidtabell som kommissionen skisserar. Enligt svensk up</w:t>
      </w:r>
      <w:r w:rsidRPr="000D63EB">
        <w:t>p</w:t>
      </w:r>
      <w:r w:rsidRPr="000D63EB">
        <w:t>fattning är det viktigt att uppmärksamma de miljörelaterade skatternas särskilda stäl</w:t>
      </w:r>
      <w:r w:rsidRPr="000D63EB">
        <w:t>l</w:t>
      </w:r>
      <w:r w:rsidRPr="000D63EB">
        <w:t>ning i relation till statsstöd. Det är här angeläget att inn</w:t>
      </w:r>
      <w:r w:rsidRPr="000D63EB">
        <w:t>e</w:t>
      </w:r>
      <w:r w:rsidRPr="000D63EB">
        <w:t>börden av begreppet systemets art och funktion särskilt analyseras. Hä</w:t>
      </w:r>
      <w:r w:rsidRPr="000D63EB">
        <w:t>n</w:t>
      </w:r>
      <w:r w:rsidRPr="000D63EB">
        <w:t>syn bör enligt svensk uppfattning tas till de speciella problem som dessa skatter har att lösa och den omständigheten att miljömålsättningarna i vissa fall innebär att differe</w:t>
      </w:r>
      <w:r w:rsidRPr="000D63EB">
        <w:t>n</w:t>
      </w:r>
      <w:r w:rsidRPr="000D63EB">
        <w:t>tierade skattenivåer är en förutsättning för medlemsstaternas möjligheter att föra en ambitiös miljöpolitik. Utry</w:t>
      </w:r>
      <w:r w:rsidRPr="000D63EB">
        <w:t>m</w:t>
      </w:r>
      <w:r w:rsidRPr="000D63EB">
        <w:t>me bör i dessa fall ges för att anse att skattebefrielser och lägre skatten</w:t>
      </w:r>
      <w:r w:rsidRPr="000D63EB">
        <w:t>i</w:t>
      </w:r>
      <w:r w:rsidRPr="000D63EB">
        <w:t>våer kan följa av uppbyggnaden av det miljörelaterade skattesystemet och därmed inte anses utgöra statsstöd.</w:t>
      </w:r>
    </w:p>
    <w:p w:rsidR="00DD3CEF" w:rsidRPr="000D63EB" w:rsidRDefault="00DD3CEF">
      <w:pPr>
        <w:rPr>
          <w:sz w:val="18"/>
        </w:rPr>
      </w:pPr>
      <w:r w:rsidRPr="000D63EB">
        <w:t>S</w:t>
      </w:r>
      <w:r w:rsidRPr="000D63EB">
        <w:rPr>
          <w:sz w:val="18"/>
        </w:rPr>
        <w:t>verige välkomnar ambitionen att rationalisera och effektivisera de förfaranden som utnyttjas i samband med kontrollen av det statliga stödet i me</w:t>
      </w:r>
      <w:r w:rsidRPr="000D63EB">
        <w:rPr>
          <w:sz w:val="18"/>
        </w:rPr>
        <w:t>d</w:t>
      </w:r>
      <w:r w:rsidRPr="000D63EB">
        <w:rPr>
          <w:sz w:val="18"/>
        </w:rPr>
        <w:t>lemsstaterna. Den fortsatta berednin</w:t>
      </w:r>
      <w:r w:rsidRPr="000D63EB">
        <w:rPr>
          <w:sz w:val="18"/>
        </w:rPr>
        <w:t>g</w:t>
      </w:r>
      <w:r w:rsidRPr="000D63EB">
        <w:rPr>
          <w:sz w:val="18"/>
        </w:rPr>
        <w:t>en av förslag som har detta syfte får visa vilka de närmare konsekvense</w:t>
      </w:r>
      <w:r w:rsidRPr="000D63EB">
        <w:rPr>
          <w:sz w:val="18"/>
        </w:rPr>
        <w:t>r</w:t>
      </w:r>
      <w:r w:rsidRPr="000D63EB">
        <w:rPr>
          <w:sz w:val="18"/>
        </w:rPr>
        <w:t>na kan vara. En mera allmän synpunkt i detta skede är att frågor om ett ökat nationellt ansvarstagande och förstärkta san</w:t>
      </w:r>
      <w:r w:rsidRPr="000D63EB">
        <w:rPr>
          <w:sz w:val="18"/>
        </w:rPr>
        <w:t>k</w:t>
      </w:r>
      <w:r w:rsidRPr="000D63EB">
        <w:rPr>
          <w:sz w:val="18"/>
        </w:rPr>
        <w:t>tionsmöjligheter m.m. måste bli föremål för en nära dialog med medlemsstaterna och en synnerligen omsorg</w:t>
      </w:r>
      <w:r w:rsidRPr="000D63EB">
        <w:rPr>
          <w:sz w:val="18"/>
        </w:rPr>
        <w:t>s</w:t>
      </w:r>
      <w:r w:rsidRPr="000D63EB">
        <w:rPr>
          <w:sz w:val="18"/>
        </w:rPr>
        <w:t>full beredning. Ett exempel på en viktig fråga i sammanhanget gäller möjligh</w:t>
      </w:r>
      <w:r w:rsidRPr="000D63EB">
        <w:rPr>
          <w:sz w:val="18"/>
        </w:rPr>
        <w:t>e</w:t>
      </w:r>
      <w:r w:rsidRPr="000D63EB">
        <w:rPr>
          <w:sz w:val="18"/>
        </w:rPr>
        <w:t>terna att utnyttja det kommissionen kallar ”operativt oberoende myndigheter i medlem</w:t>
      </w:r>
      <w:r w:rsidRPr="000D63EB">
        <w:rPr>
          <w:sz w:val="18"/>
        </w:rPr>
        <w:t>s</w:t>
      </w:r>
      <w:r w:rsidRPr="000D63EB">
        <w:rPr>
          <w:sz w:val="18"/>
        </w:rPr>
        <w:t>staterna” för kontroll av tillämpningen av statligt stöd. Det är givet att ytterligare steg på ett s</w:t>
      </w:r>
      <w:r w:rsidRPr="000D63EB">
        <w:rPr>
          <w:sz w:val="18"/>
        </w:rPr>
        <w:t>å</w:t>
      </w:r>
      <w:r w:rsidRPr="000D63EB">
        <w:rPr>
          <w:sz w:val="18"/>
        </w:rPr>
        <w:t>dant område måste föregås av en analys av en rad frågor, såsom exempelvis en närmare utvärdering av erf</w:t>
      </w:r>
      <w:r w:rsidRPr="000D63EB">
        <w:rPr>
          <w:sz w:val="18"/>
        </w:rPr>
        <w:t>a</w:t>
      </w:r>
      <w:r w:rsidRPr="000D63EB">
        <w:rPr>
          <w:sz w:val="18"/>
        </w:rPr>
        <w:t>renheterna från tillämpningen i de nya medlemsstaterna och vilka konstituti</w:t>
      </w:r>
      <w:r w:rsidRPr="000D63EB">
        <w:rPr>
          <w:sz w:val="18"/>
        </w:rPr>
        <w:t>o</w:t>
      </w:r>
      <w:r w:rsidRPr="000D63EB">
        <w:rPr>
          <w:sz w:val="18"/>
        </w:rPr>
        <w:t>nella och andra förutsättningar som finns med hänsyn till olika n</w:t>
      </w:r>
      <w:r w:rsidRPr="000D63EB">
        <w:rPr>
          <w:sz w:val="18"/>
        </w:rPr>
        <w:t>a</w:t>
      </w:r>
      <w:r w:rsidRPr="000D63EB">
        <w:rPr>
          <w:sz w:val="18"/>
        </w:rPr>
        <w:t xml:space="preserve">tionella system. </w:t>
      </w:r>
    </w:p>
    <w:p w:rsidR="00DD3CEF" w:rsidRPr="000D63EB" w:rsidRDefault="00DD3CEF">
      <w:pPr>
        <w:pStyle w:val="Rubrik2"/>
      </w:pPr>
      <w:r w:rsidRPr="000D63EB">
        <w:t>Medlemsstaternas ståndpunkter</w:t>
      </w:r>
    </w:p>
    <w:p w:rsidR="00DD3CEF" w:rsidRPr="000D63EB" w:rsidRDefault="00DD3CEF">
      <w:r w:rsidRPr="000D63EB">
        <w:t>-</w:t>
      </w:r>
    </w:p>
    <w:p w:rsidR="00DD3CEF" w:rsidRPr="000D63EB" w:rsidRDefault="00DD3CEF">
      <w:pPr>
        <w:pStyle w:val="Rubrik2"/>
      </w:pPr>
      <w:r w:rsidRPr="000D63EB">
        <w:t>Institutionernas ståndpunkter</w:t>
      </w:r>
    </w:p>
    <w:p w:rsidR="00DD3CEF" w:rsidRPr="000D63EB" w:rsidRDefault="00DD3CEF">
      <w:r w:rsidRPr="000D63EB">
        <w:t>-</w:t>
      </w:r>
    </w:p>
    <w:p w:rsidR="00DD3CEF" w:rsidRPr="000D63EB" w:rsidRDefault="00DD3CEF">
      <w:pPr>
        <w:pStyle w:val="Rubrik2"/>
      </w:pPr>
      <w:r w:rsidRPr="000D63EB">
        <w:t>Remissinstansernas ståndpunkter</w:t>
      </w:r>
    </w:p>
    <w:p w:rsidR="00DD3CEF" w:rsidRPr="000D63EB" w:rsidRDefault="00DD3CEF">
      <w:r w:rsidRPr="000D63EB">
        <w:t>-</w:t>
      </w:r>
    </w:p>
    <w:p w:rsidR="00DD3CEF" w:rsidRPr="000D63EB" w:rsidRDefault="00DD3CEF">
      <w:pPr>
        <w:pStyle w:val="Rubrik1"/>
      </w:pPr>
      <w:r w:rsidRPr="000D63EB">
        <w:t>Övrigt</w:t>
      </w:r>
    </w:p>
    <w:p w:rsidR="00DD3CEF" w:rsidRPr="000D63EB" w:rsidRDefault="00DD3CEF">
      <w:pPr>
        <w:pStyle w:val="Rubrik2"/>
      </w:pPr>
      <w:r w:rsidRPr="000D63EB">
        <w:t>Fortsatt behandling av ärendet</w:t>
      </w:r>
    </w:p>
    <w:p w:rsidR="00DD3CEF" w:rsidRPr="000D63EB" w:rsidRDefault="00DD3CEF">
      <w:r w:rsidRPr="000D63EB">
        <w:t>Tidtabellen för synpunkter från medlemsstater och andra intressenter sattes till den 15 september 2005. I ljuset av dessa och ko</w:t>
      </w:r>
      <w:r w:rsidRPr="000D63EB">
        <w:t>m</w:t>
      </w:r>
      <w:r w:rsidRPr="000D63EB">
        <w:t>missionens fortsatta överväganden återkommer kommissionen med konkretiserade förslag till medlemsstaterna om nya meddelanden och riktlinjer m.m. i e</w:t>
      </w:r>
      <w:r w:rsidRPr="000D63EB">
        <w:t>n</w:t>
      </w:r>
      <w:r w:rsidRPr="000D63EB">
        <w:t>lighet med den tidsplan som skisserats i handlingsplanen.</w:t>
      </w:r>
    </w:p>
    <w:p w:rsidR="00DD3CEF" w:rsidRPr="000D63EB" w:rsidRDefault="00DD3CEF">
      <w:pPr>
        <w:pStyle w:val="Rubrik2"/>
      </w:pPr>
      <w:r w:rsidRPr="000D63EB">
        <w:t>Rättslig grund och beslutsförfarande</w:t>
      </w:r>
    </w:p>
    <w:p w:rsidR="00DD3CEF" w:rsidRPr="000D63EB" w:rsidRDefault="00DD3CEF">
      <w:r w:rsidRPr="000D63EB">
        <w:t>Handlingsplanen som sådan föranleder inga beslut.</w:t>
      </w:r>
    </w:p>
    <w:p w:rsidR="00DD3CEF" w:rsidRPr="000D63EB" w:rsidRDefault="00DD3CEF">
      <w:pPr>
        <w:pStyle w:val="Rubrik2"/>
      </w:pPr>
      <w:r w:rsidRPr="000D63EB">
        <w:t>Fackuttryck/termer</w:t>
      </w:r>
    </w:p>
    <w:p w:rsidR="00DD3CEF" w:rsidRPr="000D63EB" w:rsidRDefault="00DD3CEF">
      <w:r w:rsidRPr="000D63EB">
        <w:t>-</w:t>
      </w:r>
    </w:p>
    <w:sectPr w:rsidR="00DD3CEF" w:rsidRPr="000D63E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422" w:rsidRPr="000D63EB" w:rsidRDefault="00226422">
      <w:r w:rsidRPr="000D63EB">
        <w:separator/>
      </w:r>
    </w:p>
  </w:endnote>
  <w:endnote w:type="continuationSeparator" w:id="0">
    <w:p w:rsidR="00226422" w:rsidRPr="000D63EB" w:rsidRDefault="00226422">
      <w:r w:rsidRPr="000D63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544" w:rsidRPr="000D63EB" w:rsidRDefault="007005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544" w:rsidRPr="000D63EB" w:rsidRDefault="00BD26AE">
    <w:pPr>
      <w:pStyle w:val="SidfotH"/>
      <w:framePr w:wrap="around"/>
    </w:pPr>
    <w:r w:rsidRPr="000D63EB">
      <w:t>6</w:t>
    </w:r>
  </w:p>
  <w:p w:rsidR="00700544" w:rsidRPr="000D63EB" w:rsidRDefault="007005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544" w:rsidRPr="000D63EB" w:rsidRDefault="00226422">
    <w:pPr>
      <w:pStyle w:val="SidfotH"/>
      <w:framePr w:wrap="around"/>
    </w:pPr>
    <w:r w:rsidRPr="000D63EB">
      <w:t>1</w:t>
    </w:r>
  </w:p>
  <w:p w:rsidR="00700544" w:rsidRPr="000D63EB" w:rsidRDefault="007005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422" w:rsidRPr="000D63EB" w:rsidRDefault="00226422">
      <w:r w:rsidRPr="000D63EB">
        <w:separator/>
      </w:r>
    </w:p>
  </w:footnote>
  <w:footnote w:type="continuationSeparator" w:id="0">
    <w:p w:rsidR="00226422" w:rsidRPr="000D63EB" w:rsidRDefault="00226422">
      <w:r w:rsidRPr="000D63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544" w:rsidRPr="000D63EB" w:rsidRDefault="007005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544" w:rsidRPr="000D63EB" w:rsidRDefault="00700544">
    <w:pPr>
      <w:pStyle w:val="Kantrubrik"/>
      <w:framePr w:h="1157" w:hRule="exact" w:wrap="around" w:y="738"/>
    </w:pPr>
    <w:r w:rsidRPr="000D63EB">
      <w:t>2005/06:FPM15</w:t>
    </w:r>
  </w:p>
  <w:p w:rsidR="00700544" w:rsidRPr="000D63EB" w:rsidRDefault="007005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544" w:rsidRPr="000D63EB" w:rsidRDefault="000D63EB">
    <w:pPr>
      <w:pStyle w:val="Sidhuvud"/>
    </w:pPr>
    <w:r w:rsidRPr="000D63E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82519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0544" w:rsidRDefault="007005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700544" w:rsidRDefault="00700544">
                    <w:pPr>
                      <w:pStyle w:val="Logo"/>
                    </w:pPr>
                    <w:r>
                      <w:object w:dxaOrig="840" w:dyaOrig="1545">
                        <v:shape id="_x0000_i1025" type="#_x0000_t75" style="width:42pt;height:77.15pt" fillcolor="window">
                          <v:imagedata r:id="rId1" o:title=""/>
                        </v:shape>
                        <o:OLEObject Type="Embed" ProgID="Word.Picture.8" ShapeID="_x0000_i1025" DrawAspect="Content" ObjectID="_18274387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95B3649"/>
    <w:multiLevelType w:val="hybridMultilevel"/>
    <w:tmpl w:val="A46A15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2692736"/>
    <w:multiLevelType w:val="hybridMultilevel"/>
    <w:tmpl w:val="E7684198"/>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42550860">
    <w:abstractNumId w:val="6"/>
  </w:num>
  <w:num w:numId="2" w16cid:durableId="646015710">
    <w:abstractNumId w:val="2"/>
  </w:num>
  <w:num w:numId="3" w16cid:durableId="82728751">
    <w:abstractNumId w:val="3"/>
  </w:num>
  <w:num w:numId="4" w16cid:durableId="8064422">
    <w:abstractNumId w:val="5"/>
  </w:num>
  <w:num w:numId="5" w16cid:durableId="970862158">
    <w:abstractNumId w:val="7"/>
  </w:num>
  <w:num w:numId="6" w16cid:durableId="345908685">
    <w:abstractNumId w:val="0"/>
  </w:num>
  <w:num w:numId="7" w16cid:durableId="1807501427">
    <w:abstractNumId w:val="1"/>
  </w:num>
  <w:num w:numId="8" w16cid:durableId="567614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0-27"/>
    <w:docVar w:name="Ar" w:val="2005/06"/>
    <w:docVar w:name="Dep" w:val="Näringsdepartementet"/>
    <w:docVar w:name="DepWeb" w:val="Näringsdepartementet"/>
    <w:docVar w:name="GDB1" w:val="KOM(2005) 10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Handlingsplan för statligt stöd - Mindre men bättre riktat statligt stöd: en plan för reform av det statliga stödet 2005 - 2009 - Samrådsdokumen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107 slutlig"/>
    <w:docVar w:name="Nr" w:val="15"/>
    <w:docVar w:name="RD_APPVERSION" w:val="3.00"/>
    <w:docVar w:name="Rub" w:val="Handlingsplan för statligt stöd"/>
    <w:docVar w:name="UppDat" w:val="2005-10-21"/>
    <w:docVar w:name="Utsk" w:val="Näringsutskottet"/>
  </w:docVars>
  <w:rsids>
    <w:rsidRoot w:val="000D63EB"/>
    <w:rsid w:val="000B33A0"/>
    <w:rsid w:val="000D63EB"/>
    <w:rsid w:val="00226422"/>
    <w:rsid w:val="00700544"/>
    <w:rsid w:val="00BD26AE"/>
    <w:rsid w:val="00DD3CEF"/>
    <w:rsid w:val="00F403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CBE5C6-D684-43CD-A760-AC90E579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1572</Words>
  <Characters>9970</Characters>
  <Application>Microsoft Office Word</Application>
  <DocSecurity>4</DocSecurity>
  <Lines>188</Lines>
  <Paragraphs>66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2005-10-27T09:08:00Z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KOM(2005) 107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Handlingsplan för statligt stöd</vt:lpwstr>
  </property>
  <property fmtid="{D5CDD505-2E9C-101B-9397-08002B2CF9AE}" pid="8" name="UppDat">
    <vt:lpwstr>2005-10-21</vt:lpwstr>
  </property>
  <property fmtid="{D5CDD505-2E9C-101B-9397-08002B2CF9AE}" pid="9" name="AnkDat">
    <vt:lpwstr>2005-10-27</vt:lpwstr>
  </property>
  <property fmtid="{D5CDD505-2E9C-101B-9397-08002B2CF9AE}" pid="10" name="Utsk">
    <vt:lpwstr>Näringsutskottet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10;0;0;383</vt:lpwstr>
  </property>
  <property fmtid="{D5CDD505-2E9C-101B-9397-08002B2CF9AE}" pid="39" name="Sprak">
    <vt:lpwstr>Svenska</vt:lpwstr>
  </property>
  <property fmtid="{D5CDD505-2E9C-101B-9397-08002B2CF9AE}" pid="40" name="DokID">
    <vt:i4>80</vt:i4>
  </property>
</Properties>
</file>