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A25" w:rsidRPr="00823E6D" w:rsidRDefault="008D4A25" w:rsidP="008D4A25">
      <w:pPr>
        <w:pStyle w:val="Hemstlrubrik"/>
      </w:pPr>
      <w:r w:rsidRPr="00823E6D">
        <w:t>Förslag till riksdagsbeslut</w:t>
      </w:r>
    </w:p>
    <w:p w:rsidR="008D4A25" w:rsidRPr="00823E6D" w:rsidRDefault="008D4A25" w:rsidP="008D4A25">
      <w:pPr>
        <w:pStyle w:val="Hemstlatt"/>
      </w:pPr>
      <w:r w:rsidRPr="00823E6D">
        <w:t>Riksdagen tillkännager för regeringen som sin mening vad i motionen anförs om besiktning för ombyggda fordon</w:t>
      </w:r>
      <w:r w:rsidR="00E43349" w:rsidRPr="00823E6D">
        <w:t xml:space="preserve"> och</w:t>
      </w:r>
      <w:r w:rsidRPr="00823E6D">
        <w:t xml:space="preserve"> uppbyggda </w:t>
      </w:r>
      <w:r w:rsidR="007A170F" w:rsidRPr="00823E6D">
        <w:t>fordon samt inrättande av ett ”h</w:t>
      </w:r>
      <w:r w:rsidRPr="00823E6D">
        <w:t>obbyfordonsråd”.</w:t>
      </w:r>
    </w:p>
    <w:p w:rsidR="008D4A25" w:rsidRPr="00823E6D" w:rsidRDefault="008D4A25" w:rsidP="008D4A25">
      <w:pPr>
        <w:pStyle w:val="Rubrik1"/>
      </w:pPr>
      <w:r w:rsidRPr="00823E6D">
        <w:t>Inledning</w:t>
      </w:r>
    </w:p>
    <w:p w:rsidR="008D4A25" w:rsidRPr="00823E6D" w:rsidRDefault="008D4A25" w:rsidP="009022E5">
      <w:pPr>
        <w:pStyle w:val="Normaltindrag"/>
        <w:spacing w:before="125"/>
        <w:ind w:firstLine="0"/>
      </w:pPr>
      <w:r w:rsidRPr="00823E6D">
        <w:t>Kristdemokraterna har i tidigare motioner beskrivit hur viktig fordonshobbyn är för Sverige. Vi välkomnar därför regeringens beskrivning av äldre fordon</w:t>
      </w:r>
      <w:r w:rsidRPr="00823E6D">
        <w:t>s</w:t>
      </w:r>
      <w:r w:rsidRPr="00823E6D">
        <w:t>typer och hobbyfordon i propositionen. Trafiksäkerhet och miljö ska givetvis vara centrala begrepp för Vägverket och Bilprovningen. Men kundperspekt</w:t>
      </w:r>
      <w:r w:rsidRPr="00823E6D">
        <w:t>i</w:t>
      </w:r>
      <w:r w:rsidRPr="00823E6D">
        <w:t>vet är också viktigt att ha genom möten med fordonshobbyns representanter och de småföretagare som verkar inom fordonsbranschen.</w:t>
      </w:r>
    </w:p>
    <w:p w:rsidR="008D4A25" w:rsidRPr="00823E6D" w:rsidRDefault="008D4A25" w:rsidP="008D4A25">
      <w:pPr>
        <w:pStyle w:val="Normaltindrag"/>
      </w:pPr>
      <w:r w:rsidRPr="00823E6D">
        <w:t>Regeringen har i 2006 års regleringsbrev till Vägverket gett uppdrag om att presentera förenklade, långsiktiga och förutsägbara regler för direktimport för eget bruk och import i mindre omfattning av motorfordon från EU och tredje land. I propositionen sägs att regeringen även avser uppdra åt Vägve</w:t>
      </w:r>
      <w:r w:rsidRPr="00823E6D">
        <w:t>r</w:t>
      </w:r>
      <w:r w:rsidRPr="00823E6D">
        <w:t>ket att se över reglerna för fordonskontrollen av entusiast- och veteranfordon samt att utforma och införa en legal definition av entusiastfordon. Kristdem</w:t>
      </w:r>
      <w:r w:rsidRPr="00823E6D">
        <w:t>o</w:t>
      </w:r>
      <w:r w:rsidRPr="00823E6D">
        <w:t>kraterna förutsätter att översynen kommer att göras i nära samråd med moto</w:t>
      </w:r>
      <w:r w:rsidRPr="00823E6D">
        <w:t>r</w:t>
      </w:r>
      <w:r w:rsidRPr="00823E6D">
        <w:t>organisationerna. Vi pekar i denna motion på ytterligare frågor som bör i</w:t>
      </w:r>
      <w:r w:rsidRPr="00823E6D">
        <w:t>n</w:t>
      </w:r>
      <w:r w:rsidRPr="00823E6D">
        <w:t>kluderas i denna översyn. Detta bör ges regeringen tillkänna.</w:t>
      </w:r>
    </w:p>
    <w:p w:rsidR="008D4A25" w:rsidRPr="00823E6D" w:rsidRDefault="008D4A25" w:rsidP="008D4A25">
      <w:pPr>
        <w:pStyle w:val="Rubrik1"/>
      </w:pPr>
      <w:r w:rsidRPr="00823E6D">
        <w:t>Ombyggnad av</w:t>
      </w:r>
      <w:r w:rsidR="007A170F" w:rsidRPr="00823E6D">
        <w:t xml:space="preserve"> fordon</w:t>
      </w:r>
    </w:p>
    <w:p w:rsidR="008D4A25" w:rsidRPr="00823E6D" w:rsidRDefault="008D4A25" w:rsidP="009022E5">
      <w:pPr>
        <w:pStyle w:val="Normaltindrag"/>
        <w:spacing w:before="125"/>
        <w:ind w:firstLine="0"/>
      </w:pPr>
      <w:r w:rsidRPr="00823E6D">
        <w:t>Sverige har en lång och välrenommerad tradition av tillverkning och o</w:t>
      </w:r>
      <w:r w:rsidRPr="00823E6D">
        <w:t>m</w:t>
      </w:r>
      <w:r w:rsidRPr="00823E6D">
        <w:t>byggnad av fordon. Förutom de klassiska svenska biltillverkarna finns ett antal karosseribyggare vars arbeten har erhållit internationell berömmelse. Ett antal företag, ofta med lång erfarenhet, sysslar med ombyggnad och tillver</w:t>
      </w:r>
      <w:r w:rsidRPr="00823E6D">
        <w:t>k</w:t>
      </w:r>
      <w:r w:rsidRPr="00823E6D">
        <w:lastRenderedPageBreak/>
        <w:t>ning av fordon för speciella ändamål</w:t>
      </w:r>
      <w:r w:rsidR="00E43349" w:rsidRPr="00823E6D">
        <w:t>,</w:t>
      </w:r>
      <w:r w:rsidRPr="00823E6D">
        <w:t xml:space="preserve"> så</w:t>
      </w:r>
      <w:r w:rsidR="00EA5BD5" w:rsidRPr="00823E6D">
        <w:t>som ambulanser, limousiner o.d</w:t>
      </w:r>
      <w:r w:rsidRPr="00823E6D">
        <w:t xml:space="preserve">. Bilarna bygger på plattformar från etablerade biltillverkare såsom Volvo, </w:t>
      </w:r>
      <w:r w:rsidR="00E43349" w:rsidRPr="00823E6D">
        <w:t>Saab</w:t>
      </w:r>
      <w:r w:rsidRPr="00823E6D">
        <w:t>, Mercedes-Benz och Opel. Dessa företag levererar mestadels ett begrä</w:t>
      </w:r>
      <w:r w:rsidRPr="00823E6D">
        <w:t>n</w:t>
      </w:r>
      <w:r w:rsidRPr="00823E6D">
        <w:t>sat antal fordon per år men har en stor kundkrets både i och utanför Sverige. Fordonen levereras både till EU-länder och län</w:t>
      </w:r>
      <w:r w:rsidR="009D1FE9" w:rsidRPr="00823E6D">
        <w:t>der i övriga världen. De fordon</w:t>
      </w:r>
      <w:r w:rsidRPr="00823E6D">
        <w:t xml:space="preserve"> som levereras till andra länder möter sällan problem med registrering i dessa länder, men väl i Sverige. </w:t>
      </w:r>
    </w:p>
    <w:p w:rsidR="008D4A25" w:rsidRPr="00823E6D" w:rsidRDefault="008D4A25" w:rsidP="008D4A25">
      <w:pPr>
        <w:pStyle w:val="Normaltindrag"/>
      </w:pPr>
      <w:r w:rsidRPr="00823E6D">
        <w:t>Dessa fordonsföretag har ofta stora svårigheter med registrering och b</w:t>
      </w:r>
      <w:r w:rsidRPr="00823E6D">
        <w:t>e</w:t>
      </w:r>
      <w:r w:rsidRPr="00823E6D">
        <w:t>siktning i Sverige. Omfattande krångel med lagar, detaljregler och utformning av regelverk från myndigheter har riskerat fortsatt verksamhet med åtföljande hot om nedläggning av verksamheten. Ibland har även flyttning av verksa</w:t>
      </w:r>
      <w:r w:rsidRPr="00823E6D">
        <w:t>m</w:t>
      </w:r>
      <w:r w:rsidRPr="00823E6D">
        <w:t>heten till annat land, där det finns fungerande besiktnings- och registrering</w:t>
      </w:r>
      <w:r w:rsidRPr="00823E6D">
        <w:t>s</w:t>
      </w:r>
      <w:r w:rsidRPr="00823E6D">
        <w:t>förfarande och där man endast behöver vända sig till en myndighet vid inreg</w:t>
      </w:r>
      <w:r w:rsidRPr="00823E6D">
        <w:t>i</w:t>
      </w:r>
      <w:r w:rsidRPr="00823E6D">
        <w:t xml:space="preserve">strering, övervägts. </w:t>
      </w:r>
    </w:p>
    <w:p w:rsidR="008D4A25" w:rsidRPr="00823E6D" w:rsidRDefault="008D4A25" w:rsidP="008D4A25">
      <w:pPr>
        <w:pStyle w:val="Normaltindrag"/>
      </w:pPr>
      <w:r w:rsidRPr="00823E6D">
        <w:t xml:space="preserve">Det finns exempel </w:t>
      </w:r>
      <w:r w:rsidR="00882A29" w:rsidRPr="00823E6D">
        <w:t>på</w:t>
      </w:r>
      <w:r w:rsidRPr="00823E6D">
        <w:t xml:space="preserve"> företag som fått vänta i hela </w:t>
      </w:r>
      <w:r w:rsidR="00882A29" w:rsidRPr="00823E6D">
        <w:t>sju</w:t>
      </w:r>
      <w:r w:rsidRPr="00823E6D">
        <w:t xml:space="preserve"> månader innan bilar slutligt kun</w:t>
      </w:r>
      <w:r w:rsidR="009D1FE9" w:rsidRPr="00823E6D">
        <w:t>nat</w:t>
      </w:r>
      <w:r w:rsidRPr="00823E6D">
        <w:t xml:space="preserve"> besiktigas och överlämnas till köparen. Företagen har bl</w:t>
      </w:r>
      <w:r w:rsidR="00EA5BD5" w:rsidRPr="00823E6D">
        <w:t>.</w:t>
      </w:r>
      <w:r w:rsidRPr="00823E6D">
        <w:t>a</w:t>
      </w:r>
      <w:r w:rsidR="00EA5BD5" w:rsidRPr="00823E6D">
        <w:t>.</w:t>
      </w:r>
      <w:r w:rsidRPr="00823E6D">
        <w:t xml:space="preserve"> hänvisats till olika myndigheter, </w:t>
      </w:r>
      <w:r w:rsidR="00882A29" w:rsidRPr="00823E6D">
        <w:t xml:space="preserve">fått </w:t>
      </w:r>
      <w:r w:rsidRPr="00823E6D">
        <w:t>oklara besked och ålagts osannol</w:t>
      </w:r>
      <w:r w:rsidRPr="00823E6D">
        <w:t>i</w:t>
      </w:r>
      <w:r w:rsidRPr="00823E6D">
        <w:t>ka krav på varje enskilt fordon</w:t>
      </w:r>
      <w:r w:rsidR="003F7700" w:rsidRPr="00823E6D">
        <w:t>,</w:t>
      </w:r>
      <w:r w:rsidRPr="00823E6D">
        <w:t xml:space="preserve"> t.ex. </w:t>
      </w:r>
      <w:r w:rsidR="009D1FE9" w:rsidRPr="00823E6D">
        <w:t xml:space="preserve">vad gäller </w:t>
      </w:r>
      <w:r w:rsidRPr="00823E6D">
        <w:t xml:space="preserve">avgasutsläpp. Varje enskilt fordon med redan typgodkända motorer måste köras på landsväg </w:t>
      </w:r>
      <w:smartTag w:uri="urn:schemas-microsoft-com:office:smarttags" w:element="metricconverter">
        <w:smartTagPr>
          <w:attr w:name="ProductID" w:val="3 000 km"/>
        </w:smartTagPr>
        <w:r w:rsidRPr="00823E6D">
          <w:t>3 000 km</w:t>
        </w:r>
      </w:smartTag>
      <w:r w:rsidRPr="00823E6D">
        <w:t xml:space="preserve"> innan avgasprov kan göras på varje enskild bil och motorstorlek på samma fordon</w:t>
      </w:r>
      <w:r w:rsidRPr="00823E6D">
        <w:t>s</w:t>
      </w:r>
      <w:r w:rsidRPr="00823E6D">
        <w:t>typ och märke. Denna situation är ohållbar för oss</w:t>
      </w:r>
      <w:r w:rsidR="009D1FE9" w:rsidRPr="00823E6D">
        <w:t xml:space="preserve"> som </w:t>
      </w:r>
      <w:r w:rsidRPr="00823E6D">
        <w:t>vill värna svenskt företagande och slå vakt om arbetstillfällena i vårt land.</w:t>
      </w:r>
    </w:p>
    <w:p w:rsidR="008D4A25" w:rsidRPr="00823E6D" w:rsidRDefault="008D4A25" w:rsidP="00882A29">
      <w:pPr>
        <w:pStyle w:val="Normaltindrag"/>
      </w:pPr>
      <w:r w:rsidRPr="00823E6D">
        <w:t xml:space="preserve">Hela systemet </w:t>
      </w:r>
      <w:r w:rsidR="003F7700" w:rsidRPr="00823E6D">
        <w:t>för</w:t>
      </w:r>
      <w:r w:rsidRPr="00823E6D">
        <w:t xml:space="preserve"> registrering och besiktning </w:t>
      </w:r>
      <w:r w:rsidR="009D1FE9" w:rsidRPr="00823E6D">
        <w:t>av</w:t>
      </w:r>
      <w:r w:rsidRPr="00823E6D">
        <w:t xml:space="preserve"> dessa specialfordon måste ses över och förändras i riktning mot den ordning som råder i andra EU-länder</w:t>
      </w:r>
      <w:r w:rsidR="009D1FE9" w:rsidRPr="00823E6D">
        <w:t xml:space="preserve">, exempelvis  </w:t>
      </w:r>
      <w:r w:rsidRPr="00823E6D">
        <w:t>Tyskland, där man som fordonsföretag kan vända sig till en instans.</w:t>
      </w:r>
      <w:r w:rsidR="00882A29" w:rsidRPr="00823E6D">
        <w:t xml:space="preserve"> </w:t>
      </w:r>
      <w:r w:rsidRPr="00823E6D">
        <w:t>Det måste upprättas en fungerande registrerings- och besiktning</w:t>
      </w:r>
      <w:r w:rsidRPr="00823E6D">
        <w:t>s</w:t>
      </w:r>
      <w:r w:rsidRPr="00823E6D">
        <w:t xml:space="preserve">funktion dit man kan som företag eller enskild vända </w:t>
      </w:r>
      <w:r w:rsidR="00BD0D17" w:rsidRPr="00823E6D">
        <w:t xml:space="preserve">sig </w:t>
      </w:r>
      <w:r w:rsidRPr="00823E6D">
        <w:t>för registrering och besiktning av fordon. Vidare måste typgodkännande</w:t>
      </w:r>
      <w:r w:rsidR="003F7700" w:rsidRPr="00823E6D">
        <w:t>t</w:t>
      </w:r>
      <w:r w:rsidRPr="00823E6D">
        <w:t xml:space="preserve"> förenklas så att företag som producera</w:t>
      </w:r>
      <w:r w:rsidR="00882A29" w:rsidRPr="00823E6D">
        <w:t>r specialfordon kan erhålla typ</w:t>
      </w:r>
      <w:r w:rsidRPr="00823E6D">
        <w:t>godkännande för en viss serie utan orimliga detaljbesiktningar av redan typgodkända fordon.</w:t>
      </w:r>
    </w:p>
    <w:p w:rsidR="008D4A25" w:rsidRPr="00823E6D" w:rsidRDefault="008D4A25" w:rsidP="008D4A25">
      <w:pPr>
        <w:pStyle w:val="Normaltindrag"/>
      </w:pPr>
      <w:r w:rsidRPr="00823E6D">
        <w:t>I propositionen beskrivs begreppet ”one-stop-shop” som en förenklad pr</w:t>
      </w:r>
      <w:r w:rsidRPr="00823E6D">
        <w:t>o</w:t>
      </w:r>
      <w:r w:rsidRPr="00823E6D">
        <w:t xml:space="preserve">cess att registrera importerade fordon. Vi föreslår att Vägverket även inrättar ett begränsat antal besiktningsanläggningar lämpligt fördelade över landet med särskild kompetens och </w:t>
      </w:r>
      <w:r w:rsidR="00882A29" w:rsidRPr="00823E6D">
        <w:t>befogenhet</w:t>
      </w:r>
      <w:r w:rsidRPr="00823E6D">
        <w:t xml:space="preserve"> att typbesiktiga och registrera fordon som faller inom kategorin specialfordon såsom beskrivits i motionen. Det är också fullt möjligt att samlokalisera dessa anläggningar </w:t>
      </w:r>
      <w:r w:rsidR="003F7700" w:rsidRPr="00823E6D">
        <w:t>med</w:t>
      </w:r>
      <w:r w:rsidRPr="00823E6D">
        <w:t xml:space="preserve"> några av de befintliga besiktningsanläggningar som drivs av Bilprovningen. Detta skulle minska kostnaderna för den nya verksamheten på dessa platser.</w:t>
      </w:r>
    </w:p>
    <w:p w:rsidR="008D4A25" w:rsidRPr="00823E6D" w:rsidRDefault="008D4A25" w:rsidP="008D4A25">
      <w:pPr>
        <w:pStyle w:val="Normaltindrag"/>
      </w:pPr>
      <w:r w:rsidRPr="00823E6D">
        <w:t>Propositionen nämner inte uppbyggda fordon</w:t>
      </w:r>
      <w:r w:rsidR="003F7700" w:rsidRPr="00823E6D">
        <w:t>,</w:t>
      </w:r>
      <w:r w:rsidRPr="00823E6D">
        <w:t xml:space="preserve"> vilka även</w:t>
      </w:r>
      <w:r w:rsidR="00882A29" w:rsidRPr="00823E6D">
        <w:t xml:space="preserve"> bör uppmär</w:t>
      </w:r>
      <w:r w:rsidR="00882A29" w:rsidRPr="00823E6D">
        <w:t>k</w:t>
      </w:r>
      <w:r w:rsidR="00882A29" w:rsidRPr="00823E6D">
        <w:t>sammas i översynen.</w:t>
      </w:r>
    </w:p>
    <w:p w:rsidR="008D4A25" w:rsidRPr="00823E6D" w:rsidRDefault="008D4A25" w:rsidP="008D4A25">
      <w:pPr>
        <w:pStyle w:val="Normaltindrag"/>
      </w:pPr>
      <w:r w:rsidRPr="00823E6D">
        <w:t xml:space="preserve">Vidare bör Vägverket inrätta någon form av ”hobbyfordonsråd” som kan konsulteras vid problem på området.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Datum"/>
              <w:spacing w:before="0"/>
            </w:pPr>
            <w:r w:rsidRPr="00823E6D">
              <w:t>Stockholm den 6 april 2006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</w:p>
        </w:tc>
      </w:tr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Lars Gustafsson (kd)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</w:p>
        </w:tc>
      </w:tr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Johnny Gylling (kd)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Tuve Skånberg (kd)</w:t>
            </w:r>
          </w:p>
        </w:tc>
      </w:tr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Dan Kihlström (kd)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Sven Gunnar Persson (kd)</w:t>
            </w:r>
          </w:p>
        </w:tc>
      </w:tr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Ragnwi Marcelind (kd)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Björn von der Esch (kd)</w:t>
            </w:r>
          </w:p>
        </w:tc>
      </w:tr>
      <w:tr w:rsidR="00BD0D17" w:rsidRPr="00823E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D0D17" w:rsidRPr="00823E6D" w:rsidRDefault="00BD0D17" w:rsidP="00BD0D17">
            <w:pPr>
              <w:pStyle w:val="Underskrifter"/>
            </w:pPr>
            <w:r w:rsidRPr="00823E6D">
              <w:t>Annelie Enochson (kd)</w:t>
            </w:r>
          </w:p>
        </w:tc>
        <w:tc>
          <w:tcPr>
            <w:tcW w:w="3047" w:type="dxa"/>
          </w:tcPr>
          <w:p w:rsidR="00BD0D17" w:rsidRPr="00823E6D" w:rsidRDefault="00BD0D17" w:rsidP="00BD0D17">
            <w:pPr>
              <w:pStyle w:val="Underskrifter"/>
            </w:pPr>
          </w:p>
        </w:tc>
      </w:tr>
    </w:tbl>
    <w:p w:rsidR="008D4A25" w:rsidRPr="00823E6D" w:rsidRDefault="008D4A25" w:rsidP="00BD0D17">
      <w:pPr>
        <w:pStyle w:val="Normaltindrag"/>
      </w:pPr>
    </w:p>
    <w:sectPr w:rsidR="008D4A25" w:rsidRPr="00823E6D" w:rsidSect="00BD0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6B5" w:rsidRPr="00823E6D" w:rsidRDefault="002316B5">
      <w:r w:rsidRPr="00823E6D">
        <w:separator/>
      </w:r>
    </w:p>
  </w:endnote>
  <w:endnote w:type="continuationSeparator" w:id="0">
    <w:p w:rsidR="002316B5" w:rsidRPr="00823E6D" w:rsidRDefault="002316B5">
      <w:r w:rsidRPr="00823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823E6D" w:rsidP="00BD0D17">
    <w:pPr>
      <w:pStyle w:val="Sidfot"/>
    </w:pPr>
    <w:r w:rsidRPr="00823E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73824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17" w:rsidRDefault="00BD0D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22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0D17" w:rsidRDefault="00BD0D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22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823E6D" w:rsidP="00BD0D17">
    <w:pPr>
      <w:pStyle w:val="Sidfot"/>
    </w:pPr>
    <w:r w:rsidRPr="00823E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579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17" w:rsidRDefault="00BD0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22E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D17" w:rsidRDefault="00BD0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22E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823E6D" w:rsidP="00BD0D17">
    <w:pPr>
      <w:pStyle w:val="Sidfot"/>
    </w:pPr>
    <w:r w:rsidRPr="00823E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304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17" w:rsidRDefault="00BD0D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22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0D17" w:rsidRDefault="00BD0D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022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6B5" w:rsidRPr="00823E6D" w:rsidRDefault="002316B5">
      <w:r w:rsidRPr="00823E6D">
        <w:separator/>
      </w:r>
    </w:p>
  </w:footnote>
  <w:footnote w:type="continuationSeparator" w:id="0">
    <w:p w:rsidR="002316B5" w:rsidRPr="00823E6D" w:rsidRDefault="002316B5">
      <w:r w:rsidRPr="00823E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823E6D" w:rsidP="00BD0D17">
    <w:pPr>
      <w:pStyle w:val="Sidhuvud"/>
    </w:pPr>
    <w:r w:rsidRPr="00823E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59446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17" w:rsidRDefault="00BD0D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22E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22E5">
                            <w:t>T30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0D17" w:rsidRDefault="00BD0D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22E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22E5">
                      <w:t>T30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823E6D" w:rsidP="00BD0D17">
    <w:pPr>
      <w:pStyle w:val="Sidhuvud"/>
    </w:pPr>
    <w:r w:rsidRPr="00823E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182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D17" w:rsidRDefault="00BD0D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022E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022E5">
                            <w:t>T30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0D17" w:rsidRDefault="00BD0D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022E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022E5">
                      <w:t>T30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17" w:rsidRPr="00823E6D" w:rsidRDefault="00BD0D17">
    <w:pPr>
      <w:pStyle w:val="FSHNormal"/>
      <w:tabs>
        <w:tab w:val="right" w:pos="5840"/>
      </w:tabs>
    </w:pPr>
    <w:r w:rsidRPr="00823E6D">
      <w:br/>
    </w:r>
    <w:r w:rsidRPr="00823E6D">
      <w:fldChar w:fldCharType="begin" w:fldLock="1"/>
    </w:r>
    <w:r w:rsidRPr="00823E6D">
      <w:instrText xml:space="preserve"> DOCPROPERTY</w:instrText>
    </w:r>
    <w:r w:rsidRPr="00823E6D">
      <w:rPr>
        <w:sz w:val="18"/>
      </w:rPr>
      <w:instrText xml:space="preserve"> "YearUser" *\charformat </w:instrText>
    </w:r>
    <w:r w:rsidRPr="00823E6D">
      <w:fldChar w:fldCharType="separate"/>
    </w:r>
    <w:r w:rsidR="009022E5" w:rsidRPr="00823E6D">
      <w:t>2005/06</w:t>
    </w:r>
    <w:r w:rsidRPr="00823E6D">
      <w:fldChar w:fldCharType="end"/>
    </w:r>
    <w:r w:rsidRPr="00823E6D">
      <w:t xml:space="preserve"> </w:t>
    </w:r>
    <w:r w:rsidRPr="00823E6D">
      <w:tab/>
      <w:t xml:space="preserve">mnr: </w:t>
    </w:r>
    <w:r w:rsidRPr="00823E6D">
      <w:fldChar w:fldCharType="begin" w:fldLock="1"/>
    </w:r>
    <w:r w:rsidRPr="00823E6D">
      <w:instrText xml:space="preserve"> DOCPROPERTY</w:instrText>
    </w:r>
    <w:r w:rsidRPr="00823E6D">
      <w:rPr>
        <w:sz w:val="18"/>
      </w:rPr>
      <w:instrText xml:space="preserve"> "Motionsnummer" *\charformat </w:instrText>
    </w:r>
    <w:r w:rsidRPr="00823E6D">
      <w:fldChar w:fldCharType="separate"/>
    </w:r>
    <w:r w:rsidR="009022E5" w:rsidRPr="00823E6D">
      <w:t>T30</w:t>
    </w:r>
    <w:r w:rsidRPr="00823E6D">
      <w:fldChar w:fldCharType="end"/>
    </w:r>
    <w:r w:rsidRPr="00823E6D">
      <w:br/>
    </w:r>
    <w:r w:rsidRPr="00823E6D">
      <w:fldChar w:fldCharType="begin" w:fldLock="1"/>
    </w:r>
    <w:r w:rsidRPr="00823E6D">
      <w:instrText xml:space="preserve"> DOCPROPERTY</w:instrText>
    </w:r>
    <w:r w:rsidRPr="00823E6D">
      <w:rPr>
        <w:sz w:val="18"/>
      </w:rPr>
      <w:instrText xml:space="preserve"> "Samling" *\charformat </w:instrText>
    </w:r>
    <w:r w:rsidRPr="00823E6D">
      <w:fldChar w:fldCharType="end"/>
    </w:r>
    <w:r w:rsidRPr="00823E6D">
      <w:tab/>
      <w:t xml:space="preserve">pnr: </w:t>
    </w:r>
    <w:r w:rsidRPr="00823E6D">
      <w:fldChar w:fldCharType="begin" w:fldLock="1"/>
    </w:r>
    <w:r w:rsidRPr="00823E6D">
      <w:instrText xml:space="preserve"> DOCPROPERTY</w:instrText>
    </w:r>
    <w:r w:rsidRPr="00823E6D">
      <w:rPr>
        <w:sz w:val="18"/>
      </w:rPr>
      <w:instrText xml:space="preserve"> "Partinummer" *\charformat </w:instrText>
    </w:r>
    <w:r w:rsidRPr="00823E6D">
      <w:fldChar w:fldCharType="separate"/>
    </w:r>
    <w:r w:rsidR="009022E5" w:rsidRPr="00823E6D">
      <w:t>kd173</w:t>
    </w:r>
    <w:r w:rsidRPr="00823E6D">
      <w:fldChar w:fldCharType="end"/>
    </w:r>
  </w:p>
  <w:p w:rsidR="00BD0D17" w:rsidRPr="00823E6D" w:rsidRDefault="00BD0D17">
    <w:pPr>
      <w:pStyle w:val="FSHRub1"/>
    </w:pPr>
    <w:r w:rsidRPr="00823E6D">
      <w:t>Motion till riksdagen</w:t>
    </w:r>
    <w:r w:rsidRPr="00823E6D">
      <w:br/>
    </w:r>
    <w:r w:rsidRPr="00823E6D">
      <w:fldChar w:fldCharType="begin" w:fldLock="1"/>
    </w:r>
    <w:r w:rsidRPr="00823E6D">
      <w:instrText xml:space="preserve"> DOCPROPERTY "YearUser" *\charformat </w:instrText>
    </w:r>
    <w:r w:rsidRPr="00823E6D">
      <w:fldChar w:fldCharType="separate"/>
    </w:r>
    <w:r w:rsidR="009022E5" w:rsidRPr="00823E6D">
      <w:t>2005/06</w:t>
    </w:r>
    <w:r w:rsidRPr="00823E6D">
      <w:fldChar w:fldCharType="end"/>
    </w:r>
    <w:r w:rsidRPr="00823E6D">
      <w:t>:</w:t>
    </w:r>
    <w:r w:rsidRPr="00823E6D">
      <w:fldChar w:fldCharType="begin" w:fldLock="1"/>
    </w:r>
    <w:r w:rsidRPr="00823E6D">
      <w:instrText xml:space="preserve"> DOCPROPERTY "Motionsnummer" *\charformat </w:instrText>
    </w:r>
    <w:r w:rsidRPr="00823E6D">
      <w:fldChar w:fldCharType="separate"/>
    </w:r>
    <w:r w:rsidR="009022E5" w:rsidRPr="00823E6D">
      <w:t>T30</w:t>
    </w:r>
    <w:r w:rsidRPr="00823E6D">
      <w:fldChar w:fldCharType="end"/>
    </w:r>
  </w:p>
  <w:p w:rsidR="00BD0D17" w:rsidRPr="00823E6D" w:rsidRDefault="00BD0D17">
    <w:pPr>
      <w:pStyle w:val="FSHNormalS5"/>
    </w:pPr>
    <w:r w:rsidRPr="00823E6D">
      <w:fldChar w:fldCharType="begin" w:fldLock="1"/>
    </w:r>
    <w:r w:rsidRPr="00823E6D">
      <w:instrText xml:space="preserve"> DOCPROPERTY "MotionarText" *\charformat </w:instrText>
    </w:r>
    <w:r w:rsidRPr="00823E6D">
      <w:fldChar w:fldCharType="separate"/>
    </w:r>
    <w:r w:rsidR="009022E5" w:rsidRPr="00823E6D">
      <w:t>av Lars Gustafsson m.fl. (kd)</w:t>
    </w:r>
    <w:r w:rsidRPr="00823E6D">
      <w:fldChar w:fldCharType="end"/>
    </w:r>
    <w:r w:rsidRPr="00823E6D">
      <w:br/>
    </w:r>
    <w:r w:rsidRPr="00823E6D">
      <w:fldChar w:fldCharType="begin" w:fldLock="1"/>
    </w:r>
    <w:r w:rsidRPr="00823E6D">
      <w:instrText xml:space="preserve"> DOCPROPERTY "SvarFrasKort" *\charformat </w:instrText>
    </w:r>
    <w:r w:rsidRPr="00823E6D">
      <w:fldChar w:fldCharType="separate"/>
    </w:r>
    <w:r w:rsidR="009022E5" w:rsidRPr="00823E6D">
      <w:t>med anledning av prop. 2005/06:160</w:t>
    </w:r>
    <w:r w:rsidRPr="00823E6D">
      <w:fldChar w:fldCharType="end"/>
    </w:r>
  </w:p>
  <w:p w:rsidR="00BD0D17" w:rsidRPr="00823E6D" w:rsidRDefault="00BD0D17">
    <w:pPr>
      <w:pStyle w:val="FSHTitel"/>
    </w:pPr>
    <w:r w:rsidRPr="00823E6D">
      <w:fldChar w:fldCharType="begin" w:fldLock="1"/>
    </w:r>
    <w:r w:rsidRPr="00823E6D">
      <w:instrText xml:space="preserve"> DOCPROPERTY</w:instrText>
    </w:r>
    <w:r w:rsidRPr="00823E6D">
      <w:rPr>
        <w:sz w:val="18"/>
      </w:rPr>
      <w:instrText xml:space="preserve"> "RubrikSvar" *\charformat </w:instrText>
    </w:r>
    <w:r w:rsidRPr="00823E6D">
      <w:fldChar w:fldCharType="separate"/>
    </w:r>
    <w:r w:rsidR="009022E5" w:rsidRPr="00823E6D">
      <w:t>Moderna transporter</w:t>
    </w:r>
    <w:r w:rsidRPr="00823E6D">
      <w:fldChar w:fldCharType="end"/>
    </w:r>
  </w:p>
  <w:p w:rsidR="00BD0D17" w:rsidRPr="00823E6D" w:rsidRDefault="00BD0D17" w:rsidP="00BD0D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34772">
    <w:abstractNumId w:val="13"/>
  </w:num>
  <w:num w:numId="2" w16cid:durableId="2132049701">
    <w:abstractNumId w:val="10"/>
  </w:num>
  <w:num w:numId="3" w16cid:durableId="284627517">
    <w:abstractNumId w:val="11"/>
  </w:num>
  <w:num w:numId="4" w16cid:durableId="1859924380">
    <w:abstractNumId w:val="12"/>
  </w:num>
  <w:num w:numId="5" w16cid:durableId="2035187609">
    <w:abstractNumId w:val="8"/>
  </w:num>
  <w:num w:numId="6" w16cid:durableId="1900091264">
    <w:abstractNumId w:val="3"/>
  </w:num>
  <w:num w:numId="7" w16cid:durableId="1228688494">
    <w:abstractNumId w:val="2"/>
  </w:num>
  <w:num w:numId="8" w16cid:durableId="1303080808">
    <w:abstractNumId w:val="1"/>
  </w:num>
  <w:num w:numId="9" w16cid:durableId="1033270298">
    <w:abstractNumId w:val="0"/>
  </w:num>
  <w:num w:numId="10" w16cid:durableId="1810974866">
    <w:abstractNumId w:val="9"/>
  </w:num>
  <w:num w:numId="11" w16cid:durableId="979308851">
    <w:abstractNumId w:val="7"/>
  </w:num>
  <w:num w:numId="12" w16cid:durableId="158272651">
    <w:abstractNumId w:val="6"/>
  </w:num>
  <w:num w:numId="13" w16cid:durableId="1896774654">
    <w:abstractNumId w:val="5"/>
  </w:num>
  <w:num w:numId="14" w16cid:durableId="306055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6"/>
  </w:docVars>
  <w:rsids>
    <w:rsidRoot w:val="00760CB4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316B5"/>
    <w:rsid w:val="0025068A"/>
    <w:rsid w:val="002818D3"/>
    <w:rsid w:val="002943C8"/>
    <w:rsid w:val="00295E6D"/>
    <w:rsid w:val="002C08B2"/>
    <w:rsid w:val="002C2373"/>
    <w:rsid w:val="002D11A8"/>
    <w:rsid w:val="003866EC"/>
    <w:rsid w:val="003F100A"/>
    <w:rsid w:val="003F7700"/>
    <w:rsid w:val="00445271"/>
    <w:rsid w:val="00447A04"/>
    <w:rsid w:val="004A0504"/>
    <w:rsid w:val="004E38D9"/>
    <w:rsid w:val="005B145B"/>
    <w:rsid w:val="00740D6D"/>
    <w:rsid w:val="00743F76"/>
    <w:rsid w:val="00760CB4"/>
    <w:rsid w:val="00794149"/>
    <w:rsid w:val="007A170F"/>
    <w:rsid w:val="007B67A7"/>
    <w:rsid w:val="007C6092"/>
    <w:rsid w:val="00823E6D"/>
    <w:rsid w:val="00846903"/>
    <w:rsid w:val="00882A29"/>
    <w:rsid w:val="008D4A25"/>
    <w:rsid w:val="009022E5"/>
    <w:rsid w:val="009D1FE9"/>
    <w:rsid w:val="00A053C6"/>
    <w:rsid w:val="00AB5000"/>
    <w:rsid w:val="00B13BF0"/>
    <w:rsid w:val="00B33C81"/>
    <w:rsid w:val="00B67E5B"/>
    <w:rsid w:val="00BA6BE0"/>
    <w:rsid w:val="00BB6D75"/>
    <w:rsid w:val="00BD0D17"/>
    <w:rsid w:val="00C1285C"/>
    <w:rsid w:val="00C27B7D"/>
    <w:rsid w:val="00C911C2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43349"/>
    <w:rsid w:val="00E521CB"/>
    <w:rsid w:val="00E75D28"/>
    <w:rsid w:val="00E84F25"/>
    <w:rsid w:val="00EA5BD5"/>
    <w:rsid w:val="00F21B30"/>
    <w:rsid w:val="00F62197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0FA0AB-8CF5-4BC2-95CF-E6A2894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666</Words>
  <Characters>4081</Characters>
  <Application>Microsoft Office Word</Application>
  <DocSecurity>4</DocSecurity>
  <Lines>80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T30</vt:lpstr>
    </vt:vector>
  </TitlesOfParts>
  <Company>Riksdagen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T30</dc:title>
  <dc:subject>T30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2006-04-19T05:14:00Z</cp:lastPrinted>
  <dcterms:created xsi:type="dcterms:W3CDTF">2025-12-16T21:32:00Z</dcterms:created>
  <dcterms:modified xsi:type="dcterms:W3CDTF">2025-12-16T21:32:00Z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mot2000_433_2006-04-06</vt:lpwstr>
  </property>
  <property fmtid="{D5CDD505-2E9C-101B-9397-08002B2CF9AE}" pid="3" name="version">
    <vt:lpwstr>mot2000_433_2006-04-06</vt:lpwstr>
  </property>
  <property fmtid="{D5CDD505-2E9C-101B-9397-08002B2CF9AE}" pid="4" name="dokumenttyp">
    <vt:lpwstr>motion</vt:lpwstr>
  </property>
  <property fmtid="{D5CDD505-2E9C-101B-9397-08002B2CF9AE}" pid="5" name="Sekr">
    <vt:lpwstr>AH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2005/06:160 Moderna transporter</vt:lpwstr>
  </property>
  <property fmtid="{D5CDD505-2E9C-101B-9397-08002B2CF9AE}" pid="11" name="SvarFrasKort">
    <vt:lpwstr>med anledning av prop. 2005/06:160</vt:lpwstr>
  </property>
  <property fmtid="{D5CDD505-2E9C-101B-9397-08002B2CF9AE}" pid="12" name="Svar">
    <vt:lpwstr>proposition</vt:lpwstr>
  </property>
  <property fmtid="{D5CDD505-2E9C-101B-9397-08002B2CF9AE}" pid="13" name="SvarNr">
    <vt:lpwstr>2005/06:160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kd173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Gustafsson m.fl. (kd)</vt:lpwstr>
  </property>
  <property fmtid="{D5CDD505-2E9C-101B-9397-08002B2CF9AE}" pid="26" name="MotionarLista">
    <vt:lpwstr>Gustafsson, Lars (kd)\Gylling, Johnny (kd)\Skånberg, Tuve (kd)\Kihlström, Dan (kd)\Persson, Sven Gunnar (kd)\Marcelind, Ragnwi (kd)\von der Esch, Björn (kd)\Enochson,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Gustafsson (kd), Johnny Gylling (kd), Tuve Skånberg (kd), Dan Kihlström (kd), Sven Gunnar Persson (kd), Ragnwi Marcelind (kd), Björn von der Esch (kd),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20052006000001070100000001730075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20052006000001070100000001730075</vt:lpwstr>
  </property>
  <property fmtid="{D5CDD505-2E9C-101B-9397-08002B2CF9AE}" pid="50" name="nummer">
    <vt:lpwstr>30</vt:lpwstr>
  </property>
  <property fmtid="{D5CDD505-2E9C-101B-9397-08002B2CF9AE}" pid="51" name="utskottsbeteckning">
    <vt:lpwstr>T</vt:lpwstr>
  </property>
  <property fmtid="{D5CDD505-2E9C-101B-9397-08002B2CF9AE}" pid="52" name="GlobalUID">
    <vt:lpwstr>{FD224B79-203D-491A-939E-B08FD27DD77F}</vt:lpwstr>
  </property>
  <property fmtid="{D5CDD505-2E9C-101B-9397-08002B2CF9AE}" pid="53" name="Överföringar">
    <vt:i4>0</vt:i4>
  </property>
</Properties>
</file>