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D2D" w:rsidRPr="00076D2D" w:rsidRDefault="00076D2D">
      <w:pPr>
        <w:pStyle w:val="Frslagsrubrik"/>
      </w:pPr>
      <w:r w:rsidRPr="00076D2D">
        <w:t>Förslag till riksdagsbeslut</w:t>
      </w:r>
    </w:p>
    <w:p w:rsidR="00076D2D" w:rsidRPr="00076D2D" w:rsidRDefault="00076D2D">
      <w:pPr>
        <w:pStyle w:val="Hemstlatt"/>
        <w:numPr>
          <w:ilvl w:val="0"/>
          <w:numId w:val="1"/>
        </w:numPr>
      </w:pPr>
      <w:r w:rsidRPr="00076D2D">
        <w:t>Riksdagen tillkännager för regeringen som sin mening vad som anförs i motionen om en fortsatt översyn av straffmä</w:t>
      </w:r>
      <w:r w:rsidRPr="00076D2D">
        <w:t>t</w:t>
      </w:r>
      <w:r w:rsidRPr="00076D2D">
        <w:t>ning och straffskalor.</w:t>
      </w:r>
    </w:p>
    <w:p w:rsidR="00076D2D" w:rsidRPr="00076D2D" w:rsidRDefault="00076D2D">
      <w:pPr>
        <w:pStyle w:val="Hemstlatt"/>
        <w:numPr>
          <w:ilvl w:val="0"/>
          <w:numId w:val="1"/>
        </w:numPr>
      </w:pPr>
      <w:r w:rsidRPr="00076D2D">
        <w:t>Riksdagen tillkännager för regeringen som sin mening vad som anförs i motionen om strängare straff för olaga hot.</w:t>
      </w:r>
    </w:p>
    <w:p w:rsidR="00076D2D" w:rsidRPr="00076D2D" w:rsidRDefault="00076D2D">
      <w:pPr>
        <w:pStyle w:val="Hemstlatt"/>
        <w:numPr>
          <w:ilvl w:val="0"/>
          <w:numId w:val="1"/>
        </w:numPr>
      </w:pPr>
      <w:r w:rsidRPr="00076D2D">
        <w:t>Riksdagen tillkännager för regeringen som sin mening vad som anförs i motionen om att snatteri bör benämnas ringa stöld.</w:t>
      </w:r>
    </w:p>
    <w:p w:rsidR="00076D2D" w:rsidRPr="00076D2D" w:rsidRDefault="00076D2D">
      <w:pPr>
        <w:pStyle w:val="Rubrik1"/>
      </w:pPr>
      <w:r w:rsidRPr="00076D2D">
        <w:t>Motivering</w:t>
      </w:r>
    </w:p>
    <w:p w:rsidR="00076D2D" w:rsidRPr="00076D2D" w:rsidRDefault="00076D2D">
      <w:pPr>
        <w:tabs>
          <w:tab w:val="left" w:pos="3270"/>
        </w:tabs>
      </w:pPr>
      <w:r w:rsidRPr="00076D2D">
        <w:t>Alliansregeringen och riksdagsmajoriteten har under mandatperioden arbetat för att åstadkomma strängare straff, i första hand för våldsbrott. Den som begår ett allvarligt brott måste mötas av en reaktion från staten som står i proportion till brottets allvar, och så är det inte alltid idag.</w:t>
      </w:r>
    </w:p>
    <w:p w:rsidR="00076D2D" w:rsidRPr="00076D2D" w:rsidRDefault="00076D2D">
      <w:pPr>
        <w:pStyle w:val="Normaltindrag"/>
      </w:pPr>
      <w:r w:rsidRPr="00076D2D">
        <w:t>Åklagarmyndighetens utvecklingscentrum i Göteborg har på regeringens uppdrag granskat rättstillämpningen beträffande ett antal brott, bl.a. våld</w:t>
      </w:r>
      <w:r w:rsidRPr="00076D2D">
        <w:t>s</w:t>
      </w:r>
      <w:r w:rsidRPr="00076D2D">
        <w:t>brott, och fann att domstolarna mycket ofta dömde ut straff som befann sig i relevant straffskalas nedersta del.</w:t>
      </w:r>
    </w:p>
    <w:p w:rsidR="00076D2D" w:rsidRPr="00076D2D" w:rsidRDefault="00076D2D">
      <w:pPr>
        <w:pStyle w:val="Normaltindrag"/>
      </w:pPr>
      <w:r w:rsidRPr="00076D2D">
        <w:t>Straffnivåutredningen lämnar i sitt slutbetänkande (SOU 2008:85) förslag till skärpt bestraffning av allvarliga våldsbrott, förändrade straffskalor för grov misshandel och grov utpressning. Det är förslag som ska ge domstolarna utrymme att i högre grad än idag vid straffmätningen beakta försvårande och förmildrande omständigheter samt förslag som ska göra att återfall i brott ger strängare straf</w:t>
      </w:r>
      <w:r w:rsidRPr="00076D2D">
        <w:t>f på ett mer konsekvent sätt än tidigare. Detta är utmärkta fö</w:t>
      </w:r>
      <w:r w:rsidRPr="00076D2D">
        <w:t>r</w:t>
      </w:r>
      <w:r w:rsidRPr="00076D2D">
        <w:t>slag som bör genomföras snarast.</w:t>
      </w:r>
    </w:p>
    <w:p w:rsidR="00076D2D" w:rsidRPr="00076D2D" w:rsidRDefault="00076D2D">
      <w:pPr>
        <w:pStyle w:val="Normaltindrag"/>
      </w:pPr>
      <w:r w:rsidRPr="00076D2D">
        <w:t>Nu är det viktigt att gå vidare och göra en bred översyn av samtliga straf</w:t>
      </w:r>
      <w:r w:rsidRPr="00076D2D">
        <w:t>f</w:t>
      </w:r>
      <w:r w:rsidRPr="00076D2D">
        <w:t xml:space="preserve">skalor för att säkerställa att samtliga brott ger en statlig reaktion i proportion till brottets allvar. Nuvarande straffskalor härrör i stor utsträckning från </w:t>
      </w:r>
      <w:r w:rsidRPr="00076D2D">
        <w:lastRenderedPageBreak/>
        <w:t>brottsbalkens tillkomst i början av 1960-talet och Straffrättskommitténs b</w:t>
      </w:r>
      <w:r w:rsidRPr="00076D2D">
        <w:t>e</w:t>
      </w:r>
      <w:r w:rsidRPr="00076D2D">
        <w:t>tänkande från 1953. Även om en översyn gjordes under den förra borgerliga regeringens tid, och ett antal straffskalor då ändrades, förefaller det motiverat att nu noga pröva om de 50 år gamla straffskalorna återspeglar dagens värd</w:t>
      </w:r>
      <w:r w:rsidRPr="00076D2D">
        <w:t>e</w:t>
      </w:r>
      <w:r w:rsidRPr="00076D2D">
        <w:t>ring av olika brottstypers straffvärde. Det s</w:t>
      </w:r>
      <w:r w:rsidRPr="00076D2D">
        <w:t>om ligger närmast till hands bör vara att föreslå skärpningar av straffen, men det kan inte uteslutas att det för enstaka brottstyper kan vara motiverat med lindrigare straff. I detta samma</w:t>
      </w:r>
      <w:r w:rsidRPr="00076D2D">
        <w:t>n</w:t>
      </w:r>
      <w:r w:rsidRPr="00076D2D">
        <w:t>hang bör man också noga analysera olika brottstypers straffvärde i förhålla</w:t>
      </w:r>
      <w:r w:rsidRPr="00076D2D">
        <w:t>n</w:t>
      </w:r>
      <w:r w:rsidRPr="00076D2D">
        <w:t>de till varandra.</w:t>
      </w:r>
    </w:p>
    <w:p w:rsidR="00076D2D" w:rsidRPr="00076D2D" w:rsidRDefault="00076D2D">
      <w:pPr>
        <w:pStyle w:val="Normaltindrag"/>
      </w:pPr>
      <w:r w:rsidRPr="00076D2D">
        <w:t>I denna översyn bör ingå en granskning av straffmätningen beträffande de brottstyper som inte var föremål för behandling i rapporten från Åklagarmy</w:t>
      </w:r>
      <w:r w:rsidRPr="00076D2D">
        <w:t>n</w:t>
      </w:r>
      <w:r w:rsidRPr="00076D2D">
        <w:t>dighetens utvecklingscentrum. Det förefaller inte orimligt att tänka sig att det även beträffande övriga brott är så att domstolarna i stor utsträckning utdömer straff i straffskalans nedersta del. Förhoppningsvis förändras detta, om man förverkligar Straffnivåutredningens förslag rörande en mer nyanserad straf</w:t>
      </w:r>
      <w:r w:rsidRPr="00076D2D">
        <w:t>f</w:t>
      </w:r>
      <w:r w:rsidRPr="00076D2D">
        <w:t>mätning med större utrymme att beakta försvårande och förmildrande o</w:t>
      </w:r>
      <w:r w:rsidRPr="00076D2D">
        <w:t>m</w:t>
      </w:r>
      <w:r w:rsidRPr="00076D2D">
        <w:t>ständigheter, men det är inte desto mindre viktigt att ha denna verklighetsb</w:t>
      </w:r>
      <w:r w:rsidRPr="00076D2D">
        <w:t>e</w:t>
      </w:r>
      <w:r w:rsidRPr="00076D2D">
        <w:t xml:space="preserve">skrivning som grund för den fortsatta reformeringen </w:t>
      </w:r>
      <w:r w:rsidRPr="00076D2D">
        <w:t>av straffrätten.</w:t>
      </w:r>
    </w:p>
    <w:p w:rsidR="00076D2D" w:rsidRPr="00076D2D" w:rsidRDefault="00076D2D">
      <w:pPr>
        <w:pStyle w:val="Rubrik2"/>
      </w:pPr>
      <w:r w:rsidRPr="00076D2D">
        <w:t>Olaga hot</w:t>
      </w:r>
    </w:p>
    <w:p w:rsidR="00076D2D" w:rsidRPr="00076D2D" w:rsidRDefault="00076D2D">
      <w:pPr>
        <w:tabs>
          <w:tab w:val="left" w:pos="3270"/>
        </w:tabs>
      </w:pPr>
      <w:r w:rsidRPr="00076D2D">
        <w:t>Vad man, enligt min uppfattning, redan idag kan slå fast är att maximistraffet för olaga hot (brottsbalken 4 kap. 5 §) bör höjas från ett till förslagsvis två års fängelse. Olaga hot är ett brott som exempelvis kriminella grupperingar på ett verkningsfullt sätt kan använda för att få gehör för sin vilja. Det leder ofta till stort obehag och otrygghet för den som drabbas och kan påverka hela livet för brottsoffret, även om hotelserna aldrig förverkligas. Visserligen finns möjli</w:t>
      </w:r>
      <w:r w:rsidRPr="00076D2D">
        <w:t>g</w:t>
      </w:r>
      <w:r w:rsidRPr="00076D2D">
        <w:t>het att döma för grovt olaga hot, men att olaga hot av normalgraden endast kan ge ett års fängelse och därtill har böter i straffskalan innebär inte ett til</w:t>
      </w:r>
      <w:r w:rsidRPr="00076D2D">
        <w:t>l</w:t>
      </w:r>
      <w:r w:rsidRPr="00076D2D">
        <w:t>räckligt tydligt avståndstagande från statens sida från detta potentiellt mycket allvarliga brott.</w:t>
      </w:r>
    </w:p>
    <w:p w:rsidR="00076D2D" w:rsidRPr="00076D2D" w:rsidRDefault="00076D2D">
      <w:pPr>
        <w:pStyle w:val="Rubrik2"/>
      </w:pPr>
      <w:r w:rsidRPr="00076D2D">
        <w:t>Snatteri</w:t>
      </w:r>
    </w:p>
    <w:p w:rsidR="00076D2D" w:rsidRPr="00076D2D" w:rsidRDefault="00076D2D">
      <w:pPr>
        <w:tabs>
          <w:tab w:val="left" w:pos="3270"/>
        </w:tabs>
      </w:pPr>
      <w:r w:rsidRPr="00076D2D">
        <w:t>I brottsbalken 8 kap. 2 § stadgas att stöld som är ringa benämns snatteri. E</w:t>
      </w:r>
      <w:r w:rsidRPr="00076D2D">
        <w:t>n</w:t>
      </w:r>
      <w:r w:rsidRPr="00076D2D">
        <w:t>ligt min mening tonar benämningen snatteri i alltför hög grad ner allvaret i detta brott. Det är viktigt att barn och ungdomar tidigt lär sig att inte stjäla. Därför bör man inskärpa att stöld av varje slag är ett allvarligt brott, inte fö</w:t>
      </w:r>
      <w:r w:rsidRPr="00076D2D">
        <w:t>r</w:t>
      </w:r>
      <w:r w:rsidRPr="00076D2D">
        <w:t>minska brottets allvarlighet.</w:t>
      </w:r>
    </w:p>
    <w:p w:rsidR="00076D2D" w:rsidRPr="00076D2D" w:rsidRDefault="00076D2D">
      <w:pPr>
        <w:pStyle w:val="Normaltindrag"/>
      </w:pPr>
      <w:r w:rsidRPr="00076D2D">
        <w:t>Dessutom är förslagna stöldligor ett betydande problem för landets butiker, och att beteckna det brott som dessa ligor främst ägnar sig åt med den fö</w:t>
      </w:r>
      <w:r w:rsidRPr="00076D2D">
        <w:t>r</w:t>
      </w:r>
      <w:r w:rsidRPr="00076D2D">
        <w:t>mildrande benämningen snatteri är olämpligt. Istället för ”snatteri” borde brottet benämnas ”ringa stöld”.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6D2D">
        <w:trPr>
          <w:cantSplit/>
        </w:trPr>
        <w:tc>
          <w:tcPr>
            <w:tcW w:w="3046" w:type="dxa"/>
          </w:tcPr>
          <w:p w:rsidR="00076D2D" w:rsidRPr="00076D2D" w:rsidRDefault="00076D2D">
            <w:pPr>
              <w:pStyle w:val="UnderskriftDatum"/>
              <w:spacing w:before="240"/>
            </w:pPr>
            <w:r w:rsidRPr="00076D2D">
              <w:t>Stockholm den 5 oktober 2009</w:t>
            </w:r>
          </w:p>
        </w:tc>
        <w:tc>
          <w:tcPr>
            <w:tcW w:w="3047" w:type="dxa"/>
          </w:tcPr>
          <w:p w:rsidR="00076D2D" w:rsidRPr="00076D2D" w:rsidRDefault="00076D2D">
            <w:pPr>
              <w:pStyle w:val="Underskrifter"/>
              <w:spacing w:before="240"/>
            </w:pPr>
          </w:p>
        </w:tc>
      </w:tr>
      <w:tr w:rsidR="00000000" w:rsidRPr="00076D2D">
        <w:trPr>
          <w:cantSplit/>
        </w:trPr>
        <w:tc>
          <w:tcPr>
            <w:tcW w:w="3046" w:type="dxa"/>
          </w:tcPr>
          <w:p w:rsidR="00076D2D" w:rsidRPr="00076D2D" w:rsidRDefault="00076D2D">
            <w:pPr>
              <w:pStyle w:val="Underskrifter"/>
            </w:pPr>
            <w:r w:rsidRPr="00076D2D">
              <w:t>Andreas Norlén (m)</w:t>
            </w:r>
          </w:p>
        </w:tc>
        <w:tc>
          <w:tcPr>
            <w:tcW w:w="3046" w:type="dxa"/>
          </w:tcPr>
          <w:p w:rsidR="00076D2D" w:rsidRPr="00076D2D" w:rsidRDefault="00076D2D">
            <w:pPr>
              <w:pStyle w:val="Underskrifter"/>
            </w:pPr>
          </w:p>
        </w:tc>
      </w:tr>
    </w:tbl>
    <w:p w:rsidR="00076D2D" w:rsidRPr="00076D2D" w:rsidRDefault="00076D2D">
      <w:pPr>
        <w:pStyle w:val="Normaltindrag"/>
      </w:pPr>
    </w:p>
    <w:sectPr w:rsidR="00000000" w:rsidRPr="00076D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D2D" w:rsidRPr="00076D2D" w:rsidRDefault="00076D2D">
      <w:r w:rsidRPr="00076D2D">
        <w:separator/>
      </w:r>
    </w:p>
  </w:endnote>
  <w:endnote w:type="continuationSeparator" w:id="0">
    <w:p w:rsidR="00076D2D" w:rsidRPr="00076D2D" w:rsidRDefault="00076D2D">
      <w:r w:rsidRPr="00076D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D2D" w:rsidRPr="00076D2D" w:rsidRDefault="00076D2D">
    <w:pPr>
      <w:pStyle w:val="Sidfot"/>
    </w:pPr>
    <w:r w:rsidRPr="00076D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969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D2D" w:rsidRDefault="00076D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D2D" w:rsidRDefault="00076D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D2D" w:rsidRPr="00076D2D" w:rsidRDefault="00076D2D">
    <w:pPr>
      <w:pStyle w:val="Sidfot"/>
    </w:pPr>
    <w:r w:rsidRPr="00076D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115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D2D" w:rsidRDefault="00076D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D2D" w:rsidRDefault="00076D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D2D" w:rsidRPr="00076D2D" w:rsidRDefault="00076D2D">
    <w:pPr>
      <w:pStyle w:val="Sidfot"/>
    </w:pPr>
    <w:r w:rsidRPr="00076D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710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D2D" w:rsidRDefault="00076D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D2D" w:rsidRDefault="00076D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D2D" w:rsidRPr="00076D2D" w:rsidRDefault="00076D2D">
      <w:r w:rsidRPr="00076D2D">
        <w:separator/>
      </w:r>
    </w:p>
  </w:footnote>
  <w:footnote w:type="continuationSeparator" w:id="0">
    <w:p w:rsidR="00076D2D" w:rsidRPr="00076D2D" w:rsidRDefault="00076D2D">
      <w:r w:rsidRPr="00076D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D2D" w:rsidRPr="00076D2D" w:rsidRDefault="00076D2D">
    <w:pPr>
      <w:pStyle w:val="Sidhuvud"/>
    </w:pPr>
    <w:r w:rsidRPr="00076D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6899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D2D" w:rsidRDefault="00076D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D2D" w:rsidRDefault="00076D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D2D" w:rsidRPr="00076D2D" w:rsidRDefault="00076D2D">
    <w:pPr>
      <w:pStyle w:val="Sidhuvud"/>
    </w:pPr>
    <w:r w:rsidRPr="00076D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8412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D2D" w:rsidRDefault="00076D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D2D" w:rsidRDefault="00076D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D2D" w:rsidRPr="00076D2D" w:rsidRDefault="00076D2D">
    <w:pPr>
      <w:pStyle w:val="FSHNormal"/>
      <w:tabs>
        <w:tab w:val="right" w:pos="5840"/>
      </w:tabs>
    </w:pPr>
    <w:r w:rsidRPr="00076D2D">
      <w:br/>
    </w:r>
    <w:r w:rsidRPr="00076D2D">
      <w:fldChar w:fldCharType="begin" w:fldLock="1"/>
    </w:r>
    <w:r w:rsidRPr="00076D2D">
      <w:instrText xml:space="preserve"> DOCPROPERTY</w:instrText>
    </w:r>
    <w:r w:rsidRPr="00076D2D">
      <w:rPr>
        <w:sz w:val="18"/>
      </w:rPr>
      <w:instrText xml:space="preserve"> "YearUser" *\charformat </w:instrText>
    </w:r>
    <w:r w:rsidRPr="00076D2D">
      <w:fldChar w:fldCharType="separate"/>
    </w:r>
    <w:r w:rsidRPr="00076D2D">
      <w:t>2009/10</w:t>
    </w:r>
    <w:r w:rsidRPr="00076D2D">
      <w:fldChar w:fldCharType="end"/>
    </w:r>
    <w:r w:rsidRPr="00076D2D">
      <w:t xml:space="preserve"> </w:t>
    </w:r>
    <w:r w:rsidRPr="00076D2D">
      <w:tab/>
      <w:t xml:space="preserve">mnr: </w:t>
    </w:r>
    <w:r w:rsidRPr="00076D2D">
      <w:fldChar w:fldCharType="begin" w:fldLock="1"/>
    </w:r>
    <w:r w:rsidRPr="00076D2D">
      <w:instrText xml:space="preserve"> DOCPROPERTY</w:instrText>
    </w:r>
    <w:r w:rsidRPr="00076D2D">
      <w:rPr>
        <w:sz w:val="18"/>
      </w:rPr>
      <w:instrText xml:space="preserve"> "Motionsnummer" *\charformat </w:instrText>
    </w:r>
    <w:r w:rsidRPr="00076D2D">
      <w:fldChar w:fldCharType="separate"/>
    </w:r>
    <w:r w:rsidRPr="00076D2D">
      <w:t>Ju346</w:t>
    </w:r>
    <w:r w:rsidRPr="00076D2D">
      <w:fldChar w:fldCharType="end"/>
    </w:r>
    <w:r w:rsidRPr="00076D2D">
      <w:br/>
    </w:r>
    <w:r w:rsidRPr="00076D2D">
      <w:fldChar w:fldCharType="begin" w:fldLock="1"/>
    </w:r>
    <w:r w:rsidRPr="00076D2D">
      <w:instrText xml:space="preserve"> DOCPROPERTY</w:instrText>
    </w:r>
    <w:r w:rsidRPr="00076D2D">
      <w:rPr>
        <w:sz w:val="18"/>
      </w:rPr>
      <w:instrText xml:space="preserve"> "Samling" *\charformat </w:instrText>
    </w:r>
    <w:r w:rsidRPr="00076D2D">
      <w:fldChar w:fldCharType="end"/>
    </w:r>
    <w:r w:rsidRPr="00076D2D">
      <w:tab/>
      <w:t xml:space="preserve">pnr: </w:t>
    </w:r>
    <w:r w:rsidRPr="00076D2D">
      <w:fldChar w:fldCharType="begin" w:fldLock="1"/>
    </w:r>
    <w:r w:rsidRPr="00076D2D">
      <w:instrText xml:space="preserve"> DOCPROPERTY</w:instrText>
    </w:r>
    <w:r w:rsidRPr="00076D2D">
      <w:rPr>
        <w:sz w:val="18"/>
      </w:rPr>
      <w:instrText xml:space="preserve"> "Partinummer" *\charformat </w:instrText>
    </w:r>
    <w:r w:rsidRPr="00076D2D">
      <w:fldChar w:fldCharType="separate"/>
    </w:r>
    <w:r w:rsidRPr="00076D2D">
      <w:t>m1904</w:t>
    </w:r>
    <w:r w:rsidRPr="00076D2D">
      <w:fldChar w:fldCharType="end"/>
    </w:r>
  </w:p>
  <w:p w:rsidR="00076D2D" w:rsidRPr="00076D2D" w:rsidRDefault="00076D2D">
    <w:pPr>
      <w:pStyle w:val="FSHRub1"/>
    </w:pPr>
    <w:r w:rsidRPr="00076D2D">
      <w:t>Motion till riksdagen</w:t>
    </w:r>
    <w:r w:rsidRPr="00076D2D">
      <w:br/>
    </w:r>
    <w:r w:rsidRPr="00076D2D">
      <w:fldChar w:fldCharType="begin" w:fldLock="1"/>
    </w:r>
    <w:r w:rsidRPr="00076D2D">
      <w:instrText xml:space="preserve"> DOCPROPERTY "YearUser" *\charformat </w:instrText>
    </w:r>
    <w:r w:rsidRPr="00076D2D">
      <w:fldChar w:fldCharType="separate"/>
    </w:r>
    <w:r w:rsidRPr="00076D2D">
      <w:t>2009/10</w:t>
    </w:r>
    <w:r w:rsidRPr="00076D2D">
      <w:fldChar w:fldCharType="end"/>
    </w:r>
    <w:r w:rsidRPr="00076D2D">
      <w:t>:</w:t>
    </w:r>
    <w:r w:rsidRPr="00076D2D">
      <w:fldChar w:fldCharType="begin" w:fldLock="1"/>
    </w:r>
    <w:r w:rsidRPr="00076D2D">
      <w:instrText xml:space="preserve"> DOCPROPERTY "Motionsnummer" *\charformat </w:instrText>
    </w:r>
    <w:r w:rsidRPr="00076D2D">
      <w:fldChar w:fldCharType="separate"/>
    </w:r>
    <w:r w:rsidRPr="00076D2D">
      <w:t>Ju346</w:t>
    </w:r>
    <w:r w:rsidRPr="00076D2D">
      <w:fldChar w:fldCharType="end"/>
    </w:r>
  </w:p>
  <w:p w:rsidR="00076D2D" w:rsidRPr="00076D2D" w:rsidRDefault="00076D2D">
    <w:pPr>
      <w:pStyle w:val="FSHNormalS5"/>
    </w:pPr>
    <w:r w:rsidRPr="00076D2D">
      <w:fldChar w:fldCharType="begin" w:fldLock="1"/>
    </w:r>
    <w:r w:rsidRPr="00076D2D">
      <w:instrText xml:space="preserve"> DOCPROPERTY "MotionarText" *\charformat </w:instrText>
    </w:r>
    <w:r w:rsidRPr="00076D2D">
      <w:fldChar w:fldCharType="separate"/>
    </w:r>
    <w:r w:rsidRPr="00076D2D">
      <w:t>av Andreas Norlén (m)</w:t>
    </w:r>
    <w:r w:rsidRPr="00076D2D">
      <w:fldChar w:fldCharType="end"/>
    </w:r>
    <w:r w:rsidRPr="00076D2D">
      <w:br/>
    </w:r>
    <w:r w:rsidRPr="00076D2D">
      <w:fldChar w:fldCharType="begin" w:fldLock="1"/>
    </w:r>
    <w:r w:rsidRPr="00076D2D">
      <w:instrText xml:space="preserve"> DOCPROPERTY "SvarFrasKort" *\charformat </w:instrText>
    </w:r>
    <w:r w:rsidRPr="00076D2D">
      <w:fldChar w:fldCharType="end"/>
    </w:r>
  </w:p>
  <w:p w:rsidR="00076D2D" w:rsidRPr="00076D2D" w:rsidRDefault="00076D2D">
    <w:pPr>
      <w:pStyle w:val="FSHTitel"/>
    </w:pPr>
    <w:r w:rsidRPr="00076D2D">
      <w:fldChar w:fldCharType="begin" w:fldLock="1"/>
    </w:r>
    <w:r w:rsidRPr="00076D2D">
      <w:instrText xml:space="preserve"> DOCPROPERTY</w:instrText>
    </w:r>
    <w:r w:rsidRPr="00076D2D">
      <w:rPr>
        <w:sz w:val="18"/>
      </w:rPr>
      <w:instrText xml:space="preserve"> "RubrikSvar" *\charformat </w:instrText>
    </w:r>
    <w:r w:rsidRPr="00076D2D">
      <w:fldChar w:fldCharType="separate"/>
    </w:r>
    <w:r w:rsidRPr="00076D2D">
      <w:t>Fortsatt översyn av straffmätning och straffskalor m.m.</w:t>
    </w:r>
    <w:r w:rsidRPr="00076D2D">
      <w:fldChar w:fldCharType="end"/>
    </w:r>
  </w:p>
  <w:p w:rsidR="00076D2D" w:rsidRPr="00076D2D" w:rsidRDefault="00076D2D">
    <w:pPr>
      <w:pStyle w:val="Normal00"/>
    </w:pPr>
  </w:p>
  <w:p w:rsidR="00076D2D" w:rsidRPr="00076D2D" w:rsidRDefault="00076D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B13D4B"/>
    <w:multiLevelType w:val="hybridMultilevel"/>
    <w:tmpl w:val="7D1E89A4"/>
    <w:lvl w:ilvl="0" w:tplc="A9CA54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89971F2"/>
    <w:multiLevelType w:val="hybridMultilevel"/>
    <w:tmpl w:val="8AE27DE4"/>
    <w:lvl w:ilvl="0" w:tplc="4A527C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5388693">
    <w:abstractNumId w:val="8"/>
  </w:num>
  <w:num w:numId="2" w16cid:durableId="561988300">
    <w:abstractNumId w:val="9"/>
  </w:num>
  <w:num w:numId="3" w16cid:durableId="1204708493">
    <w:abstractNumId w:val="8"/>
  </w:num>
  <w:num w:numId="4" w16cid:durableId="1347907733">
    <w:abstractNumId w:val="9"/>
  </w:num>
  <w:num w:numId="5" w16cid:durableId="1322662746">
    <w:abstractNumId w:val="13"/>
  </w:num>
  <w:num w:numId="6" w16cid:durableId="789475796">
    <w:abstractNumId w:val="10"/>
  </w:num>
  <w:num w:numId="7" w16cid:durableId="822312391">
    <w:abstractNumId w:val="11"/>
  </w:num>
  <w:num w:numId="8" w16cid:durableId="245186308">
    <w:abstractNumId w:val="12"/>
  </w:num>
  <w:num w:numId="9" w16cid:durableId="1336495704">
    <w:abstractNumId w:val="8"/>
  </w:num>
  <w:num w:numId="10" w16cid:durableId="1396396938">
    <w:abstractNumId w:val="3"/>
  </w:num>
  <w:num w:numId="11" w16cid:durableId="656228626">
    <w:abstractNumId w:val="2"/>
  </w:num>
  <w:num w:numId="12" w16cid:durableId="438913622">
    <w:abstractNumId w:val="1"/>
  </w:num>
  <w:num w:numId="13" w16cid:durableId="252858287">
    <w:abstractNumId w:val="0"/>
  </w:num>
  <w:num w:numId="14" w16cid:durableId="620112638">
    <w:abstractNumId w:val="9"/>
  </w:num>
  <w:num w:numId="15" w16cid:durableId="2083478402">
    <w:abstractNumId w:val="7"/>
  </w:num>
  <w:num w:numId="16" w16cid:durableId="1391005099">
    <w:abstractNumId w:val="6"/>
  </w:num>
  <w:num w:numId="17" w16cid:durableId="121652608">
    <w:abstractNumId w:val="5"/>
  </w:num>
  <w:num w:numId="18" w16cid:durableId="4208924">
    <w:abstractNumId w:val="4"/>
  </w:num>
  <w:num w:numId="19" w16cid:durableId="665204089">
    <w:abstractNumId w:val="14"/>
  </w:num>
  <w:num w:numId="20" w16cid:durableId="756706645">
    <w:abstractNumId w:val="11"/>
  </w:num>
  <w:num w:numId="21" w16cid:durableId="307561399">
    <w:abstractNumId w:val="10"/>
  </w:num>
  <w:num w:numId="22" w16cid:durableId="902980836">
    <w:abstractNumId w:val="12"/>
  </w:num>
  <w:num w:numId="23" w16cid:durableId="1147866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C164FE7-1929-4345-8562-8DC6ABBC0F41}"/>
  </w:docVars>
  <w:rsids>
    <w:rsidRoot w:val="0038691E"/>
    <w:rsid w:val="00076D2D"/>
    <w:rsid w:val="003869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F4A0E7E-C88F-41C0-9B9D-44A1EF55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3760</Characters>
  <Application>Microsoft Office Word</Application>
  <DocSecurity>4</DocSecurity>
  <Lines>69</Lines>
  <Paragraphs>19</Paragraphs>
  <ScaleCrop>false</ScaleCrop>
  <HeadingPairs>
    <vt:vector size="2" baseType="variant">
      <vt:variant>
        <vt:lpstr>Rubrik</vt:lpstr>
      </vt:variant>
      <vt:variant>
        <vt:i4>1</vt:i4>
      </vt:variant>
    </vt:vector>
  </HeadingPairs>
  <TitlesOfParts>
    <vt:vector size="1" baseType="lpstr">
      <vt:lpstr>m1904</vt:lpstr>
    </vt:vector>
  </TitlesOfParts>
  <Company>Riksdagen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m1904</dc:title>
  <dc:subject>m1904</dc:subject>
  <dc:creator>Riksdagen</dc:creator>
  <cp:keywords>Riksdagen</cp:keywords>
  <dc:description>Nya formatmallshantering för förslag+urix bakåtkomp+könamn</dc:description>
  <cp:lastModifiedBy>Lars Brink</cp:lastModifiedBy>
  <cp:revision>2</cp:revision>
  <cp:lastPrinted>2009-12-11T15:11:00Z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Fortsatt översyn av straffmätning och straffskalor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översyn av straffmätning och straffskalor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20092010000000000109000019040069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20092010000000000109000019040069</vt:lpwstr>
  </property>
  <property fmtid="{D5CDD505-2E9C-101B-9397-08002B2CF9AE}" pid="50" name="nummer">
    <vt:lpwstr>346</vt:lpwstr>
  </property>
  <property fmtid="{D5CDD505-2E9C-101B-9397-08002B2CF9AE}" pid="51" name="utskottsbeteckning">
    <vt:lpwstr>Ju</vt:lpwstr>
  </property>
  <property fmtid="{D5CDD505-2E9C-101B-9397-08002B2CF9AE}" pid="52" name="GlobalUID">
    <vt:lpwstr>{90510ABF-EADE-495E-BEAC-650199C9FF7F}</vt:lpwstr>
  </property>
  <property fmtid="{D5CDD505-2E9C-101B-9397-08002B2CF9AE}" pid="53" name="Överföringar">
    <vt:i4>0</vt:i4>
  </property>
  <property fmtid="{D5CDD505-2E9C-101B-9397-08002B2CF9AE}" pid="54" name="Checksum">
    <vt:lpwstr>*0004492152056*</vt:lpwstr>
  </property>
  <property fmtid="{D5CDD505-2E9C-101B-9397-08002B2CF9AE}" pid="55" name="skuggnummer">
    <vt:lpwstr>2212</vt:lpwstr>
  </property>
  <property fmtid="{D5CDD505-2E9C-101B-9397-08002B2CF9AE}" pid="56" name="urixVersion">
    <vt:lpwstr>4.0.0.9</vt:lpwstr>
  </property>
  <property fmtid="{D5CDD505-2E9C-101B-9397-08002B2CF9AE}" pid="57" name="urixOrigin">
    <vt:lpwstr>091211 16:12:00.485</vt:lpwstr>
  </property>
  <property fmtid="{D5CDD505-2E9C-101B-9397-08002B2CF9AE}" pid="58" name="urixGuid">
    <vt:lpwstr>{FC8C1AB9-E24B-480C-B151-B448A2D3EBB5}</vt:lpwstr>
  </property>
</Properties>
</file>