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73C" w:rsidRPr="00D23BEF" w:rsidRDefault="00A4573C">
      <w:pPr>
        <w:pStyle w:val="Rubrik1"/>
        <w:shd w:val="clear" w:color="000000" w:fill="auto"/>
      </w:pPr>
      <w:bookmarkStart w:id="0" w:name="_Toc153162058"/>
      <w:r w:rsidRPr="00D23BEF">
        <w:t>Innehållsförteckning</w:t>
      </w:r>
      <w:bookmarkEnd w:id="0"/>
    </w:p>
    <w:p w:rsidR="006D0AC3" w:rsidRPr="00D23BEF" w:rsidRDefault="00A13B94">
      <w:pPr>
        <w:pStyle w:val="Innehll1"/>
        <w:shd w:val="clear" w:color="000000" w:fill="auto"/>
        <w:rPr>
          <w:szCs w:val="24"/>
        </w:rPr>
      </w:pPr>
      <w:r w:rsidRPr="00D23BEF">
        <w:fldChar w:fldCharType="begin" w:fldLock="1"/>
      </w:r>
      <w:r w:rsidR="00A4573C" w:rsidRPr="00D23BEF">
        <w:instrText xml:space="preserve"> TOC \o "1-3" \h \z \u </w:instrText>
      </w:r>
      <w:r w:rsidRPr="00D23BEF">
        <w:fldChar w:fldCharType="separate"/>
      </w:r>
      <w:hyperlink w:anchor="_Toc153162058" w:history="1">
        <w:r w:rsidR="006D0AC3" w:rsidRPr="00D23BEF">
          <w:rPr>
            <w:rStyle w:val="Hyperlnk"/>
          </w:rPr>
          <w:t>Innehållsförteckning</w:t>
        </w:r>
        <w:r w:rsidR="006D0AC3" w:rsidRPr="00D23BEF">
          <w:rPr>
            <w:webHidden/>
          </w:rPr>
          <w:tab/>
        </w:r>
        <w:r w:rsidRPr="00D23BEF">
          <w:rPr>
            <w:webHidden/>
          </w:rPr>
          <w:fldChar w:fldCharType="begin" w:fldLock="1"/>
        </w:r>
        <w:r w:rsidR="006D0AC3" w:rsidRPr="00D23BEF">
          <w:rPr>
            <w:webHidden/>
          </w:rPr>
          <w:instrText xml:space="preserve"> PAGEREF _Toc153162058 \h </w:instrText>
        </w:r>
        <w:r w:rsidRPr="00D23BEF">
          <w:rPr>
            <w:webHidden/>
          </w:rPr>
          <w:fldChar w:fldCharType="separate"/>
        </w:r>
        <w:r w:rsidR="00EB1AE8" w:rsidRPr="00D23BEF">
          <w:rPr>
            <w:webHidden/>
          </w:rPr>
          <w:t>1</w:t>
        </w:r>
        <w:r w:rsidRPr="00D23BEF">
          <w:rPr>
            <w:webHidden/>
          </w:rPr>
          <w:fldChar w:fldCharType="end"/>
        </w:r>
      </w:hyperlink>
    </w:p>
    <w:p w:rsidR="006D0AC3" w:rsidRPr="00D23BEF" w:rsidRDefault="00A13B94">
      <w:pPr>
        <w:pStyle w:val="Innehll1"/>
        <w:shd w:val="clear" w:color="000000" w:fill="auto"/>
        <w:rPr>
          <w:szCs w:val="24"/>
        </w:rPr>
      </w:pPr>
      <w:hyperlink w:anchor="_Toc153162059" w:history="1">
        <w:r w:rsidR="006D0AC3" w:rsidRPr="00D23BEF">
          <w:rPr>
            <w:rStyle w:val="Hyperlnk"/>
          </w:rPr>
          <w:t>Sammanfattning</w:t>
        </w:r>
        <w:r w:rsidR="006D0AC3" w:rsidRPr="00D23BEF">
          <w:rPr>
            <w:webHidden/>
          </w:rPr>
          <w:tab/>
        </w:r>
        <w:r w:rsidRPr="00D23BEF">
          <w:rPr>
            <w:webHidden/>
          </w:rPr>
          <w:fldChar w:fldCharType="begin" w:fldLock="1"/>
        </w:r>
        <w:r w:rsidR="006D0AC3" w:rsidRPr="00D23BEF">
          <w:rPr>
            <w:webHidden/>
          </w:rPr>
          <w:instrText xml:space="preserve"> PAGEREF _Toc153162059 \h </w:instrText>
        </w:r>
        <w:r w:rsidRPr="00D23BEF">
          <w:rPr>
            <w:webHidden/>
          </w:rPr>
          <w:fldChar w:fldCharType="separate"/>
        </w:r>
        <w:r w:rsidR="00EB1AE8" w:rsidRPr="00D23BEF">
          <w:rPr>
            <w:webHidden/>
          </w:rPr>
          <w:t>2</w:t>
        </w:r>
        <w:r w:rsidRPr="00D23BEF">
          <w:rPr>
            <w:webHidden/>
          </w:rPr>
          <w:fldChar w:fldCharType="end"/>
        </w:r>
      </w:hyperlink>
    </w:p>
    <w:p w:rsidR="006D0AC3" w:rsidRPr="00D23BEF" w:rsidRDefault="00A13B94">
      <w:pPr>
        <w:pStyle w:val="Innehll1"/>
        <w:shd w:val="clear" w:color="000000" w:fill="auto"/>
        <w:rPr>
          <w:szCs w:val="24"/>
        </w:rPr>
      </w:pPr>
      <w:hyperlink w:anchor="_Toc153162060" w:history="1">
        <w:r w:rsidR="006D0AC3" w:rsidRPr="00D23BEF">
          <w:rPr>
            <w:rStyle w:val="Hyperlnk"/>
          </w:rPr>
          <w:t>Förslag till riksdagsbeslut</w:t>
        </w:r>
        <w:r w:rsidR="006D0AC3" w:rsidRPr="00D23BEF">
          <w:rPr>
            <w:webHidden/>
          </w:rPr>
          <w:tab/>
        </w:r>
        <w:r w:rsidRPr="00D23BEF">
          <w:rPr>
            <w:webHidden/>
          </w:rPr>
          <w:fldChar w:fldCharType="begin" w:fldLock="1"/>
        </w:r>
        <w:r w:rsidR="006D0AC3" w:rsidRPr="00D23BEF">
          <w:rPr>
            <w:webHidden/>
          </w:rPr>
          <w:instrText xml:space="preserve"> PAGEREF _Toc153162060 \h </w:instrText>
        </w:r>
        <w:r w:rsidRPr="00D23BEF">
          <w:rPr>
            <w:webHidden/>
          </w:rPr>
          <w:fldChar w:fldCharType="separate"/>
        </w:r>
        <w:r w:rsidR="00EB1AE8" w:rsidRPr="00D23BEF">
          <w:rPr>
            <w:webHidden/>
          </w:rPr>
          <w:t>3</w:t>
        </w:r>
        <w:r w:rsidRPr="00D23BEF">
          <w:rPr>
            <w:webHidden/>
          </w:rPr>
          <w:fldChar w:fldCharType="end"/>
        </w:r>
      </w:hyperlink>
    </w:p>
    <w:p w:rsidR="006D0AC3" w:rsidRPr="00D23BEF" w:rsidRDefault="00A13B94">
      <w:pPr>
        <w:pStyle w:val="Innehll1"/>
        <w:shd w:val="clear" w:color="000000" w:fill="auto"/>
        <w:rPr>
          <w:szCs w:val="24"/>
        </w:rPr>
      </w:pPr>
      <w:hyperlink w:anchor="_Toc153162061" w:history="1">
        <w:r w:rsidR="006D0AC3" w:rsidRPr="00D23BEF">
          <w:rPr>
            <w:rStyle w:val="Hyperlnk"/>
          </w:rPr>
          <w:t>Utgiftsområde 4 Rättsväsendet</w:t>
        </w:r>
        <w:r w:rsidR="006D0AC3" w:rsidRPr="00D23BEF">
          <w:rPr>
            <w:webHidden/>
          </w:rPr>
          <w:tab/>
        </w:r>
        <w:r w:rsidRPr="00D23BEF">
          <w:rPr>
            <w:webHidden/>
          </w:rPr>
          <w:fldChar w:fldCharType="begin" w:fldLock="1"/>
        </w:r>
        <w:r w:rsidR="006D0AC3" w:rsidRPr="00D23BEF">
          <w:rPr>
            <w:webHidden/>
          </w:rPr>
          <w:instrText xml:space="preserve"> PAGEREF _Toc153162061 \h </w:instrText>
        </w:r>
        <w:r w:rsidRPr="00D23BEF">
          <w:rPr>
            <w:webHidden/>
          </w:rPr>
          <w:fldChar w:fldCharType="separate"/>
        </w:r>
        <w:r w:rsidR="00EB1AE8" w:rsidRPr="00D23BEF">
          <w:rPr>
            <w:webHidden/>
          </w:rPr>
          <w:t>5</w:t>
        </w:r>
        <w:r w:rsidRPr="00D23BEF">
          <w:rPr>
            <w:webHidden/>
          </w:rPr>
          <w:fldChar w:fldCharType="end"/>
        </w:r>
      </w:hyperlink>
    </w:p>
    <w:p w:rsidR="006D0AC3" w:rsidRPr="00D23BEF" w:rsidRDefault="00A13B94">
      <w:pPr>
        <w:pStyle w:val="Innehll2"/>
        <w:shd w:val="clear" w:color="000000" w:fill="auto"/>
        <w:rPr>
          <w:szCs w:val="24"/>
        </w:rPr>
      </w:pPr>
      <w:hyperlink w:anchor="_Toc153162062" w:history="1">
        <w:r w:rsidR="006D0AC3" w:rsidRPr="00D23BEF">
          <w:rPr>
            <w:rStyle w:val="Hyperlnk"/>
          </w:rPr>
          <w:t>Ett effektivare och mer rättvist polisväsende</w:t>
        </w:r>
        <w:r w:rsidR="006D0AC3" w:rsidRPr="00D23BEF">
          <w:rPr>
            <w:webHidden/>
          </w:rPr>
          <w:tab/>
        </w:r>
        <w:r w:rsidRPr="00D23BEF">
          <w:rPr>
            <w:webHidden/>
          </w:rPr>
          <w:fldChar w:fldCharType="begin" w:fldLock="1"/>
        </w:r>
        <w:r w:rsidR="006D0AC3" w:rsidRPr="00D23BEF">
          <w:rPr>
            <w:webHidden/>
          </w:rPr>
          <w:instrText xml:space="preserve"> PAGEREF _Toc153162062 \h </w:instrText>
        </w:r>
        <w:r w:rsidRPr="00D23BEF">
          <w:rPr>
            <w:webHidden/>
          </w:rPr>
          <w:fldChar w:fldCharType="separate"/>
        </w:r>
        <w:r w:rsidR="00EB1AE8" w:rsidRPr="00D23BEF">
          <w:rPr>
            <w:webHidden/>
          </w:rPr>
          <w:t>5</w:t>
        </w:r>
        <w:r w:rsidRPr="00D23BEF">
          <w:rPr>
            <w:webHidden/>
          </w:rPr>
          <w:fldChar w:fldCharType="end"/>
        </w:r>
      </w:hyperlink>
    </w:p>
    <w:p w:rsidR="006D0AC3" w:rsidRPr="00D23BEF" w:rsidRDefault="00A13B94">
      <w:pPr>
        <w:pStyle w:val="Innehll3"/>
        <w:shd w:val="clear" w:color="000000" w:fill="auto"/>
        <w:rPr>
          <w:szCs w:val="24"/>
        </w:rPr>
      </w:pPr>
      <w:hyperlink w:anchor="_Toc153162063" w:history="1">
        <w:r w:rsidR="006D0AC3" w:rsidRPr="00D23BEF">
          <w:rPr>
            <w:rStyle w:val="Hyperlnk"/>
          </w:rPr>
          <w:t>Effektivisering frigör viktiga resurser</w:t>
        </w:r>
        <w:r w:rsidR="006D0AC3" w:rsidRPr="00D23BEF">
          <w:rPr>
            <w:webHidden/>
          </w:rPr>
          <w:tab/>
        </w:r>
        <w:r w:rsidRPr="00D23BEF">
          <w:rPr>
            <w:webHidden/>
          </w:rPr>
          <w:fldChar w:fldCharType="begin" w:fldLock="1"/>
        </w:r>
        <w:r w:rsidR="006D0AC3" w:rsidRPr="00D23BEF">
          <w:rPr>
            <w:webHidden/>
          </w:rPr>
          <w:instrText xml:space="preserve"> PAGEREF _Toc153162063 \h </w:instrText>
        </w:r>
        <w:r w:rsidRPr="00D23BEF">
          <w:rPr>
            <w:webHidden/>
          </w:rPr>
          <w:fldChar w:fldCharType="separate"/>
        </w:r>
        <w:r w:rsidR="00EB1AE8" w:rsidRPr="00D23BEF">
          <w:rPr>
            <w:webHidden/>
          </w:rPr>
          <w:t>5</w:t>
        </w:r>
        <w:r w:rsidRPr="00D23BEF">
          <w:rPr>
            <w:webHidden/>
          </w:rPr>
          <w:fldChar w:fldCharType="end"/>
        </w:r>
      </w:hyperlink>
    </w:p>
    <w:p w:rsidR="006D0AC3" w:rsidRPr="00D23BEF" w:rsidRDefault="00A13B94">
      <w:pPr>
        <w:pStyle w:val="Innehll3"/>
        <w:shd w:val="clear" w:color="000000" w:fill="auto"/>
        <w:rPr>
          <w:szCs w:val="24"/>
        </w:rPr>
      </w:pPr>
      <w:hyperlink w:anchor="_Toc153162064" w:history="1">
        <w:r w:rsidR="006D0AC3" w:rsidRPr="00D23BEF">
          <w:rPr>
            <w:rStyle w:val="Hyperlnk"/>
          </w:rPr>
          <w:t>Ett polisväsende fritt från diskriminering</w:t>
        </w:r>
        <w:r w:rsidR="006D0AC3" w:rsidRPr="00D23BEF">
          <w:rPr>
            <w:webHidden/>
          </w:rPr>
          <w:tab/>
        </w:r>
        <w:r w:rsidRPr="00D23BEF">
          <w:rPr>
            <w:webHidden/>
          </w:rPr>
          <w:fldChar w:fldCharType="begin" w:fldLock="1"/>
        </w:r>
        <w:r w:rsidR="006D0AC3" w:rsidRPr="00D23BEF">
          <w:rPr>
            <w:webHidden/>
          </w:rPr>
          <w:instrText xml:space="preserve"> PAGEREF _Toc153162064 \h </w:instrText>
        </w:r>
        <w:r w:rsidRPr="00D23BEF">
          <w:rPr>
            <w:webHidden/>
          </w:rPr>
          <w:fldChar w:fldCharType="separate"/>
        </w:r>
        <w:r w:rsidR="00EB1AE8" w:rsidRPr="00D23BEF">
          <w:rPr>
            <w:webHidden/>
          </w:rPr>
          <w:t>6</w:t>
        </w:r>
        <w:r w:rsidRPr="00D23BEF">
          <w:rPr>
            <w:webHidden/>
          </w:rPr>
          <w:fldChar w:fldCharType="end"/>
        </w:r>
      </w:hyperlink>
    </w:p>
    <w:p w:rsidR="006D0AC3" w:rsidRPr="00D23BEF" w:rsidRDefault="00A13B94">
      <w:pPr>
        <w:pStyle w:val="Innehll3"/>
        <w:shd w:val="clear" w:color="000000" w:fill="auto"/>
        <w:rPr>
          <w:szCs w:val="24"/>
        </w:rPr>
      </w:pPr>
      <w:hyperlink w:anchor="_Toc153162065" w:history="1">
        <w:r w:rsidR="006D0AC3" w:rsidRPr="00D23BEF">
          <w:rPr>
            <w:rStyle w:val="Hyperlnk"/>
          </w:rPr>
          <w:t>En smartare polis</w:t>
        </w:r>
        <w:r w:rsidR="006D0AC3" w:rsidRPr="00D23BEF">
          <w:rPr>
            <w:webHidden/>
          </w:rPr>
          <w:tab/>
        </w:r>
        <w:r w:rsidRPr="00D23BEF">
          <w:rPr>
            <w:webHidden/>
          </w:rPr>
          <w:fldChar w:fldCharType="begin" w:fldLock="1"/>
        </w:r>
        <w:r w:rsidR="006D0AC3" w:rsidRPr="00D23BEF">
          <w:rPr>
            <w:webHidden/>
          </w:rPr>
          <w:instrText xml:space="preserve"> PAGEREF _Toc153162065 \h </w:instrText>
        </w:r>
        <w:r w:rsidRPr="00D23BEF">
          <w:rPr>
            <w:webHidden/>
          </w:rPr>
          <w:fldChar w:fldCharType="separate"/>
        </w:r>
        <w:r w:rsidR="00EB1AE8" w:rsidRPr="00D23BEF">
          <w:rPr>
            <w:webHidden/>
          </w:rPr>
          <w:t>7</w:t>
        </w:r>
        <w:r w:rsidRPr="00D23BEF">
          <w:rPr>
            <w:webHidden/>
          </w:rPr>
          <w:fldChar w:fldCharType="end"/>
        </w:r>
      </w:hyperlink>
    </w:p>
    <w:p w:rsidR="006D0AC3" w:rsidRPr="00D23BEF" w:rsidRDefault="00A13B94">
      <w:pPr>
        <w:pStyle w:val="Innehll3"/>
        <w:shd w:val="clear" w:color="000000" w:fill="auto"/>
        <w:rPr>
          <w:szCs w:val="24"/>
        </w:rPr>
      </w:pPr>
      <w:hyperlink w:anchor="_Toc153162066" w:history="1">
        <w:r w:rsidR="006D0AC3" w:rsidRPr="00D23BEF">
          <w:rPr>
            <w:rStyle w:val="Hyperlnk"/>
          </w:rPr>
          <w:t>Sammanfattande förslag</w:t>
        </w:r>
        <w:r w:rsidR="006D0AC3" w:rsidRPr="00D23BEF">
          <w:rPr>
            <w:webHidden/>
          </w:rPr>
          <w:tab/>
        </w:r>
        <w:r w:rsidRPr="00D23BEF">
          <w:rPr>
            <w:webHidden/>
          </w:rPr>
          <w:fldChar w:fldCharType="begin" w:fldLock="1"/>
        </w:r>
        <w:r w:rsidR="006D0AC3" w:rsidRPr="00D23BEF">
          <w:rPr>
            <w:webHidden/>
          </w:rPr>
          <w:instrText xml:space="preserve"> PAGEREF _Toc153162066 \h </w:instrText>
        </w:r>
        <w:r w:rsidRPr="00D23BEF">
          <w:rPr>
            <w:webHidden/>
          </w:rPr>
          <w:fldChar w:fldCharType="separate"/>
        </w:r>
        <w:r w:rsidR="00EB1AE8" w:rsidRPr="00D23BEF">
          <w:rPr>
            <w:webHidden/>
          </w:rPr>
          <w:t>7</w:t>
        </w:r>
        <w:r w:rsidRPr="00D23BEF">
          <w:rPr>
            <w:webHidden/>
          </w:rPr>
          <w:fldChar w:fldCharType="end"/>
        </w:r>
      </w:hyperlink>
    </w:p>
    <w:p w:rsidR="006D0AC3" w:rsidRPr="00D23BEF" w:rsidRDefault="00A13B94">
      <w:pPr>
        <w:pStyle w:val="Innehll2"/>
        <w:shd w:val="clear" w:color="000000" w:fill="auto"/>
        <w:rPr>
          <w:szCs w:val="24"/>
        </w:rPr>
      </w:pPr>
      <w:hyperlink w:anchor="_Toc153162067" w:history="1">
        <w:r w:rsidR="006D0AC3" w:rsidRPr="00D23BEF">
          <w:rPr>
            <w:rStyle w:val="Hyperlnk"/>
          </w:rPr>
          <w:t>Säkerhetspolisen</w:t>
        </w:r>
        <w:r w:rsidR="006D0AC3" w:rsidRPr="00D23BEF">
          <w:rPr>
            <w:webHidden/>
          </w:rPr>
          <w:tab/>
        </w:r>
        <w:r w:rsidRPr="00D23BEF">
          <w:rPr>
            <w:webHidden/>
          </w:rPr>
          <w:fldChar w:fldCharType="begin" w:fldLock="1"/>
        </w:r>
        <w:r w:rsidR="006D0AC3" w:rsidRPr="00D23BEF">
          <w:rPr>
            <w:webHidden/>
          </w:rPr>
          <w:instrText xml:space="preserve"> PAGEREF _Toc153162067 \h </w:instrText>
        </w:r>
        <w:r w:rsidRPr="00D23BEF">
          <w:rPr>
            <w:webHidden/>
          </w:rPr>
          <w:fldChar w:fldCharType="separate"/>
        </w:r>
        <w:r w:rsidR="00EB1AE8" w:rsidRPr="00D23BEF">
          <w:rPr>
            <w:webHidden/>
          </w:rPr>
          <w:t>7</w:t>
        </w:r>
        <w:r w:rsidRPr="00D23BEF">
          <w:rPr>
            <w:webHidden/>
          </w:rPr>
          <w:fldChar w:fldCharType="end"/>
        </w:r>
      </w:hyperlink>
    </w:p>
    <w:p w:rsidR="006D0AC3" w:rsidRPr="00D23BEF" w:rsidRDefault="00A13B94">
      <w:pPr>
        <w:pStyle w:val="Innehll2"/>
        <w:shd w:val="clear" w:color="000000" w:fill="auto"/>
        <w:rPr>
          <w:szCs w:val="24"/>
        </w:rPr>
      </w:pPr>
      <w:hyperlink w:anchor="_Toc153162068" w:history="1">
        <w:r w:rsidR="006D0AC3" w:rsidRPr="00D23BEF">
          <w:rPr>
            <w:rStyle w:val="Hyperlnk"/>
          </w:rPr>
          <w:t>Åklagarmyndigheten</w:t>
        </w:r>
        <w:r w:rsidR="006D0AC3" w:rsidRPr="00D23BEF">
          <w:rPr>
            <w:webHidden/>
          </w:rPr>
          <w:tab/>
        </w:r>
        <w:r w:rsidRPr="00D23BEF">
          <w:rPr>
            <w:webHidden/>
          </w:rPr>
          <w:fldChar w:fldCharType="begin" w:fldLock="1"/>
        </w:r>
        <w:r w:rsidR="006D0AC3" w:rsidRPr="00D23BEF">
          <w:rPr>
            <w:webHidden/>
          </w:rPr>
          <w:instrText xml:space="preserve"> PAGEREF _Toc153162068 \h </w:instrText>
        </w:r>
        <w:r w:rsidRPr="00D23BEF">
          <w:rPr>
            <w:webHidden/>
          </w:rPr>
          <w:fldChar w:fldCharType="separate"/>
        </w:r>
        <w:r w:rsidR="00EB1AE8" w:rsidRPr="00D23BEF">
          <w:rPr>
            <w:webHidden/>
          </w:rPr>
          <w:t>8</w:t>
        </w:r>
        <w:r w:rsidRPr="00D23BEF">
          <w:rPr>
            <w:webHidden/>
          </w:rPr>
          <w:fldChar w:fldCharType="end"/>
        </w:r>
      </w:hyperlink>
    </w:p>
    <w:p w:rsidR="006D0AC3" w:rsidRPr="00D23BEF" w:rsidRDefault="00A13B94">
      <w:pPr>
        <w:pStyle w:val="Innehll2"/>
        <w:shd w:val="clear" w:color="000000" w:fill="auto"/>
        <w:rPr>
          <w:szCs w:val="24"/>
        </w:rPr>
      </w:pPr>
      <w:hyperlink w:anchor="_Toc153162069" w:history="1">
        <w:r w:rsidR="006D0AC3" w:rsidRPr="00D23BEF">
          <w:rPr>
            <w:rStyle w:val="Hyperlnk"/>
          </w:rPr>
          <w:t>Sveriges domstolar</w:t>
        </w:r>
        <w:r w:rsidR="006D0AC3" w:rsidRPr="00D23BEF">
          <w:rPr>
            <w:webHidden/>
          </w:rPr>
          <w:tab/>
        </w:r>
        <w:r w:rsidRPr="00D23BEF">
          <w:rPr>
            <w:webHidden/>
          </w:rPr>
          <w:fldChar w:fldCharType="begin" w:fldLock="1"/>
        </w:r>
        <w:r w:rsidR="006D0AC3" w:rsidRPr="00D23BEF">
          <w:rPr>
            <w:webHidden/>
          </w:rPr>
          <w:instrText xml:space="preserve"> PAGEREF _Toc153162069 \h </w:instrText>
        </w:r>
        <w:r w:rsidRPr="00D23BEF">
          <w:rPr>
            <w:webHidden/>
          </w:rPr>
          <w:fldChar w:fldCharType="separate"/>
        </w:r>
        <w:r w:rsidR="00EB1AE8" w:rsidRPr="00D23BEF">
          <w:rPr>
            <w:webHidden/>
          </w:rPr>
          <w:t>9</w:t>
        </w:r>
        <w:r w:rsidRPr="00D23BEF">
          <w:rPr>
            <w:webHidden/>
          </w:rPr>
          <w:fldChar w:fldCharType="end"/>
        </w:r>
      </w:hyperlink>
    </w:p>
    <w:p w:rsidR="006D0AC3" w:rsidRPr="00D23BEF" w:rsidRDefault="00A13B94">
      <w:pPr>
        <w:pStyle w:val="Innehll3"/>
        <w:shd w:val="clear" w:color="000000" w:fill="auto"/>
        <w:rPr>
          <w:szCs w:val="24"/>
        </w:rPr>
      </w:pPr>
      <w:hyperlink w:anchor="_Toc153162070" w:history="1">
        <w:r w:rsidR="006D0AC3" w:rsidRPr="00D23BEF">
          <w:rPr>
            <w:rStyle w:val="Hyperlnk"/>
          </w:rPr>
          <w:t>Satsning för ökad förmåga att bekämpa diskriminering, hatbrott och ett förbättrat jämställdhetsarbete</w:t>
        </w:r>
        <w:r w:rsidR="006D0AC3" w:rsidRPr="00D23BEF">
          <w:rPr>
            <w:webHidden/>
          </w:rPr>
          <w:tab/>
        </w:r>
        <w:r w:rsidRPr="00D23BEF">
          <w:rPr>
            <w:webHidden/>
          </w:rPr>
          <w:fldChar w:fldCharType="begin" w:fldLock="1"/>
        </w:r>
        <w:r w:rsidR="006D0AC3" w:rsidRPr="00D23BEF">
          <w:rPr>
            <w:webHidden/>
          </w:rPr>
          <w:instrText xml:space="preserve"> PAGEREF _Toc153162070 \h </w:instrText>
        </w:r>
        <w:r w:rsidRPr="00D23BEF">
          <w:rPr>
            <w:webHidden/>
          </w:rPr>
          <w:fldChar w:fldCharType="separate"/>
        </w:r>
        <w:r w:rsidR="00EB1AE8" w:rsidRPr="00D23BEF">
          <w:rPr>
            <w:webHidden/>
          </w:rPr>
          <w:t>10</w:t>
        </w:r>
        <w:r w:rsidRPr="00D23BEF">
          <w:rPr>
            <w:webHidden/>
          </w:rPr>
          <w:fldChar w:fldCharType="end"/>
        </w:r>
      </w:hyperlink>
    </w:p>
    <w:p w:rsidR="006D0AC3" w:rsidRPr="00D23BEF" w:rsidRDefault="00A13B94">
      <w:pPr>
        <w:pStyle w:val="Innehll3"/>
        <w:shd w:val="clear" w:color="000000" w:fill="auto"/>
        <w:rPr>
          <w:szCs w:val="24"/>
        </w:rPr>
      </w:pPr>
      <w:hyperlink w:anchor="_Toc153162071" w:history="1">
        <w:r w:rsidR="006D0AC3" w:rsidRPr="00D23BEF">
          <w:rPr>
            <w:rStyle w:val="Hyperlnk"/>
          </w:rPr>
          <w:t>Ett tillgänglighetsanpassat domstolsväsende</w:t>
        </w:r>
        <w:r w:rsidR="006D0AC3" w:rsidRPr="00D23BEF">
          <w:rPr>
            <w:webHidden/>
          </w:rPr>
          <w:tab/>
        </w:r>
        <w:r w:rsidRPr="00D23BEF">
          <w:rPr>
            <w:webHidden/>
          </w:rPr>
          <w:fldChar w:fldCharType="begin" w:fldLock="1"/>
        </w:r>
        <w:r w:rsidR="006D0AC3" w:rsidRPr="00D23BEF">
          <w:rPr>
            <w:webHidden/>
          </w:rPr>
          <w:instrText xml:space="preserve"> PAGEREF _Toc153162071 \h </w:instrText>
        </w:r>
        <w:r w:rsidRPr="00D23BEF">
          <w:rPr>
            <w:webHidden/>
          </w:rPr>
          <w:fldChar w:fldCharType="separate"/>
        </w:r>
        <w:r w:rsidR="00EB1AE8" w:rsidRPr="00D23BEF">
          <w:rPr>
            <w:webHidden/>
          </w:rPr>
          <w:t>10</w:t>
        </w:r>
        <w:r w:rsidRPr="00D23BEF">
          <w:rPr>
            <w:webHidden/>
          </w:rPr>
          <w:fldChar w:fldCharType="end"/>
        </w:r>
      </w:hyperlink>
    </w:p>
    <w:p w:rsidR="006D0AC3" w:rsidRPr="00D23BEF" w:rsidRDefault="00A13B94">
      <w:pPr>
        <w:pStyle w:val="Innehll3"/>
        <w:shd w:val="clear" w:color="000000" w:fill="auto"/>
        <w:rPr>
          <w:szCs w:val="24"/>
        </w:rPr>
      </w:pPr>
      <w:hyperlink w:anchor="_Toc153162072" w:history="1">
        <w:r w:rsidR="006D0AC3" w:rsidRPr="00D23BEF">
          <w:rPr>
            <w:rStyle w:val="Hyperlnk"/>
          </w:rPr>
          <w:t>De allmänna domstolarna skall lösa alla diskrimineringstvister</w:t>
        </w:r>
        <w:r w:rsidR="006D0AC3" w:rsidRPr="00D23BEF">
          <w:rPr>
            <w:webHidden/>
          </w:rPr>
          <w:tab/>
        </w:r>
        <w:r w:rsidRPr="00D23BEF">
          <w:rPr>
            <w:webHidden/>
          </w:rPr>
          <w:fldChar w:fldCharType="begin" w:fldLock="1"/>
        </w:r>
        <w:r w:rsidR="006D0AC3" w:rsidRPr="00D23BEF">
          <w:rPr>
            <w:webHidden/>
          </w:rPr>
          <w:instrText xml:space="preserve"> PAGEREF _Toc153162072 \h </w:instrText>
        </w:r>
        <w:r w:rsidRPr="00D23BEF">
          <w:rPr>
            <w:webHidden/>
          </w:rPr>
          <w:fldChar w:fldCharType="separate"/>
        </w:r>
        <w:r w:rsidR="00EB1AE8" w:rsidRPr="00D23BEF">
          <w:rPr>
            <w:webHidden/>
          </w:rPr>
          <w:t>11</w:t>
        </w:r>
        <w:r w:rsidRPr="00D23BEF">
          <w:rPr>
            <w:webHidden/>
          </w:rPr>
          <w:fldChar w:fldCharType="end"/>
        </w:r>
      </w:hyperlink>
    </w:p>
    <w:p w:rsidR="006D0AC3" w:rsidRPr="00D23BEF" w:rsidRDefault="00A13B94">
      <w:pPr>
        <w:pStyle w:val="Innehll2"/>
        <w:shd w:val="clear" w:color="000000" w:fill="auto"/>
        <w:rPr>
          <w:szCs w:val="24"/>
        </w:rPr>
      </w:pPr>
      <w:hyperlink w:anchor="_Toc153162073" w:history="1">
        <w:r w:rsidR="006D0AC3" w:rsidRPr="00D23BEF">
          <w:rPr>
            <w:rStyle w:val="Hyperlnk"/>
          </w:rPr>
          <w:t>Kriminalvården</w:t>
        </w:r>
        <w:r w:rsidR="006D0AC3" w:rsidRPr="00D23BEF">
          <w:rPr>
            <w:webHidden/>
          </w:rPr>
          <w:tab/>
        </w:r>
        <w:r w:rsidRPr="00D23BEF">
          <w:rPr>
            <w:webHidden/>
          </w:rPr>
          <w:fldChar w:fldCharType="begin" w:fldLock="1"/>
        </w:r>
        <w:r w:rsidR="006D0AC3" w:rsidRPr="00D23BEF">
          <w:rPr>
            <w:webHidden/>
          </w:rPr>
          <w:instrText xml:space="preserve"> PAGEREF _Toc153162073 \h </w:instrText>
        </w:r>
        <w:r w:rsidRPr="00D23BEF">
          <w:rPr>
            <w:webHidden/>
          </w:rPr>
          <w:fldChar w:fldCharType="separate"/>
        </w:r>
        <w:r w:rsidR="00EB1AE8" w:rsidRPr="00D23BEF">
          <w:rPr>
            <w:webHidden/>
          </w:rPr>
          <w:t>11</w:t>
        </w:r>
        <w:r w:rsidRPr="00D23BEF">
          <w:rPr>
            <w:webHidden/>
          </w:rPr>
          <w:fldChar w:fldCharType="end"/>
        </w:r>
      </w:hyperlink>
    </w:p>
    <w:p w:rsidR="006D0AC3" w:rsidRPr="00D23BEF" w:rsidRDefault="00A13B94">
      <w:pPr>
        <w:pStyle w:val="Innehll3"/>
        <w:shd w:val="clear" w:color="000000" w:fill="auto"/>
        <w:rPr>
          <w:szCs w:val="24"/>
        </w:rPr>
      </w:pPr>
      <w:hyperlink w:anchor="_Toc153162074" w:history="1">
        <w:r w:rsidR="006D0AC3" w:rsidRPr="00D23BEF">
          <w:rPr>
            <w:rStyle w:val="Hyperlnk"/>
          </w:rPr>
          <w:t>Vård och behandling för de som dömts för våld eller hot mot nära anhörig</w:t>
        </w:r>
        <w:r w:rsidR="006D0AC3" w:rsidRPr="00D23BEF">
          <w:rPr>
            <w:webHidden/>
          </w:rPr>
          <w:tab/>
        </w:r>
        <w:r w:rsidRPr="00D23BEF">
          <w:rPr>
            <w:webHidden/>
          </w:rPr>
          <w:fldChar w:fldCharType="begin" w:fldLock="1"/>
        </w:r>
        <w:r w:rsidR="006D0AC3" w:rsidRPr="00D23BEF">
          <w:rPr>
            <w:webHidden/>
          </w:rPr>
          <w:instrText xml:space="preserve"> PAGEREF _Toc153162074 \h </w:instrText>
        </w:r>
        <w:r w:rsidRPr="00D23BEF">
          <w:rPr>
            <w:webHidden/>
          </w:rPr>
          <w:fldChar w:fldCharType="separate"/>
        </w:r>
        <w:r w:rsidR="00EB1AE8" w:rsidRPr="00D23BEF">
          <w:rPr>
            <w:webHidden/>
          </w:rPr>
          <w:t>12</w:t>
        </w:r>
        <w:r w:rsidRPr="00D23BEF">
          <w:rPr>
            <w:webHidden/>
          </w:rPr>
          <w:fldChar w:fldCharType="end"/>
        </w:r>
      </w:hyperlink>
    </w:p>
    <w:p w:rsidR="006D0AC3" w:rsidRPr="00D23BEF" w:rsidRDefault="00A13B94">
      <w:pPr>
        <w:pStyle w:val="Innehll3"/>
        <w:shd w:val="clear" w:color="000000" w:fill="auto"/>
        <w:rPr>
          <w:szCs w:val="24"/>
        </w:rPr>
      </w:pPr>
      <w:hyperlink w:anchor="_Toc153162075" w:history="1">
        <w:r w:rsidR="006D0AC3" w:rsidRPr="00D23BEF">
          <w:rPr>
            <w:rStyle w:val="Hyperlnk"/>
          </w:rPr>
          <w:t>Vård av dömda för sexualbrott</w:t>
        </w:r>
        <w:r w:rsidR="006D0AC3" w:rsidRPr="00D23BEF">
          <w:rPr>
            <w:webHidden/>
          </w:rPr>
          <w:tab/>
        </w:r>
        <w:r w:rsidRPr="00D23BEF">
          <w:rPr>
            <w:webHidden/>
          </w:rPr>
          <w:fldChar w:fldCharType="begin" w:fldLock="1"/>
        </w:r>
        <w:r w:rsidR="006D0AC3" w:rsidRPr="00D23BEF">
          <w:rPr>
            <w:webHidden/>
          </w:rPr>
          <w:instrText xml:space="preserve"> PAGEREF _Toc153162075 \h </w:instrText>
        </w:r>
        <w:r w:rsidRPr="00D23BEF">
          <w:rPr>
            <w:webHidden/>
          </w:rPr>
          <w:fldChar w:fldCharType="separate"/>
        </w:r>
        <w:r w:rsidR="00EB1AE8" w:rsidRPr="00D23BEF">
          <w:rPr>
            <w:webHidden/>
          </w:rPr>
          <w:t>12</w:t>
        </w:r>
        <w:r w:rsidRPr="00D23BEF">
          <w:rPr>
            <w:webHidden/>
          </w:rPr>
          <w:fldChar w:fldCharType="end"/>
        </w:r>
      </w:hyperlink>
    </w:p>
    <w:p w:rsidR="006D0AC3" w:rsidRPr="00D23BEF" w:rsidRDefault="00A13B94">
      <w:pPr>
        <w:pStyle w:val="Innehll2"/>
        <w:shd w:val="clear" w:color="000000" w:fill="auto"/>
        <w:rPr>
          <w:szCs w:val="24"/>
        </w:rPr>
      </w:pPr>
      <w:hyperlink w:anchor="_Toc153162076" w:history="1">
        <w:r w:rsidR="006D0AC3" w:rsidRPr="00D23BEF">
          <w:rPr>
            <w:rStyle w:val="Hyperlnk"/>
          </w:rPr>
          <w:t>Brottsförebyggande rådet (Brå)</w:t>
        </w:r>
        <w:r w:rsidR="006D0AC3" w:rsidRPr="00D23BEF">
          <w:rPr>
            <w:webHidden/>
          </w:rPr>
          <w:tab/>
        </w:r>
        <w:r w:rsidRPr="00D23BEF">
          <w:rPr>
            <w:webHidden/>
          </w:rPr>
          <w:fldChar w:fldCharType="begin" w:fldLock="1"/>
        </w:r>
        <w:r w:rsidR="006D0AC3" w:rsidRPr="00D23BEF">
          <w:rPr>
            <w:webHidden/>
          </w:rPr>
          <w:instrText xml:space="preserve"> PAGEREF _Toc153162076 \h </w:instrText>
        </w:r>
        <w:r w:rsidRPr="00D23BEF">
          <w:rPr>
            <w:webHidden/>
          </w:rPr>
          <w:fldChar w:fldCharType="separate"/>
        </w:r>
        <w:r w:rsidR="00EB1AE8" w:rsidRPr="00D23BEF">
          <w:rPr>
            <w:webHidden/>
          </w:rPr>
          <w:t>13</w:t>
        </w:r>
        <w:r w:rsidRPr="00D23BEF">
          <w:rPr>
            <w:webHidden/>
          </w:rPr>
          <w:fldChar w:fldCharType="end"/>
        </w:r>
      </w:hyperlink>
    </w:p>
    <w:p w:rsidR="006D0AC3" w:rsidRPr="00D23BEF" w:rsidRDefault="00A13B94">
      <w:pPr>
        <w:pStyle w:val="Innehll2"/>
        <w:shd w:val="clear" w:color="000000" w:fill="auto"/>
        <w:rPr>
          <w:szCs w:val="24"/>
        </w:rPr>
      </w:pPr>
      <w:hyperlink w:anchor="_Toc153162077" w:history="1">
        <w:r w:rsidR="006D0AC3" w:rsidRPr="00D23BEF">
          <w:rPr>
            <w:rStyle w:val="Hyperlnk"/>
          </w:rPr>
          <w:t>Rättsliga biträden</w:t>
        </w:r>
        <w:r w:rsidR="006D0AC3" w:rsidRPr="00D23BEF">
          <w:rPr>
            <w:webHidden/>
          </w:rPr>
          <w:tab/>
        </w:r>
        <w:r w:rsidRPr="00D23BEF">
          <w:rPr>
            <w:webHidden/>
          </w:rPr>
          <w:fldChar w:fldCharType="begin" w:fldLock="1"/>
        </w:r>
        <w:r w:rsidR="006D0AC3" w:rsidRPr="00D23BEF">
          <w:rPr>
            <w:webHidden/>
          </w:rPr>
          <w:instrText xml:space="preserve"> PAGEREF _Toc153162077 \h </w:instrText>
        </w:r>
        <w:r w:rsidRPr="00D23BEF">
          <w:rPr>
            <w:webHidden/>
          </w:rPr>
          <w:fldChar w:fldCharType="separate"/>
        </w:r>
        <w:r w:rsidR="00EB1AE8" w:rsidRPr="00D23BEF">
          <w:rPr>
            <w:webHidden/>
          </w:rPr>
          <w:t>13</w:t>
        </w:r>
        <w:r w:rsidRPr="00D23BEF">
          <w:rPr>
            <w:webHidden/>
          </w:rPr>
          <w:fldChar w:fldCharType="end"/>
        </w:r>
      </w:hyperlink>
    </w:p>
    <w:p w:rsidR="00A13B94" w:rsidRPr="00D23BEF" w:rsidRDefault="00A13B94">
      <w:r w:rsidRPr="00D23BEF">
        <w:fldChar w:fldCharType="end"/>
      </w:r>
      <w:bookmarkStart w:id="1" w:name="_Toc153162059"/>
    </w:p>
    <w:p w:rsidR="00DD0113" w:rsidRPr="00D23BEF" w:rsidRDefault="00DD0113">
      <w:pPr>
        <w:pStyle w:val="RubrikSammanf"/>
        <w:pageBreakBefore/>
        <w:shd w:val="clear" w:color="000000" w:fill="auto"/>
        <w:spacing w:before="0"/>
      </w:pPr>
      <w:r w:rsidRPr="00D23BEF">
        <w:lastRenderedPageBreak/>
        <w:t>Sammanfattning</w:t>
      </w:r>
      <w:bookmarkEnd w:id="1"/>
      <w:r w:rsidRPr="00D23BEF">
        <w:t xml:space="preserve"> </w:t>
      </w:r>
    </w:p>
    <w:p w:rsidR="00DD0113" w:rsidRPr="00D23BEF" w:rsidRDefault="00DD0113">
      <w:pPr>
        <w:shd w:val="clear" w:color="000000" w:fill="auto"/>
      </w:pPr>
      <w:r w:rsidRPr="00D23BEF">
        <w:t>Rättsväsendets myndigheter utgör ett av fundamenten för vår stat. Utan fu</w:t>
      </w:r>
      <w:r w:rsidRPr="00D23BEF">
        <w:t>n</w:t>
      </w:r>
      <w:r w:rsidRPr="00D23BEF">
        <w:t xml:space="preserve">gerande polis, åklagare, domstolar och kriminalvård finns ingen rättsäkerhet, trygghet eller ordning, ända till dess vi når ett samhälle utan konflikter och brottslighet. </w:t>
      </w:r>
      <w:r w:rsidR="000D069F" w:rsidRPr="00D23BEF">
        <w:t>Vägen dit är lång</w:t>
      </w:r>
      <w:r w:rsidRPr="00D23BEF">
        <w:t>. För att rättsväsendet skall kunna möta såväl enskilda personers som företags och det allmännas behov, förutsätts att det finns tillräckliga resurser, kompetent personal och ett förtroende för rätts</w:t>
      </w:r>
      <w:r w:rsidR="009C4918" w:rsidRPr="00D23BEF">
        <w:softHyphen/>
      </w:r>
      <w:r w:rsidRPr="00D23BEF">
        <w:t>väsendets myndigheter hos allmänheten. I denna motion presenteras ett antal åtgärder som kan vidtas för att rättsväsendet bättre skall kunna möta såväl enskildas som företags och det allmännas behov och för att skapa ett långsi</w:t>
      </w:r>
      <w:r w:rsidRPr="00D23BEF">
        <w:t>k</w:t>
      </w:r>
      <w:r w:rsidRPr="00D23BEF">
        <w:t xml:space="preserve">tigt mer hållbart samhälle. </w:t>
      </w:r>
    </w:p>
    <w:p w:rsidR="00CE31B1" w:rsidRPr="00D23BEF" w:rsidRDefault="00CE31B1">
      <w:pPr>
        <w:pStyle w:val="Normaltindrag"/>
        <w:shd w:val="clear" w:color="000000" w:fill="auto"/>
      </w:pPr>
      <w:r w:rsidRPr="00D23BEF">
        <w:t>Miljöpartiet föreslår effektiviseringar inom polisväsendet som medför att nästan 500 årsarbetskrafter tillkommer och resurstillsk</w:t>
      </w:r>
      <w:r w:rsidR="005D2577" w:rsidRPr="00D23BEF">
        <w:t>ott till Å</w:t>
      </w:r>
      <w:r w:rsidR="00A4573C" w:rsidRPr="00D23BEF">
        <w:t>klagarmyndi</w:t>
      </w:r>
      <w:r w:rsidR="00A4573C" w:rsidRPr="00D23BEF">
        <w:t>g</w:t>
      </w:r>
      <w:r w:rsidR="00A4573C" w:rsidRPr="00D23BEF">
        <w:t xml:space="preserve">heten </w:t>
      </w:r>
      <w:r w:rsidRPr="00D23BEF">
        <w:t>f</w:t>
      </w:r>
      <w:r w:rsidRPr="00D23BEF">
        <w:rPr>
          <w:spacing w:val="-2"/>
        </w:rPr>
        <w:t>ör strategisk kompetensförstärkning rörande miljöbrott, hatbrott, sexu</w:t>
      </w:r>
      <w:r w:rsidRPr="00D23BEF">
        <w:t>a</w:t>
      </w:r>
      <w:r w:rsidRPr="00D23BEF">
        <w:t>l</w:t>
      </w:r>
      <w:r w:rsidRPr="00D23BEF">
        <w:t>brott och mäns våld mot kvinnor, inom dessa myndigheter.</w:t>
      </w:r>
      <w:r w:rsidR="00D70709" w:rsidRPr="00D23BEF">
        <w:t xml:space="preserve"> Denna komp</w:t>
      </w:r>
      <w:r w:rsidR="00D70709" w:rsidRPr="00D23BEF">
        <w:t>e</w:t>
      </w:r>
      <w:r w:rsidR="00D70709" w:rsidRPr="00D23BEF">
        <w:t>tensutveckling skall även ske hos domstolarna.</w:t>
      </w:r>
    </w:p>
    <w:p w:rsidR="00CE31B1" w:rsidRPr="00D23BEF" w:rsidRDefault="00CE31B1">
      <w:pPr>
        <w:pStyle w:val="Normaltindrag"/>
        <w:shd w:val="clear" w:color="000000" w:fill="auto"/>
      </w:pPr>
      <w:r w:rsidRPr="00D23BEF">
        <w:t>Antalet domstolar har under senare år minskat drastiskt samtidigt som vi</w:t>
      </w:r>
      <w:r w:rsidRPr="00D23BEF">
        <w:t>k</w:t>
      </w:r>
      <w:r w:rsidRPr="00D23BEF">
        <w:t>tiga strukturella förändringar skett bland dem. Vi vill påskynda utveckling</w:t>
      </w:r>
      <w:r w:rsidRPr="00D23BEF">
        <w:t>s</w:t>
      </w:r>
      <w:r w:rsidRPr="00D23BEF">
        <w:t>arbetet och föreslår att det skapas ett för allmänheten kostnadsfritt tillgängligt rättsinforma</w:t>
      </w:r>
      <w:r w:rsidR="00D70709" w:rsidRPr="00D23BEF">
        <w:t>tions</w:t>
      </w:r>
      <w:r w:rsidR="008B2CAA" w:rsidRPr="00D23BEF">
        <w:softHyphen/>
      </w:r>
      <w:r w:rsidR="00D70709" w:rsidRPr="00D23BEF">
        <w:t>system, där all gällande författning, liksom förarbeten och praxis, återfinns. På så sätt kompenseras i viss mån det minskade antalet do</w:t>
      </w:r>
      <w:r w:rsidR="00D70709" w:rsidRPr="00D23BEF">
        <w:t>m</w:t>
      </w:r>
      <w:r w:rsidR="00D70709" w:rsidRPr="00D23BEF">
        <w:t>stolar. Vi vill förbättra den fysiska tillgängligheten för funktionshindrade. Dessutom överförs till de allmänna domstolarna de mål som nu handläggs av Arbetsdomstolen som rör otillåten diskriminering inom arbetslivet.</w:t>
      </w:r>
    </w:p>
    <w:p w:rsidR="00D70709" w:rsidRPr="00D23BEF" w:rsidRDefault="00D70709">
      <w:pPr>
        <w:pStyle w:val="Normaltindrag"/>
        <w:shd w:val="clear" w:color="000000" w:fill="auto"/>
      </w:pPr>
      <w:r w:rsidRPr="00D23BEF">
        <w:t xml:space="preserve">Miljöpartiet har under den senaste mandatperioden genomfört väsentliga förbättringar och resursförstärkningar av Kriminalvården. Vi går nu vidare och föreslår att medel anslås för att </w:t>
      </w:r>
      <w:r w:rsidR="00EA10E2" w:rsidRPr="00D23BEF">
        <w:t>säkra kompetens hos de anställda inom myndigheten</w:t>
      </w:r>
      <w:r w:rsidRPr="00D23BEF">
        <w:t xml:space="preserve"> och för att kunna ge alla som dömts för sexualbrott samt våld mot nära anhöriga, behövlig vård.</w:t>
      </w:r>
    </w:p>
    <w:p w:rsidR="00D70709" w:rsidRPr="00D23BEF" w:rsidRDefault="00D70709">
      <w:pPr>
        <w:pStyle w:val="Normaltindrag"/>
        <w:shd w:val="clear" w:color="000000" w:fill="auto"/>
      </w:pPr>
      <w:r w:rsidRPr="00D23BEF">
        <w:t>Rättshjälpssystemet har ett g</w:t>
      </w:r>
      <w:r w:rsidRPr="00D23BEF">
        <w:rPr>
          <w:spacing w:val="-2"/>
        </w:rPr>
        <w:t>ott syfte men har kommit att bli alltmer urho</w:t>
      </w:r>
      <w:r w:rsidRPr="00D23BEF">
        <w:rPr>
          <w:spacing w:val="-2"/>
        </w:rPr>
        <w:t>l</w:t>
      </w:r>
      <w:r w:rsidRPr="00D23BEF">
        <w:t>kat. Resurser tillförs därför för att kunna ge såväl småföretagare som enskilda kulturutövare rättshjälp, liksom för att förbättra möjligheten för enskilda att få hjälp. Därigenom ökar tillgången till domstolarna och rätt</w:t>
      </w:r>
      <w:r w:rsidR="00EA10E2" w:rsidRPr="00D23BEF">
        <w:t>s</w:t>
      </w:r>
      <w:r w:rsidRPr="00D23BEF">
        <w:t>skipningen ytterl</w:t>
      </w:r>
      <w:r w:rsidRPr="00D23BEF">
        <w:t>i</w:t>
      </w:r>
      <w:r w:rsidRPr="00D23BEF">
        <w:t>gare.</w:t>
      </w:r>
    </w:p>
    <w:p w:rsidR="008B2CAA" w:rsidRPr="00D23BEF" w:rsidRDefault="008B2CAA">
      <w:pPr>
        <w:pStyle w:val="Hemstlrubrik"/>
        <w:pageBreakBefore/>
        <w:shd w:val="clear" w:color="000000" w:fill="auto"/>
        <w:spacing w:before="0"/>
      </w:pPr>
      <w:bookmarkStart w:id="2" w:name="_Toc153162060"/>
      <w:r w:rsidRPr="00D23BEF">
        <w:t>Förslag till riksdagsbeslut</w:t>
      </w:r>
      <w:bookmarkEnd w:id="2"/>
    </w:p>
    <w:p w:rsidR="00A13B94" w:rsidRPr="00D23BEF" w:rsidRDefault="00A13B94">
      <w:pPr>
        <w:pStyle w:val="Hemstlatt"/>
        <w:numPr>
          <w:ilvl w:val="0"/>
          <w:numId w:val="1"/>
        </w:numPr>
        <w:shd w:val="clear" w:color="000000" w:fill="auto"/>
      </w:pPr>
      <w:r w:rsidRPr="00D23BEF">
        <w:t>Riksdagen anvisar med följande ändringar i förhållande till regeringens förslag anslagen under utgiftsområde 4 Rättsväsendet enligt uppställning:</w:t>
      </w:r>
    </w:p>
    <w:tbl>
      <w:tblPr>
        <w:tblW w:w="5613" w:type="dxa"/>
        <w:tblInd w:w="430" w:type="dxa"/>
        <w:tblCellMar>
          <w:left w:w="70" w:type="dxa"/>
          <w:right w:w="70" w:type="dxa"/>
        </w:tblCellMar>
        <w:tblLook w:val="0000" w:firstRow="0" w:lastRow="0" w:firstColumn="0" w:lastColumn="0" w:noHBand="0" w:noVBand="0"/>
      </w:tblPr>
      <w:tblGrid>
        <w:gridCol w:w="1135"/>
        <w:gridCol w:w="1909"/>
        <w:gridCol w:w="763"/>
        <w:gridCol w:w="903"/>
        <w:gridCol w:w="903"/>
      </w:tblGrid>
      <w:tr w:rsidR="004A09FB" w:rsidRPr="00D23BEF">
        <w:tc>
          <w:tcPr>
            <w:tcW w:w="5613" w:type="dxa"/>
            <w:gridSpan w:val="5"/>
            <w:tcBorders>
              <w:bottom w:val="single" w:sz="4" w:space="0" w:color="auto"/>
            </w:tcBorders>
            <w:noWrap/>
            <w:vAlign w:val="bottom"/>
          </w:tcPr>
          <w:p w:rsidR="00A13B94" w:rsidRPr="00D23BEF" w:rsidRDefault="00A13B94">
            <w:pPr>
              <w:shd w:val="clear" w:color="000000" w:fill="auto"/>
              <w:spacing w:before="60" w:line="200" w:lineRule="exact"/>
              <w:rPr>
                <w:sz w:val="16"/>
                <w:szCs w:val="16"/>
              </w:rPr>
            </w:pPr>
            <w:r w:rsidRPr="00D23BEF">
              <w:rPr>
                <w:sz w:val="16"/>
                <w:szCs w:val="16"/>
              </w:rPr>
              <w:t xml:space="preserve">Miljöpartiets förslag, avvikelse från regeringens förslag, mnkr </w:t>
            </w:r>
          </w:p>
        </w:tc>
      </w:tr>
      <w:tr w:rsidR="004A09FB" w:rsidRPr="00D23BEF">
        <w:tc>
          <w:tcPr>
            <w:tcW w:w="3044" w:type="dxa"/>
            <w:gridSpan w:val="2"/>
            <w:tcBorders>
              <w:top w:val="single" w:sz="4" w:space="0" w:color="auto"/>
            </w:tcBorders>
            <w:noWrap/>
            <w:vAlign w:val="bottom"/>
          </w:tcPr>
          <w:p w:rsidR="00A13B94" w:rsidRPr="00D23BEF" w:rsidRDefault="00A13B94">
            <w:pPr>
              <w:shd w:val="clear" w:color="000000" w:fill="auto"/>
              <w:spacing w:line="200" w:lineRule="exact"/>
              <w:rPr>
                <w:b/>
                <w:sz w:val="16"/>
                <w:szCs w:val="16"/>
              </w:rPr>
            </w:pPr>
            <w:r w:rsidRPr="00D23BEF">
              <w:rPr>
                <w:b/>
                <w:sz w:val="16"/>
                <w:szCs w:val="16"/>
              </w:rPr>
              <w:t>4 Rättsväsendet</w:t>
            </w:r>
          </w:p>
        </w:tc>
        <w:tc>
          <w:tcPr>
            <w:tcW w:w="763" w:type="dxa"/>
            <w:tcBorders>
              <w:top w:val="single" w:sz="4" w:space="0" w:color="auto"/>
            </w:tcBorders>
            <w:noWrap/>
            <w:vAlign w:val="bottom"/>
          </w:tcPr>
          <w:p w:rsidR="00A13B94" w:rsidRPr="00D23BEF" w:rsidRDefault="00A13B94">
            <w:pPr>
              <w:shd w:val="clear" w:color="000000" w:fill="auto"/>
              <w:spacing w:line="200" w:lineRule="exact"/>
              <w:jc w:val="right"/>
              <w:rPr>
                <w:b/>
                <w:sz w:val="16"/>
                <w:szCs w:val="16"/>
              </w:rPr>
            </w:pPr>
            <w:r w:rsidRPr="00D23BEF">
              <w:rPr>
                <w:b/>
                <w:sz w:val="16"/>
                <w:szCs w:val="16"/>
              </w:rPr>
              <w:t>Förslag</w:t>
            </w:r>
          </w:p>
        </w:tc>
        <w:tc>
          <w:tcPr>
            <w:tcW w:w="903" w:type="dxa"/>
            <w:tcBorders>
              <w:top w:val="single" w:sz="4" w:space="0" w:color="auto"/>
            </w:tcBorders>
            <w:noWrap/>
            <w:vAlign w:val="bottom"/>
          </w:tcPr>
          <w:p w:rsidR="00A13B94" w:rsidRPr="00D23BEF" w:rsidRDefault="00A13B94">
            <w:pPr>
              <w:shd w:val="clear" w:color="000000" w:fill="auto"/>
              <w:spacing w:line="200" w:lineRule="exact"/>
              <w:jc w:val="right"/>
              <w:rPr>
                <w:b/>
                <w:sz w:val="16"/>
                <w:szCs w:val="16"/>
              </w:rPr>
            </w:pPr>
            <w:r w:rsidRPr="00D23BEF">
              <w:rPr>
                <w:b/>
                <w:sz w:val="16"/>
                <w:szCs w:val="16"/>
              </w:rPr>
              <w:t>Beräknat</w:t>
            </w:r>
          </w:p>
        </w:tc>
        <w:tc>
          <w:tcPr>
            <w:tcW w:w="903" w:type="dxa"/>
            <w:tcBorders>
              <w:top w:val="single" w:sz="4" w:space="0" w:color="auto"/>
            </w:tcBorders>
            <w:noWrap/>
            <w:vAlign w:val="bottom"/>
          </w:tcPr>
          <w:p w:rsidR="00A13B94" w:rsidRPr="00D23BEF" w:rsidRDefault="00A13B94">
            <w:pPr>
              <w:shd w:val="clear" w:color="000000" w:fill="auto"/>
              <w:spacing w:line="200" w:lineRule="exact"/>
              <w:jc w:val="right"/>
              <w:rPr>
                <w:b/>
                <w:sz w:val="16"/>
                <w:szCs w:val="16"/>
              </w:rPr>
            </w:pPr>
            <w:r w:rsidRPr="00D23BEF">
              <w:rPr>
                <w:b/>
                <w:sz w:val="16"/>
                <w:szCs w:val="16"/>
              </w:rPr>
              <w:t>Beräknat</w:t>
            </w:r>
          </w:p>
        </w:tc>
      </w:tr>
      <w:tr w:rsidR="004A09FB" w:rsidRPr="00D23BEF">
        <w:tc>
          <w:tcPr>
            <w:tcW w:w="1135" w:type="dxa"/>
            <w:tcBorders>
              <w:bottom w:val="single" w:sz="4" w:space="0" w:color="auto"/>
            </w:tcBorders>
            <w:noWrap/>
            <w:vAlign w:val="bottom"/>
          </w:tcPr>
          <w:p w:rsidR="00A13B94" w:rsidRPr="00D23BEF" w:rsidRDefault="00A13B94">
            <w:pPr>
              <w:shd w:val="clear" w:color="000000" w:fill="auto"/>
              <w:spacing w:line="200" w:lineRule="exact"/>
              <w:rPr>
                <w:b/>
                <w:sz w:val="16"/>
                <w:szCs w:val="16"/>
              </w:rPr>
            </w:pPr>
            <w:r w:rsidRPr="00D23BEF">
              <w:rPr>
                <w:b/>
                <w:sz w:val="16"/>
                <w:szCs w:val="16"/>
              </w:rPr>
              <w:t> </w:t>
            </w:r>
          </w:p>
        </w:tc>
        <w:tc>
          <w:tcPr>
            <w:tcW w:w="1909" w:type="dxa"/>
            <w:tcBorders>
              <w:bottom w:val="single" w:sz="4" w:space="0" w:color="auto"/>
            </w:tcBorders>
            <w:noWrap/>
            <w:vAlign w:val="bottom"/>
          </w:tcPr>
          <w:p w:rsidR="00A13B94" w:rsidRPr="00D23BEF" w:rsidRDefault="00A13B94">
            <w:pPr>
              <w:shd w:val="clear" w:color="000000" w:fill="auto"/>
              <w:spacing w:line="200" w:lineRule="exact"/>
              <w:rPr>
                <w:b/>
                <w:sz w:val="16"/>
                <w:szCs w:val="16"/>
              </w:rPr>
            </w:pPr>
            <w:r w:rsidRPr="00D23BEF">
              <w:rPr>
                <w:b/>
                <w:sz w:val="16"/>
                <w:szCs w:val="16"/>
              </w:rPr>
              <w:t> </w:t>
            </w:r>
          </w:p>
        </w:tc>
        <w:tc>
          <w:tcPr>
            <w:tcW w:w="763" w:type="dxa"/>
            <w:tcBorders>
              <w:bottom w:val="single" w:sz="4" w:space="0" w:color="auto"/>
            </w:tcBorders>
            <w:noWrap/>
            <w:vAlign w:val="bottom"/>
          </w:tcPr>
          <w:p w:rsidR="00A13B94" w:rsidRPr="00D23BEF" w:rsidRDefault="00A13B94">
            <w:pPr>
              <w:shd w:val="clear" w:color="000000" w:fill="auto"/>
              <w:spacing w:line="200" w:lineRule="exact"/>
              <w:jc w:val="right"/>
              <w:rPr>
                <w:b/>
                <w:sz w:val="16"/>
                <w:szCs w:val="16"/>
              </w:rPr>
            </w:pPr>
            <w:r w:rsidRPr="00D23BEF">
              <w:rPr>
                <w:b/>
                <w:sz w:val="16"/>
                <w:szCs w:val="16"/>
              </w:rPr>
              <w:t>2007</w:t>
            </w:r>
          </w:p>
        </w:tc>
        <w:tc>
          <w:tcPr>
            <w:tcW w:w="903" w:type="dxa"/>
            <w:tcBorders>
              <w:bottom w:val="single" w:sz="4" w:space="0" w:color="auto"/>
            </w:tcBorders>
            <w:noWrap/>
            <w:vAlign w:val="bottom"/>
          </w:tcPr>
          <w:p w:rsidR="00A13B94" w:rsidRPr="00D23BEF" w:rsidRDefault="00A13B94">
            <w:pPr>
              <w:shd w:val="clear" w:color="000000" w:fill="auto"/>
              <w:spacing w:line="200" w:lineRule="exact"/>
              <w:jc w:val="right"/>
              <w:rPr>
                <w:b/>
                <w:sz w:val="16"/>
                <w:szCs w:val="16"/>
              </w:rPr>
            </w:pPr>
            <w:r w:rsidRPr="00D23BEF">
              <w:rPr>
                <w:b/>
                <w:sz w:val="16"/>
                <w:szCs w:val="16"/>
              </w:rPr>
              <w:t>2008</w:t>
            </w:r>
          </w:p>
        </w:tc>
        <w:tc>
          <w:tcPr>
            <w:tcW w:w="903" w:type="dxa"/>
            <w:tcBorders>
              <w:bottom w:val="single" w:sz="4" w:space="0" w:color="auto"/>
            </w:tcBorders>
            <w:noWrap/>
            <w:vAlign w:val="bottom"/>
          </w:tcPr>
          <w:p w:rsidR="00A13B94" w:rsidRPr="00D23BEF" w:rsidRDefault="00A13B94">
            <w:pPr>
              <w:shd w:val="clear" w:color="000000" w:fill="auto"/>
              <w:spacing w:line="200" w:lineRule="exact"/>
              <w:jc w:val="right"/>
              <w:rPr>
                <w:b/>
                <w:sz w:val="16"/>
                <w:szCs w:val="16"/>
              </w:rPr>
            </w:pPr>
            <w:r w:rsidRPr="00D23BEF">
              <w:rPr>
                <w:b/>
                <w:sz w:val="16"/>
                <w:szCs w:val="16"/>
              </w:rPr>
              <w:t>2009</w:t>
            </w:r>
          </w:p>
        </w:tc>
      </w:tr>
      <w:tr w:rsidR="004A09FB" w:rsidRPr="00D23BEF">
        <w:tc>
          <w:tcPr>
            <w:tcW w:w="1135" w:type="dxa"/>
            <w:noWrap/>
            <w:vAlign w:val="bottom"/>
          </w:tcPr>
          <w:p w:rsidR="00A13B94" w:rsidRPr="00D23BEF" w:rsidRDefault="00A13B94">
            <w:pPr>
              <w:shd w:val="clear" w:color="000000" w:fill="auto"/>
              <w:spacing w:before="62" w:line="200" w:lineRule="exact"/>
              <w:rPr>
                <w:b/>
                <w:bCs/>
                <w:sz w:val="16"/>
                <w:szCs w:val="16"/>
              </w:rPr>
            </w:pPr>
            <w:r w:rsidRPr="00D23BEF">
              <w:rPr>
                <w:b/>
                <w:bCs/>
                <w:sz w:val="16"/>
                <w:szCs w:val="16"/>
              </w:rPr>
              <w:t>Anslag</w:t>
            </w:r>
          </w:p>
        </w:tc>
        <w:tc>
          <w:tcPr>
            <w:tcW w:w="1909" w:type="dxa"/>
            <w:noWrap/>
            <w:vAlign w:val="bottom"/>
          </w:tcPr>
          <w:p w:rsidR="00A13B94" w:rsidRPr="00D23BEF" w:rsidRDefault="00A13B94">
            <w:pPr>
              <w:shd w:val="clear" w:color="000000" w:fill="auto"/>
              <w:spacing w:before="62" w:line="200" w:lineRule="exact"/>
              <w:rPr>
                <w:sz w:val="16"/>
                <w:szCs w:val="16"/>
              </w:rPr>
            </w:pPr>
          </w:p>
        </w:tc>
        <w:tc>
          <w:tcPr>
            <w:tcW w:w="763" w:type="dxa"/>
            <w:noWrap/>
            <w:vAlign w:val="bottom"/>
          </w:tcPr>
          <w:p w:rsidR="00A13B94" w:rsidRPr="00D23BEF" w:rsidRDefault="00A13B94">
            <w:pPr>
              <w:shd w:val="clear" w:color="000000" w:fill="auto"/>
              <w:spacing w:before="62" w:line="200" w:lineRule="exact"/>
              <w:rPr>
                <w:sz w:val="16"/>
                <w:szCs w:val="16"/>
              </w:rPr>
            </w:pPr>
            <w:r w:rsidRPr="00D23BEF">
              <w:rPr>
                <w:sz w:val="16"/>
                <w:szCs w:val="16"/>
              </w:rPr>
              <w:t> </w:t>
            </w:r>
          </w:p>
        </w:tc>
        <w:tc>
          <w:tcPr>
            <w:tcW w:w="903" w:type="dxa"/>
            <w:noWrap/>
            <w:vAlign w:val="bottom"/>
          </w:tcPr>
          <w:p w:rsidR="00A13B94" w:rsidRPr="00D23BEF" w:rsidRDefault="00A13B94">
            <w:pPr>
              <w:shd w:val="clear" w:color="000000" w:fill="auto"/>
              <w:spacing w:before="62" w:line="200" w:lineRule="exact"/>
              <w:rPr>
                <w:sz w:val="16"/>
                <w:szCs w:val="16"/>
              </w:rPr>
            </w:pPr>
          </w:p>
        </w:tc>
        <w:tc>
          <w:tcPr>
            <w:tcW w:w="903" w:type="dxa"/>
            <w:noWrap/>
            <w:vAlign w:val="bottom"/>
          </w:tcPr>
          <w:p w:rsidR="00A13B94" w:rsidRPr="00D23BEF" w:rsidRDefault="00A13B94">
            <w:pPr>
              <w:shd w:val="clear" w:color="000000" w:fill="auto"/>
              <w:spacing w:before="62" w:line="200" w:lineRule="exact"/>
              <w:rPr>
                <w:sz w:val="16"/>
                <w:szCs w:val="16"/>
              </w:rPr>
            </w:pPr>
            <w:r w:rsidRPr="00D23BEF">
              <w:rPr>
                <w:sz w:val="16"/>
                <w:szCs w:val="16"/>
              </w:rPr>
              <w:t> </w:t>
            </w:r>
          </w:p>
        </w:tc>
      </w:tr>
      <w:tr w:rsidR="004A09FB" w:rsidRPr="00D23BEF">
        <w:tc>
          <w:tcPr>
            <w:tcW w:w="1135" w:type="dxa"/>
            <w:noWrap/>
            <w:vAlign w:val="bottom"/>
          </w:tcPr>
          <w:p w:rsidR="00A13B94" w:rsidRPr="00D23BEF" w:rsidRDefault="00A13B94">
            <w:pPr>
              <w:shd w:val="clear" w:color="000000" w:fill="auto"/>
              <w:spacing w:before="62" w:line="200" w:lineRule="exact"/>
              <w:rPr>
                <w:sz w:val="16"/>
                <w:szCs w:val="16"/>
              </w:rPr>
            </w:pPr>
            <w:r w:rsidRPr="00D23BEF">
              <w:rPr>
                <w:sz w:val="16"/>
                <w:szCs w:val="16"/>
              </w:rPr>
              <w:t>04:1</w:t>
            </w:r>
          </w:p>
        </w:tc>
        <w:tc>
          <w:tcPr>
            <w:tcW w:w="1909" w:type="dxa"/>
            <w:noWrap/>
            <w:vAlign w:val="bottom"/>
          </w:tcPr>
          <w:p w:rsidR="00A13B94" w:rsidRPr="00D23BEF" w:rsidRDefault="00A13B94">
            <w:pPr>
              <w:shd w:val="clear" w:color="000000" w:fill="auto"/>
              <w:spacing w:before="62" w:line="200" w:lineRule="exact"/>
              <w:rPr>
                <w:sz w:val="16"/>
                <w:szCs w:val="16"/>
              </w:rPr>
            </w:pPr>
            <w:r w:rsidRPr="00D23BEF">
              <w:rPr>
                <w:sz w:val="16"/>
                <w:szCs w:val="16"/>
              </w:rPr>
              <w:t>Polisorganisationen</w:t>
            </w:r>
          </w:p>
        </w:tc>
        <w:tc>
          <w:tcPr>
            <w:tcW w:w="763" w:type="dxa"/>
            <w:noWrap/>
            <w:vAlign w:val="bottom"/>
          </w:tcPr>
          <w:p w:rsidR="00A13B94" w:rsidRPr="00D23BEF" w:rsidRDefault="00A13B94">
            <w:pPr>
              <w:shd w:val="clear" w:color="000000" w:fill="auto"/>
              <w:spacing w:before="62" w:line="200" w:lineRule="exact"/>
              <w:jc w:val="right"/>
              <w:rPr>
                <w:sz w:val="16"/>
                <w:szCs w:val="16"/>
              </w:rPr>
            </w:pPr>
            <w:r w:rsidRPr="00D23BEF">
              <w:rPr>
                <w:sz w:val="16"/>
                <w:szCs w:val="16"/>
              </w:rPr>
              <w:t>–50</w:t>
            </w:r>
          </w:p>
        </w:tc>
        <w:tc>
          <w:tcPr>
            <w:tcW w:w="903" w:type="dxa"/>
            <w:noWrap/>
            <w:vAlign w:val="bottom"/>
          </w:tcPr>
          <w:p w:rsidR="00A13B94" w:rsidRPr="00D23BEF" w:rsidRDefault="00A13B94">
            <w:pPr>
              <w:shd w:val="clear" w:color="000000" w:fill="auto"/>
              <w:spacing w:before="62" w:line="200" w:lineRule="exact"/>
              <w:jc w:val="right"/>
              <w:rPr>
                <w:sz w:val="16"/>
                <w:szCs w:val="16"/>
              </w:rPr>
            </w:pPr>
            <w:r w:rsidRPr="00D23BEF">
              <w:rPr>
                <w:sz w:val="16"/>
                <w:szCs w:val="16"/>
              </w:rPr>
              <w:t>–545</w:t>
            </w:r>
          </w:p>
        </w:tc>
        <w:tc>
          <w:tcPr>
            <w:tcW w:w="903" w:type="dxa"/>
            <w:noWrap/>
            <w:vAlign w:val="bottom"/>
          </w:tcPr>
          <w:p w:rsidR="00A13B94" w:rsidRPr="00D23BEF" w:rsidRDefault="00A13B94">
            <w:pPr>
              <w:shd w:val="clear" w:color="000000" w:fill="auto"/>
              <w:spacing w:before="62" w:line="200" w:lineRule="exact"/>
              <w:jc w:val="right"/>
              <w:rPr>
                <w:sz w:val="16"/>
                <w:szCs w:val="16"/>
              </w:rPr>
            </w:pPr>
            <w:r w:rsidRPr="00D23BEF">
              <w:rPr>
                <w:sz w:val="16"/>
                <w:szCs w:val="16"/>
              </w:rPr>
              <w:t>–475</w:t>
            </w:r>
          </w:p>
        </w:tc>
      </w:tr>
      <w:tr w:rsidR="004A09FB" w:rsidRPr="00D23BEF">
        <w:tc>
          <w:tcPr>
            <w:tcW w:w="1135" w:type="dxa"/>
            <w:noWrap/>
            <w:vAlign w:val="bottom"/>
          </w:tcPr>
          <w:p w:rsidR="00A13B94" w:rsidRPr="00D23BEF" w:rsidRDefault="00A13B94">
            <w:pPr>
              <w:shd w:val="clear" w:color="000000" w:fill="auto"/>
              <w:spacing w:before="62" w:line="200" w:lineRule="exact"/>
              <w:rPr>
                <w:sz w:val="16"/>
                <w:szCs w:val="16"/>
              </w:rPr>
            </w:pPr>
            <w:r w:rsidRPr="00D23BEF">
              <w:rPr>
                <w:sz w:val="16"/>
                <w:szCs w:val="16"/>
              </w:rPr>
              <w:t>04:2</w:t>
            </w:r>
          </w:p>
        </w:tc>
        <w:tc>
          <w:tcPr>
            <w:tcW w:w="1909" w:type="dxa"/>
            <w:noWrap/>
            <w:vAlign w:val="bottom"/>
          </w:tcPr>
          <w:p w:rsidR="00A13B94" w:rsidRPr="00D23BEF" w:rsidRDefault="00A13B94">
            <w:pPr>
              <w:shd w:val="clear" w:color="000000" w:fill="auto"/>
              <w:spacing w:before="62" w:line="200" w:lineRule="exact"/>
              <w:rPr>
                <w:sz w:val="16"/>
                <w:szCs w:val="16"/>
              </w:rPr>
            </w:pPr>
            <w:r w:rsidRPr="00D23BEF">
              <w:rPr>
                <w:sz w:val="16"/>
                <w:szCs w:val="16"/>
              </w:rPr>
              <w:t>Säkerhetspolisen</w:t>
            </w:r>
          </w:p>
        </w:tc>
        <w:tc>
          <w:tcPr>
            <w:tcW w:w="763" w:type="dxa"/>
            <w:noWrap/>
            <w:vAlign w:val="bottom"/>
          </w:tcPr>
          <w:p w:rsidR="00A13B94" w:rsidRPr="00D23BEF" w:rsidRDefault="00A13B94">
            <w:pPr>
              <w:shd w:val="clear" w:color="000000" w:fill="auto"/>
              <w:spacing w:before="62" w:line="200" w:lineRule="exact"/>
              <w:jc w:val="right"/>
              <w:rPr>
                <w:sz w:val="16"/>
                <w:szCs w:val="16"/>
              </w:rPr>
            </w:pPr>
            <w:r w:rsidRPr="00D23BEF">
              <w:rPr>
                <w:sz w:val="16"/>
                <w:szCs w:val="16"/>
              </w:rPr>
              <w:t>–200</w:t>
            </w:r>
          </w:p>
        </w:tc>
        <w:tc>
          <w:tcPr>
            <w:tcW w:w="903" w:type="dxa"/>
            <w:noWrap/>
            <w:vAlign w:val="bottom"/>
          </w:tcPr>
          <w:p w:rsidR="00A13B94" w:rsidRPr="00D23BEF" w:rsidRDefault="00A13B94">
            <w:pPr>
              <w:shd w:val="clear" w:color="000000" w:fill="auto"/>
              <w:spacing w:before="62" w:line="200" w:lineRule="exact"/>
              <w:jc w:val="right"/>
              <w:rPr>
                <w:sz w:val="16"/>
                <w:szCs w:val="16"/>
              </w:rPr>
            </w:pPr>
            <w:r w:rsidRPr="00D23BEF">
              <w:rPr>
                <w:sz w:val="16"/>
                <w:szCs w:val="16"/>
              </w:rPr>
              <w:t>–200</w:t>
            </w:r>
          </w:p>
        </w:tc>
        <w:tc>
          <w:tcPr>
            <w:tcW w:w="903" w:type="dxa"/>
            <w:noWrap/>
            <w:vAlign w:val="bottom"/>
          </w:tcPr>
          <w:p w:rsidR="00A13B94" w:rsidRPr="00D23BEF" w:rsidRDefault="00A13B94">
            <w:pPr>
              <w:shd w:val="clear" w:color="000000" w:fill="auto"/>
              <w:spacing w:before="62" w:line="200" w:lineRule="exact"/>
              <w:jc w:val="right"/>
              <w:rPr>
                <w:sz w:val="16"/>
                <w:szCs w:val="16"/>
              </w:rPr>
            </w:pPr>
            <w:r w:rsidRPr="00D23BEF">
              <w:rPr>
                <w:sz w:val="16"/>
                <w:szCs w:val="16"/>
              </w:rPr>
              <w:t>–200</w:t>
            </w:r>
          </w:p>
        </w:tc>
      </w:tr>
      <w:tr w:rsidR="004A09FB" w:rsidRPr="00D23BEF">
        <w:tc>
          <w:tcPr>
            <w:tcW w:w="1135" w:type="dxa"/>
            <w:noWrap/>
            <w:vAlign w:val="bottom"/>
          </w:tcPr>
          <w:p w:rsidR="00A13B94" w:rsidRPr="00D23BEF" w:rsidRDefault="00A13B94">
            <w:pPr>
              <w:shd w:val="clear" w:color="000000" w:fill="auto"/>
              <w:spacing w:before="62" w:line="200" w:lineRule="exact"/>
              <w:rPr>
                <w:sz w:val="16"/>
                <w:szCs w:val="16"/>
              </w:rPr>
            </w:pPr>
            <w:r w:rsidRPr="00D23BEF">
              <w:rPr>
                <w:sz w:val="16"/>
                <w:szCs w:val="16"/>
              </w:rPr>
              <w:t>04:3</w:t>
            </w:r>
          </w:p>
        </w:tc>
        <w:tc>
          <w:tcPr>
            <w:tcW w:w="1909" w:type="dxa"/>
            <w:noWrap/>
            <w:vAlign w:val="bottom"/>
          </w:tcPr>
          <w:p w:rsidR="00A13B94" w:rsidRPr="00D23BEF" w:rsidRDefault="00A13B94">
            <w:pPr>
              <w:shd w:val="clear" w:color="000000" w:fill="auto"/>
              <w:spacing w:before="62" w:line="200" w:lineRule="exact"/>
              <w:rPr>
                <w:sz w:val="16"/>
                <w:szCs w:val="16"/>
              </w:rPr>
            </w:pPr>
            <w:r w:rsidRPr="00D23BEF">
              <w:rPr>
                <w:sz w:val="16"/>
                <w:szCs w:val="16"/>
              </w:rPr>
              <w:t>Åklagarmyndigheten</w:t>
            </w:r>
          </w:p>
        </w:tc>
        <w:tc>
          <w:tcPr>
            <w:tcW w:w="763" w:type="dxa"/>
            <w:noWrap/>
            <w:vAlign w:val="bottom"/>
          </w:tcPr>
          <w:p w:rsidR="00A13B94" w:rsidRPr="00D23BEF" w:rsidRDefault="00A13B94">
            <w:pPr>
              <w:shd w:val="clear" w:color="000000" w:fill="auto"/>
              <w:spacing w:before="62" w:line="200" w:lineRule="exact"/>
              <w:jc w:val="right"/>
              <w:rPr>
                <w:sz w:val="16"/>
                <w:szCs w:val="16"/>
              </w:rPr>
            </w:pPr>
            <w:r w:rsidRPr="00D23BEF">
              <w:rPr>
                <w:sz w:val="16"/>
                <w:szCs w:val="16"/>
              </w:rPr>
              <w:t>5</w:t>
            </w:r>
          </w:p>
        </w:tc>
        <w:tc>
          <w:tcPr>
            <w:tcW w:w="903" w:type="dxa"/>
            <w:noWrap/>
            <w:vAlign w:val="bottom"/>
          </w:tcPr>
          <w:p w:rsidR="00A13B94" w:rsidRPr="00D23BEF" w:rsidRDefault="00A13B94">
            <w:pPr>
              <w:shd w:val="clear" w:color="000000" w:fill="auto"/>
              <w:spacing w:before="62" w:line="200" w:lineRule="exact"/>
              <w:jc w:val="right"/>
              <w:rPr>
                <w:sz w:val="16"/>
                <w:szCs w:val="16"/>
              </w:rPr>
            </w:pPr>
            <w:r w:rsidRPr="00D23BEF">
              <w:rPr>
                <w:sz w:val="16"/>
                <w:szCs w:val="16"/>
              </w:rPr>
              <w:t>5</w:t>
            </w:r>
          </w:p>
        </w:tc>
        <w:tc>
          <w:tcPr>
            <w:tcW w:w="903" w:type="dxa"/>
            <w:noWrap/>
            <w:vAlign w:val="bottom"/>
          </w:tcPr>
          <w:p w:rsidR="00A13B94" w:rsidRPr="00D23BEF" w:rsidRDefault="00A13B94">
            <w:pPr>
              <w:shd w:val="clear" w:color="000000" w:fill="auto"/>
              <w:spacing w:before="62" w:line="200" w:lineRule="exact"/>
              <w:jc w:val="right"/>
              <w:rPr>
                <w:sz w:val="16"/>
                <w:szCs w:val="16"/>
              </w:rPr>
            </w:pPr>
            <w:r w:rsidRPr="00D23BEF">
              <w:rPr>
                <w:sz w:val="16"/>
                <w:szCs w:val="16"/>
              </w:rPr>
              <w:t>5</w:t>
            </w:r>
          </w:p>
        </w:tc>
      </w:tr>
      <w:tr w:rsidR="004A09FB" w:rsidRPr="00D23BEF">
        <w:tc>
          <w:tcPr>
            <w:tcW w:w="1135" w:type="dxa"/>
            <w:noWrap/>
            <w:vAlign w:val="bottom"/>
          </w:tcPr>
          <w:p w:rsidR="00A13B94" w:rsidRPr="00D23BEF" w:rsidRDefault="00A13B94">
            <w:pPr>
              <w:shd w:val="clear" w:color="000000" w:fill="auto"/>
              <w:spacing w:before="62" w:line="200" w:lineRule="exact"/>
              <w:rPr>
                <w:sz w:val="16"/>
                <w:szCs w:val="16"/>
              </w:rPr>
            </w:pPr>
            <w:r w:rsidRPr="00D23BEF">
              <w:rPr>
                <w:sz w:val="16"/>
                <w:szCs w:val="16"/>
              </w:rPr>
              <w:t>04:5</w:t>
            </w:r>
          </w:p>
        </w:tc>
        <w:tc>
          <w:tcPr>
            <w:tcW w:w="1909" w:type="dxa"/>
            <w:noWrap/>
            <w:vAlign w:val="bottom"/>
          </w:tcPr>
          <w:p w:rsidR="00A13B94" w:rsidRPr="00D23BEF" w:rsidRDefault="00A13B94">
            <w:pPr>
              <w:shd w:val="clear" w:color="000000" w:fill="auto"/>
              <w:spacing w:before="62" w:line="200" w:lineRule="exact"/>
              <w:rPr>
                <w:sz w:val="16"/>
                <w:szCs w:val="16"/>
              </w:rPr>
            </w:pPr>
            <w:r w:rsidRPr="00D23BEF">
              <w:rPr>
                <w:sz w:val="16"/>
                <w:szCs w:val="16"/>
              </w:rPr>
              <w:t>Sveriges domstolar</w:t>
            </w:r>
          </w:p>
        </w:tc>
        <w:tc>
          <w:tcPr>
            <w:tcW w:w="763" w:type="dxa"/>
            <w:noWrap/>
            <w:vAlign w:val="bottom"/>
          </w:tcPr>
          <w:p w:rsidR="00A13B94" w:rsidRPr="00D23BEF" w:rsidRDefault="00A13B94">
            <w:pPr>
              <w:shd w:val="clear" w:color="000000" w:fill="auto"/>
              <w:spacing w:before="62" w:line="200" w:lineRule="exact"/>
              <w:jc w:val="right"/>
              <w:rPr>
                <w:sz w:val="16"/>
                <w:szCs w:val="16"/>
              </w:rPr>
            </w:pPr>
            <w:r w:rsidRPr="00D23BEF">
              <w:rPr>
                <w:sz w:val="16"/>
                <w:szCs w:val="16"/>
              </w:rPr>
              <w:t>11</w:t>
            </w:r>
          </w:p>
        </w:tc>
        <w:tc>
          <w:tcPr>
            <w:tcW w:w="903" w:type="dxa"/>
            <w:noWrap/>
            <w:vAlign w:val="bottom"/>
          </w:tcPr>
          <w:p w:rsidR="00A13B94" w:rsidRPr="00D23BEF" w:rsidRDefault="00A13B94">
            <w:pPr>
              <w:shd w:val="clear" w:color="000000" w:fill="auto"/>
              <w:spacing w:before="62" w:line="200" w:lineRule="exact"/>
              <w:jc w:val="right"/>
              <w:rPr>
                <w:sz w:val="16"/>
                <w:szCs w:val="16"/>
              </w:rPr>
            </w:pPr>
            <w:r w:rsidRPr="00D23BEF">
              <w:rPr>
                <w:sz w:val="16"/>
                <w:szCs w:val="16"/>
              </w:rPr>
              <w:t>11</w:t>
            </w:r>
          </w:p>
        </w:tc>
        <w:tc>
          <w:tcPr>
            <w:tcW w:w="903" w:type="dxa"/>
            <w:noWrap/>
            <w:vAlign w:val="bottom"/>
          </w:tcPr>
          <w:p w:rsidR="00A13B94" w:rsidRPr="00D23BEF" w:rsidRDefault="00A13B94">
            <w:pPr>
              <w:shd w:val="clear" w:color="000000" w:fill="auto"/>
              <w:spacing w:before="62" w:line="200" w:lineRule="exact"/>
              <w:jc w:val="right"/>
              <w:rPr>
                <w:sz w:val="16"/>
                <w:szCs w:val="16"/>
              </w:rPr>
            </w:pPr>
            <w:r w:rsidRPr="00D23BEF">
              <w:rPr>
                <w:sz w:val="16"/>
                <w:szCs w:val="16"/>
              </w:rPr>
              <w:t>11</w:t>
            </w:r>
          </w:p>
        </w:tc>
      </w:tr>
      <w:tr w:rsidR="004A09FB" w:rsidRPr="00D23BEF">
        <w:tc>
          <w:tcPr>
            <w:tcW w:w="1135" w:type="dxa"/>
            <w:noWrap/>
            <w:vAlign w:val="bottom"/>
          </w:tcPr>
          <w:p w:rsidR="00A13B94" w:rsidRPr="00D23BEF" w:rsidRDefault="00A13B94">
            <w:pPr>
              <w:shd w:val="clear" w:color="000000" w:fill="auto"/>
              <w:spacing w:before="62" w:line="200" w:lineRule="exact"/>
              <w:rPr>
                <w:sz w:val="16"/>
                <w:szCs w:val="16"/>
              </w:rPr>
            </w:pPr>
            <w:r w:rsidRPr="00D23BEF">
              <w:rPr>
                <w:sz w:val="16"/>
                <w:szCs w:val="16"/>
              </w:rPr>
              <w:t>04:6</w:t>
            </w:r>
          </w:p>
        </w:tc>
        <w:tc>
          <w:tcPr>
            <w:tcW w:w="1909" w:type="dxa"/>
            <w:noWrap/>
            <w:vAlign w:val="bottom"/>
          </w:tcPr>
          <w:p w:rsidR="00A13B94" w:rsidRPr="00D23BEF" w:rsidRDefault="00A13B94">
            <w:pPr>
              <w:shd w:val="clear" w:color="000000" w:fill="auto"/>
              <w:spacing w:before="62" w:line="200" w:lineRule="exact"/>
              <w:rPr>
                <w:sz w:val="16"/>
                <w:szCs w:val="16"/>
              </w:rPr>
            </w:pPr>
            <w:r w:rsidRPr="00D23BEF">
              <w:rPr>
                <w:sz w:val="16"/>
                <w:szCs w:val="16"/>
              </w:rPr>
              <w:t>Kriminalvården</w:t>
            </w:r>
          </w:p>
        </w:tc>
        <w:tc>
          <w:tcPr>
            <w:tcW w:w="763" w:type="dxa"/>
            <w:noWrap/>
            <w:vAlign w:val="bottom"/>
          </w:tcPr>
          <w:p w:rsidR="00A13B94" w:rsidRPr="00D23BEF" w:rsidRDefault="00A13B94">
            <w:pPr>
              <w:shd w:val="clear" w:color="000000" w:fill="auto"/>
              <w:spacing w:before="62" w:line="200" w:lineRule="exact"/>
              <w:jc w:val="right"/>
              <w:rPr>
                <w:sz w:val="16"/>
                <w:szCs w:val="16"/>
              </w:rPr>
            </w:pPr>
            <w:r w:rsidRPr="00D23BEF">
              <w:rPr>
                <w:sz w:val="16"/>
                <w:szCs w:val="16"/>
              </w:rPr>
              <w:t>10</w:t>
            </w:r>
          </w:p>
        </w:tc>
        <w:tc>
          <w:tcPr>
            <w:tcW w:w="903" w:type="dxa"/>
            <w:noWrap/>
            <w:vAlign w:val="bottom"/>
          </w:tcPr>
          <w:p w:rsidR="00A13B94" w:rsidRPr="00D23BEF" w:rsidRDefault="00A13B94">
            <w:pPr>
              <w:shd w:val="clear" w:color="000000" w:fill="auto"/>
              <w:spacing w:before="62" w:line="200" w:lineRule="exact"/>
              <w:jc w:val="right"/>
              <w:rPr>
                <w:sz w:val="16"/>
                <w:szCs w:val="16"/>
              </w:rPr>
            </w:pPr>
            <w:r w:rsidRPr="00D23BEF">
              <w:rPr>
                <w:sz w:val="16"/>
                <w:szCs w:val="16"/>
              </w:rPr>
              <w:t>10</w:t>
            </w:r>
          </w:p>
        </w:tc>
        <w:tc>
          <w:tcPr>
            <w:tcW w:w="903" w:type="dxa"/>
            <w:noWrap/>
            <w:vAlign w:val="bottom"/>
          </w:tcPr>
          <w:p w:rsidR="00A13B94" w:rsidRPr="00D23BEF" w:rsidRDefault="00A13B94">
            <w:pPr>
              <w:shd w:val="clear" w:color="000000" w:fill="auto"/>
              <w:spacing w:before="62" w:line="200" w:lineRule="exact"/>
              <w:jc w:val="right"/>
              <w:rPr>
                <w:sz w:val="16"/>
                <w:szCs w:val="16"/>
              </w:rPr>
            </w:pPr>
            <w:r w:rsidRPr="00D23BEF">
              <w:rPr>
                <w:sz w:val="16"/>
                <w:szCs w:val="16"/>
              </w:rPr>
              <w:t>10</w:t>
            </w:r>
          </w:p>
        </w:tc>
      </w:tr>
      <w:tr w:rsidR="004A09FB" w:rsidRPr="00D23BEF">
        <w:tc>
          <w:tcPr>
            <w:tcW w:w="1135" w:type="dxa"/>
            <w:noWrap/>
            <w:vAlign w:val="bottom"/>
          </w:tcPr>
          <w:p w:rsidR="00A13B94" w:rsidRPr="00D23BEF" w:rsidRDefault="00A13B94">
            <w:pPr>
              <w:shd w:val="clear" w:color="000000" w:fill="auto"/>
              <w:spacing w:before="62" w:line="200" w:lineRule="exact"/>
              <w:rPr>
                <w:sz w:val="16"/>
                <w:szCs w:val="16"/>
              </w:rPr>
            </w:pPr>
            <w:r w:rsidRPr="00D23BEF">
              <w:rPr>
                <w:sz w:val="16"/>
                <w:szCs w:val="16"/>
              </w:rPr>
              <w:t>04:7</w:t>
            </w:r>
          </w:p>
        </w:tc>
        <w:tc>
          <w:tcPr>
            <w:tcW w:w="1909" w:type="dxa"/>
            <w:noWrap/>
            <w:vAlign w:val="bottom"/>
          </w:tcPr>
          <w:p w:rsidR="00A13B94" w:rsidRPr="00D23BEF" w:rsidRDefault="00A13B94">
            <w:pPr>
              <w:shd w:val="clear" w:color="000000" w:fill="auto"/>
              <w:spacing w:before="62" w:line="200" w:lineRule="exact"/>
              <w:rPr>
                <w:sz w:val="16"/>
                <w:szCs w:val="16"/>
              </w:rPr>
            </w:pPr>
            <w:r w:rsidRPr="00D23BEF">
              <w:rPr>
                <w:sz w:val="16"/>
                <w:szCs w:val="16"/>
              </w:rPr>
              <w:t>Brottsförebyggande rådet</w:t>
            </w:r>
          </w:p>
        </w:tc>
        <w:tc>
          <w:tcPr>
            <w:tcW w:w="763" w:type="dxa"/>
            <w:noWrap/>
            <w:vAlign w:val="bottom"/>
          </w:tcPr>
          <w:p w:rsidR="00A13B94" w:rsidRPr="00D23BEF" w:rsidRDefault="00A13B94">
            <w:pPr>
              <w:shd w:val="clear" w:color="000000" w:fill="auto"/>
              <w:spacing w:before="62" w:line="200" w:lineRule="exact"/>
              <w:jc w:val="right"/>
              <w:rPr>
                <w:sz w:val="16"/>
                <w:szCs w:val="16"/>
              </w:rPr>
            </w:pPr>
            <w:r w:rsidRPr="00D23BEF">
              <w:rPr>
                <w:sz w:val="16"/>
                <w:szCs w:val="16"/>
              </w:rPr>
              <w:t>5,5</w:t>
            </w:r>
          </w:p>
        </w:tc>
        <w:tc>
          <w:tcPr>
            <w:tcW w:w="903" w:type="dxa"/>
            <w:noWrap/>
            <w:vAlign w:val="bottom"/>
          </w:tcPr>
          <w:p w:rsidR="00A13B94" w:rsidRPr="00D23BEF" w:rsidRDefault="00A13B94">
            <w:pPr>
              <w:shd w:val="clear" w:color="000000" w:fill="auto"/>
              <w:spacing w:before="62" w:line="200" w:lineRule="exact"/>
              <w:jc w:val="right"/>
              <w:rPr>
                <w:sz w:val="16"/>
                <w:szCs w:val="16"/>
              </w:rPr>
            </w:pPr>
            <w:r w:rsidRPr="00D23BEF">
              <w:rPr>
                <w:sz w:val="16"/>
                <w:szCs w:val="16"/>
              </w:rPr>
              <w:t>5,5</w:t>
            </w:r>
          </w:p>
        </w:tc>
        <w:tc>
          <w:tcPr>
            <w:tcW w:w="903" w:type="dxa"/>
            <w:noWrap/>
            <w:vAlign w:val="bottom"/>
          </w:tcPr>
          <w:p w:rsidR="00A13B94" w:rsidRPr="00D23BEF" w:rsidRDefault="00A13B94">
            <w:pPr>
              <w:shd w:val="clear" w:color="000000" w:fill="auto"/>
              <w:spacing w:before="62" w:line="200" w:lineRule="exact"/>
              <w:jc w:val="right"/>
              <w:rPr>
                <w:sz w:val="16"/>
                <w:szCs w:val="16"/>
              </w:rPr>
            </w:pPr>
            <w:r w:rsidRPr="00D23BEF">
              <w:rPr>
                <w:sz w:val="16"/>
                <w:szCs w:val="16"/>
              </w:rPr>
              <w:t>5,5</w:t>
            </w:r>
          </w:p>
        </w:tc>
      </w:tr>
      <w:tr w:rsidR="004A09FB" w:rsidRPr="00D23BEF">
        <w:tc>
          <w:tcPr>
            <w:tcW w:w="1135" w:type="dxa"/>
            <w:noWrap/>
            <w:vAlign w:val="bottom"/>
          </w:tcPr>
          <w:p w:rsidR="00A13B94" w:rsidRPr="00D23BEF" w:rsidRDefault="00A13B94">
            <w:pPr>
              <w:shd w:val="clear" w:color="000000" w:fill="auto"/>
              <w:spacing w:before="62" w:line="200" w:lineRule="exact"/>
              <w:rPr>
                <w:sz w:val="16"/>
                <w:szCs w:val="16"/>
              </w:rPr>
            </w:pPr>
            <w:r w:rsidRPr="00D23BEF">
              <w:rPr>
                <w:sz w:val="16"/>
                <w:szCs w:val="16"/>
              </w:rPr>
              <w:t>04:12</w:t>
            </w:r>
          </w:p>
        </w:tc>
        <w:tc>
          <w:tcPr>
            <w:tcW w:w="1909" w:type="dxa"/>
            <w:noWrap/>
            <w:vAlign w:val="bottom"/>
          </w:tcPr>
          <w:p w:rsidR="00A13B94" w:rsidRPr="00D23BEF" w:rsidRDefault="00A13B94">
            <w:pPr>
              <w:shd w:val="clear" w:color="000000" w:fill="auto"/>
              <w:spacing w:before="62" w:line="200" w:lineRule="exact"/>
              <w:rPr>
                <w:sz w:val="16"/>
                <w:szCs w:val="16"/>
              </w:rPr>
            </w:pPr>
            <w:r w:rsidRPr="00D23BEF">
              <w:rPr>
                <w:sz w:val="16"/>
                <w:szCs w:val="16"/>
              </w:rPr>
              <w:t>Rättsliga biträden</w:t>
            </w:r>
          </w:p>
        </w:tc>
        <w:tc>
          <w:tcPr>
            <w:tcW w:w="763" w:type="dxa"/>
            <w:noWrap/>
            <w:vAlign w:val="bottom"/>
          </w:tcPr>
          <w:p w:rsidR="00A13B94" w:rsidRPr="00D23BEF" w:rsidRDefault="00A13B94">
            <w:pPr>
              <w:shd w:val="clear" w:color="000000" w:fill="auto"/>
              <w:spacing w:before="62" w:line="200" w:lineRule="exact"/>
              <w:jc w:val="right"/>
              <w:rPr>
                <w:sz w:val="16"/>
                <w:szCs w:val="16"/>
              </w:rPr>
            </w:pPr>
            <w:r w:rsidRPr="00D23BEF">
              <w:rPr>
                <w:sz w:val="16"/>
                <w:szCs w:val="16"/>
              </w:rPr>
              <w:t>5</w:t>
            </w:r>
          </w:p>
        </w:tc>
        <w:tc>
          <w:tcPr>
            <w:tcW w:w="903" w:type="dxa"/>
            <w:noWrap/>
            <w:vAlign w:val="bottom"/>
          </w:tcPr>
          <w:p w:rsidR="00A13B94" w:rsidRPr="00D23BEF" w:rsidRDefault="00A13B94">
            <w:pPr>
              <w:shd w:val="clear" w:color="000000" w:fill="auto"/>
              <w:spacing w:before="62" w:line="200" w:lineRule="exact"/>
              <w:jc w:val="right"/>
              <w:rPr>
                <w:sz w:val="16"/>
                <w:szCs w:val="16"/>
              </w:rPr>
            </w:pPr>
            <w:r w:rsidRPr="00D23BEF">
              <w:rPr>
                <w:sz w:val="16"/>
                <w:szCs w:val="16"/>
              </w:rPr>
              <w:t>5</w:t>
            </w:r>
          </w:p>
        </w:tc>
        <w:tc>
          <w:tcPr>
            <w:tcW w:w="903" w:type="dxa"/>
            <w:noWrap/>
            <w:vAlign w:val="bottom"/>
          </w:tcPr>
          <w:p w:rsidR="00A13B94" w:rsidRPr="00D23BEF" w:rsidRDefault="00A13B94">
            <w:pPr>
              <w:shd w:val="clear" w:color="000000" w:fill="auto"/>
              <w:spacing w:before="62" w:line="200" w:lineRule="exact"/>
              <w:jc w:val="right"/>
              <w:rPr>
                <w:sz w:val="16"/>
                <w:szCs w:val="16"/>
              </w:rPr>
            </w:pPr>
            <w:r w:rsidRPr="00D23BEF">
              <w:rPr>
                <w:sz w:val="16"/>
                <w:szCs w:val="16"/>
              </w:rPr>
              <w:t>5</w:t>
            </w:r>
          </w:p>
        </w:tc>
      </w:tr>
      <w:tr w:rsidR="004A09FB" w:rsidRPr="00D23BEF">
        <w:tc>
          <w:tcPr>
            <w:tcW w:w="3044" w:type="dxa"/>
            <w:gridSpan w:val="2"/>
            <w:tcBorders>
              <w:bottom w:val="single" w:sz="4" w:space="0" w:color="auto"/>
            </w:tcBorders>
            <w:noWrap/>
            <w:vAlign w:val="bottom"/>
          </w:tcPr>
          <w:p w:rsidR="00A13B94" w:rsidRPr="00D23BEF" w:rsidRDefault="00A13B94">
            <w:pPr>
              <w:shd w:val="clear" w:color="000000" w:fill="auto"/>
              <w:spacing w:before="62" w:line="200" w:lineRule="exact"/>
              <w:rPr>
                <w:sz w:val="16"/>
                <w:szCs w:val="16"/>
              </w:rPr>
            </w:pPr>
            <w:r w:rsidRPr="00D23BEF">
              <w:rPr>
                <w:b/>
                <w:bCs/>
                <w:sz w:val="16"/>
                <w:szCs w:val="16"/>
                <w:u w:val="single"/>
              </w:rPr>
              <w:t>Totalt utgiftsområdet</w:t>
            </w:r>
          </w:p>
        </w:tc>
        <w:tc>
          <w:tcPr>
            <w:tcW w:w="763" w:type="dxa"/>
            <w:tcBorders>
              <w:bottom w:val="single" w:sz="4" w:space="0" w:color="auto"/>
            </w:tcBorders>
            <w:noWrap/>
            <w:vAlign w:val="bottom"/>
          </w:tcPr>
          <w:p w:rsidR="00A13B94" w:rsidRPr="00D23BEF" w:rsidRDefault="00A13B94">
            <w:pPr>
              <w:shd w:val="clear" w:color="000000" w:fill="auto"/>
              <w:spacing w:before="62" w:line="200" w:lineRule="exact"/>
              <w:jc w:val="right"/>
              <w:rPr>
                <w:b/>
                <w:sz w:val="16"/>
                <w:szCs w:val="16"/>
              </w:rPr>
            </w:pPr>
            <w:r w:rsidRPr="00D23BEF">
              <w:rPr>
                <w:b/>
                <w:sz w:val="16"/>
                <w:szCs w:val="16"/>
              </w:rPr>
              <w:t>–213,5</w:t>
            </w:r>
          </w:p>
        </w:tc>
        <w:tc>
          <w:tcPr>
            <w:tcW w:w="903" w:type="dxa"/>
            <w:tcBorders>
              <w:bottom w:val="single" w:sz="4" w:space="0" w:color="auto"/>
            </w:tcBorders>
            <w:noWrap/>
            <w:vAlign w:val="bottom"/>
          </w:tcPr>
          <w:p w:rsidR="00A13B94" w:rsidRPr="00D23BEF" w:rsidRDefault="00A13B94">
            <w:pPr>
              <w:shd w:val="clear" w:color="000000" w:fill="auto"/>
              <w:spacing w:before="62" w:line="200" w:lineRule="exact"/>
              <w:jc w:val="right"/>
              <w:rPr>
                <w:b/>
                <w:sz w:val="16"/>
                <w:szCs w:val="16"/>
              </w:rPr>
            </w:pPr>
            <w:r w:rsidRPr="00D23BEF">
              <w:rPr>
                <w:b/>
                <w:sz w:val="16"/>
                <w:szCs w:val="16"/>
              </w:rPr>
              <w:t>–708,5</w:t>
            </w:r>
          </w:p>
        </w:tc>
        <w:tc>
          <w:tcPr>
            <w:tcW w:w="903" w:type="dxa"/>
            <w:tcBorders>
              <w:bottom w:val="single" w:sz="4" w:space="0" w:color="auto"/>
            </w:tcBorders>
            <w:noWrap/>
            <w:vAlign w:val="bottom"/>
          </w:tcPr>
          <w:p w:rsidR="00A13B94" w:rsidRPr="00D23BEF" w:rsidRDefault="00A13B94">
            <w:pPr>
              <w:shd w:val="clear" w:color="000000" w:fill="auto"/>
              <w:spacing w:before="62" w:line="200" w:lineRule="exact"/>
              <w:jc w:val="right"/>
              <w:rPr>
                <w:b/>
                <w:sz w:val="16"/>
                <w:szCs w:val="16"/>
              </w:rPr>
            </w:pPr>
            <w:r w:rsidRPr="00D23BEF">
              <w:rPr>
                <w:b/>
                <w:sz w:val="16"/>
                <w:szCs w:val="16"/>
              </w:rPr>
              <w:t>– 638,5</w:t>
            </w:r>
          </w:p>
        </w:tc>
      </w:tr>
    </w:tbl>
    <w:p w:rsidR="00A13B94" w:rsidRPr="00D23BEF" w:rsidRDefault="00A13B94">
      <w:pPr>
        <w:shd w:val="clear" w:color="000000" w:fill="auto"/>
        <w:spacing w:line="160" w:lineRule="exact"/>
      </w:pPr>
    </w:p>
    <w:p w:rsidR="00A13B94" w:rsidRPr="00D23BEF" w:rsidRDefault="00A13B94">
      <w:pPr>
        <w:pStyle w:val="Hemstlatt"/>
        <w:numPr>
          <w:ilvl w:val="0"/>
          <w:numId w:val="1"/>
        </w:numPr>
        <w:shd w:val="clear" w:color="000000" w:fill="auto"/>
      </w:pPr>
      <w:r w:rsidRPr="00D23BEF">
        <w:t>Riksdagen tillkännager för regeringen som sin mening vad som i motionen anförs om vikten av att genomföra Polisverksamhetsutredningens effektiviseringsförslag för att kunna frigöra resurser inom polisorganisationen.</w:t>
      </w:r>
    </w:p>
    <w:p w:rsidR="00A13B94" w:rsidRPr="00D23BEF" w:rsidRDefault="00A13B94">
      <w:pPr>
        <w:pStyle w:val="Hemstlatt"/>
        <w:numPr>
          <w:ilvl w:val="0"/>
          <w:numId w:val="1"/>
        </w:numPr>
        <w:shd w:val="clear" w:color="000000" w:fill="auto"/>
      </w:pPr>
      <w:r w:rsidRPr="00D23BEF">
        <w:t>Riksdagen tillkännager för regeringen som sin mening vad som i motionen anförs om att överföra ansvaret för personskyddsverksamheten till polisorganisationen från Säkerhetspolisen.</w:t>
      </w:r>
    </w:p>
    <w:p w:rsidR="00A13B94" w:rsidRPr="00D23BEF" w:rsidRDefault="00A13B94">
      <w:pPr>
        <w:pStyle w:val="Hemstlatt"/>
        <w:numPr>
          <w:ilvl w:val="0"/>
          <w:numId w:val="1"/>
        </w:numPr>
        <w:shd w:val="clear" w:color="000000" w:fill="auto"/>
      </w:pPr>
      <w:r w:rsidRPr="00D23BEF">
        <w:t>Riksdagen tillkännager för regeringen som sin mening vad som i motionen anförs om att inom polisorganisationen inte använda resurser för hemlig övervakning, såsom exempelvis hemlig rumsavlyssning.</w:t>
      </w:r>
    </w:p>
    <w:p w:rsidR="00A13B94" w:rsidRPr="00D23BEF" w:rsidRDefault="00A13B94">
      <w:pPr>
        <w:pStyle w:val="Hemstlatt"/>
        <w:numPr>
          <w:ilvl w:val="0"/>
          <w:numId w:val="1"/>
        </w:numPr>
        <w:shd w:val="clear" w:color="000000" w:fill="auto"/>
      </w:pPr>
      <w:r w:rsidRPr="00D23BEF">
        <w:t>Riksdagen tillkännager för regeringen som sin mening vad som i motionen anförs om att förtydliga när polisen kan ta betalt för att övervaka idrotts- och musikevenemang m.m.</w:t>
      </w:r>
    </w:p>
    <w:p w:rsidR="00A13B94" w:rsidRPr="00D23BEF" w:rsidRDefault="00A13B94">
      <w:pPr>
        <w:pStyle w:val="Hemstlatt"/>
        <w:numPr>
          <w:ilvl w:val="0"/>
          <w:numId w:val="1"/>
        </w:numPr>
        <w:shd w:val="clear" w:color="000000" w:fill="auto"/>
      </w:pPr>
      <w:r w:rsidRPr="00D23BEF">
        <w:t>Riksdagen tillkännager för regeringen som sin mening vad som i motionen anförs om att inom polisen prioritera arbetet med att bekämpa mäns våld mot kvinnor och hatbrott.</w:t>
      </w:r>
    </w:p>
    <w:p w:rsidR="00A13B94" w:rsidRPr="00D23BEF" w:rsidRDefault="00A13B94">
      <w:pPr>
        <w:pStyle w:val="Hemstlatt"/>
        <w:numPr>
          <w:ilvl w:val="0"/>
          <w:numId w:val="1"/>
        </w:numPr>
        <w:shd w:val="clear" w:color="000000" w:fill="auto"/>
      </w:pPr>
      <w:r w:rsidRPr="00D23BEF">
        <w:t>Riksdagen tillkännager för regeringen som sin mening vad som i motionen anförs om tillgänglighetsanpassning av polisväsendet.</w:t>
      </w:r>
    </w:p>
    <w:p w:rsidR="00A13B94" w:rsidRPr="00D23BEF" w:rsidRDefault="00A13B94">
      <w:pPr>
        <w:pStyle w:val="Hemstlatt"/>
        <w:numPr>
          <w:ilvl w:val="0"/>
          <w:numId w:val="1"/>
        </w:numPr>
        <w:shd w:val="clear" w:color="000000" w:fill="auto"/>
      </w:pPr>
      <w:r w:rsidRPr="00D23BEF">
        <w:t>Riksdagen tillkännager för regeringen som sin mening vad som i motionen anförs om att Åklagarmyndigheten i sitt arbete måste prioritera arbetet med att bekämpa hatbrott, mäns våld mot kvinnor, miljöbrott och sexualbrott.</w:t>
      </w:r>
    </w:p>
    <w:p w:rsidR="00A13B94" w:rsidRPr="00D23BEF" w:rsidRDefault="00A13B94">
      <w:pPr>
        <w:pStyle w:val="Hemstlatt"/>
        <w:numPr>
          <w:ilvl w:val="0"/>
          <w:numId w:val="1"/>
        </w:numPr>
        <w:shd w:val="clear" w:color="000000" w:fill="auto"/>
      </w:pPr>
      <w:r w:rsidRPr="00D23BEF">
        <w:t>Riksdagen tillkännager för regeringen som sin mening vad som i motionen anförs om att tillgänglighetsanpassa Sveriges domstolar.</w:t>
      </w:r>
    </w:p>
    <w:p w:rsidR="00A13B94" w:rsidRPr="00D23BEF" w:rsidRDefault="00A13B94">
      <w:pPr>
        <w:pStyle w:val="Hemstlatt"/>
        <w:numPr>
          <w:ilvl w:val="0"/>
          <w:numId w:val="1"/>
        </w:numPr>
        <w:shd w:val="clear" w:color="000000" w:fill="auto"/>
      </w:pPr>
      <w:r w:rsidRPr="00D23BEF">
        <w:t>Riksdagen tillkännager för regeringen som sin mening vad som i motionen anförs om vikten av utbildning om diskriminering och hatbrott samt ett förbättrat jämställdhetsarbete i Sveriges samtliga domstolar.</w:t>
      </w:r>
    </w:p>
    <w:p w:rsidR="00A13B94" w:rsidRPr="00D23BEF" w:rsidRDefault="00A13B94">
      <w:pPr>
        <w:pStyle w:val="Hemstlatt"/>
        <w:numPr>
          <w:ilvl w:val="0"/>
          <w:numId w:val="1"/>
        </w:numPr>
        <w:shd w:val="clear" w:color="000000" w:fill="auto"/>
      </w:pPr>
      <w:r w:rsidRPr="00D23BEF">
        <w:t>Riksdagen tillkännager för regeringen som sin mening vad som i motionen anförs om vikten av att ta fram en samlad, enhetlig och kostnadsfri rättsinformation där enskilda och företag kan ta del av all författningstext, alla förarbeten och tillämplig rättspraxis.</w:t>
      </w:r>
      <w:r w:rsidRPr="00D23BEF">
        <w:rPr>
          <w:vertAlign w:val="superscript"/>
        </w:rPr>
        <w:t>1</w:t>
      </w:r>
    </w:p>
    <w:p w:rsidR="00A13B94" w:rsidRPr="00D23BEF" w:rsidRDefault="00A13B94">
      <w:pPr>
        <w:pStyle w:val="Hemstlatt"/>
        <w:numPr>
          <w:ilvl w:val="0"/>
          <w:numId w:val="1"/>
        </w:numPr>
        <w:shd w:val="clear" w:color="000000" w:fill="auto"/>
      </w:pPr>
      <w:r w:rsidRPr="00D23BEF">
        <w:t>Riksdagen tillkännager för regeringen som sin mening vad som i motionen anförs om att överflytta ansvaret för mål om diskriminering i arbetslivet från Arbetsdomstolen till de allmänna domstolarna.</w:t>
      </w:r>
      <w:r w:rsidRPr="00D23BEF">
        <w:rPr>
          <w:vertAlign w:val="superscript"/>
        </w:rPr>
        <w:t>2</w:t>
      </w:r>
    </w:p>
    <w:p w:rsidR="00A13B94" w:rsidRPr="00D23BEF" w:rsidRDefault="00A13B94">
      <w:pPr>
        <w:pStyle w:val="Hemstlatt"/>
        <w:numPr>
          <w:ilvl w:val="0"/>
          <w:numId w:val="1"/>
        </w:numPr>
        <w:shd w:val="clear" w:color="000000" w:fill="auto"/>
      </w:pPr>
      <w:r w:rsidRPr="00D23BEF">
        <w:t>Riksdagen tillkännager för regeringen som sin mening vad som i motionen anförs om vikten av att införa individuella verkställighetsplaner för Kriminalvårdens klienter på ett rättssäkert sätt.</w:t>
      </w:r>
    </w:p>
    <w:p w:rsidR="00A13B94" w:rsidRPr="00D23BEF" w:rsidRDefault="00A13B94">
      <w:pPr>
        <w:pStyle w:val="Hemstlatt"/>
        <w:numPr>
          <w:ilvl w:val="0"/>
          <w:numId w:val="1"/>
        </w:numPr>
        <w:shd w:val="clear" w:color="000000" w:fill="auto"/>
      </w:pPr>
      <w:r w:rsidRPr="00D23BEF">
        <w:t>Riksdagen tillkännager för regeringen som sin mening vad som i motionen anförs om vikten av att de som dömts för att ha misshandlat, hotat eller annars uppträtt kränkande mot en nära anhörig får erforderlig vård och behandling inom Kriminalvårdens ram.</w:t>
      </w:r>
    </w:p>
    <w:p w:rsidR="00A13B94" w:rsidRPr="00D23BEF" w:rsidRDefault="00A13B94">
      <w:pPr>
        <w:pStyle w:val="Hemstlatt"/>
        <w:numPr>
          <w:ilvl w:val="0"/>
          <w:numId w:val="1"/>
        </w:numPr>
        <w:shd w:val="clear" w:color="000000" w:fill="auto"/>
      </w:pPr>
      <w:r w:rsidRPr="00D23BEF">
        <w:t>Riksdagen tillkännager för regeringen som sin mening vad som i motionen anförs om att alla de som dömts för sexualbrott bör genomgå erforderlig vård och behandling inom Kriminalvårdens ram.</w:t>
      </w:r>
    </w:p>
    <w:p w:rsidR="00A13B94" w:rsidRPr="00D23BEF" w:rsidRDefault="00A13B94">
      <w:pPr>
        <w:pStyle w:val="Hemstlatt"/>
        <w:numPr>
          <w:ilvl w:val="0"/>
          <w:numId w:val="1"/>
        </w:numPr>
        <w:shd w:val="clear" w:color="000000" w:fill="auto"/>
      </w:pPr>
      <w:r w:rsidRPr="00D23BEF">
        <w:t>Riksdagen tillkännager för regeringen som sin mening vad som i motionen anförs om att säkra tillgången till bra kriminalstatistik.</w:t>
      </w:r>
    </w:p>
    <w:p w:rsidR="00A13B94" w:rsidRPr="00D23BEF" w:rsidRDefault="00A13B94">
      <w:pPr>
        <w:pStyle w:val="Hemstlatt"/>
        <w:numPr>
          <w:ilvl w:val="0"/>
          <w:numId w:val="1"/>
        </w:numPr>
        <w:shd w:val="clear" w:color="000000" w:fill="auto"/>
      </w:pPr>
      <w:r w:rsidRPr="00D23BEF">
        <w:t>Riksdagen tillkännager för regeringen som sin mening vad som i motionen anförs om vikten av att utreda hur förändringarna av rättshjälpssystemet påverkat enskildas möjligheter att få rättstvister avgjorda i domstol samt hur förändringarna av rättshjälpssystemet påverkat allmänhetens förtroende för rättsväsendet.</w:t>
      </w:r>
    </w:p>
    <w:p w:rsidR="00A13B94" w:rsidRPr="00D23BEF" w:rsidRDefault="00A13B94">
      <w:pPr>
        <w:pStyle w:val="Hemstlatt"/>
        <w:numPr>
          <w:ilvl w:val="0"/>
          <w:numId w:val="1"/>
        </w:numPr>
        <w:shd w:val="clear" w:color="000000" w:fill="auto"/>
      </w:pPr>
      <w:r w:rsidRPr="00D23BEF">
        <w:t>Riksdagen tillkännager för regeringen som sin mening vad som i motionen anförs om vikten av att småföretagare och vissa kulturutövare i vissa fall kan få rättshjälp under samma förutsättningar som enskilda personer.</w:t>
      </w:r>
    </w:p>
    <w:p w:rsidR="001D50E1" w:rsidRPr="00D23BEF" w:rsidRDefault="001D50E1">
      <w:pPr>
        <w:shd w:val="clear" w:color="000000" w:fill="auto"/>
        <w:rPr>
          <w:vertAlign w:val="superscript"/>
        </w:rPr>
      </w:pPr>
    </w:p>
    <w:p w:rsidR="001D50E1" w:rsidRPr="00D23BEF" w:rsidRDefault="001D50E1">
      <w:pPr>
        <w:shd w:val="clear" w:color="000000" w:fill="auto"/>
        <w:rPr>
          <w:vertAlign w:val="superscript"/>
        </w:rPr>
      </w:pPr>
    </w:p>
    <w:p w:rsidR="001D50E1" w:rsidRPr="00D23BEF" w:rsidRDefault="001D50E1">
      <w:pPr>
        <w:shd w:val="clear" w:color="000000" w:fill="auto"/>
        <w:rPr>
          <w:vertAlign w:val="superscript"/>
        </w:rPr>
      </w:pPr>
    </w:p>
    <w:p w:rsidR="001D50E1" w:rsidRPr="00D23BEF" w:rsidRDefault="001D50E1">
      <w:pPr>
        <w:shd w:val="clear" w:color="000000" w:fill="auto"/>
        <w:rPr>
          <w:vertAlign w:val="superscript"/>
        </w:rPr>
      </w:pPr>
    </w:p>
    <w:p w:rsidR="004914A5" w:rsidRPr="00D23BEF" w:rsidRDefault="004914A5">
      <w:pPr>
        <w:pStyle w:val="Normaltindrag"/>
        <w:shd w:val="clear" w:color="000000" w:fill="auto"/>
      </w:pPr>
    </w:p>
    <w:p w:rsidR="004914A5" w:rsidRPr="00D23BEF" w:rsidRDefault="004914A5">
      <w:pPr>
        <w:pStyle w:val="Normaltindrag"/>
        <w:shd w:val="clear" w:color="000000" w:fill="auto"/>
      </w:pPr>
    </w:p>
    <w:p w:rsidR="004914A5" w:rsidRPr="00D23BEF" w:rsidRDefault="004914A5">
      <w:pPr>
        <w:pStyle w:val="Normaltindrag"/>
        <w:shd w:val="clear" w:color="000000" w:fill="auto"/>
      </w:pPr>
    </w:p>
    <w:p w:rsidR="004914A5" w:rsidRPr="00D23BEF" w:rsidRDefault="004914A5">
      <w:pPr>
        <w:pStyle w:val="Normaltindrag"/>
        <w:shd w:val="clear" w:color="000000" w:fill="auto"/>
      </w:pPr>
    </w:p>
    <w:p w:rsidR="004914A5" w:rsidRPr="00D23BEF" w:rsidRDefault="004914A5">
      <w:pPr>
        <w:pStyle w:val="Normaltindrag"/>
        <w:shd w:val="clear" w:color="000000" w:fill="auto"/>
      </w:pPr>
    </w:p>
    <w:p w:rsidR="004914A5" w:rsidRPr="00D23BEF" w:rsidRDefault="004914A5">
      <w:pPr>
        <w:pStyle w:val="Normaltindrag"/>
        <w:shd w:val="clear" w:color="000000" w:fill="auto"/>
      </w:pPr>
    </w:p>
    <w:p w:rsidR="004914A5" w:rsidRPr="00D23BEF" w:rsidRDefault="004914A5">
      <w:pPr>
        <w:pStyle w:val="Normaltindrag"/>
        <w:shd w:val="clear" w:color="000000" w:fill="auto"/>
      </w:pPr>
    </w:p>
    <w:p w:rsidR="001D50E1" w:rsidRPr="00D23BEF" w:rsidRDefault="001D50E1">
      <w:pPr>
        <w:shd w:val="clear" w:color="000000" w:fill="auto"/>
        <w:rPr>
          <w:vertAlign w:val="superscript"/>
        </w:rPr>
      </w:pPr>
    </w:p>
    <w:p w:rsidR="001D50E1" w:rsidRPr="00D23BEF" w:rsidRDefault="001D50E1">
      <w:pPr>
        <w:shd w:val="clear" w:color="000000" w:fill="auto"/>
        <w:rPr>
          <w:vertAlign w:val="superscript"/>
        </w:rPr>
      </w:pPr>
    </w:p>
    <w:p w:rsidR="00A13B94" w:rsidRPr="00D23BEF" w:rsidRDefault="00A13B94">
      <w:pPr>
        <w:shd w:val="clear" w:color="000000" w:fill="auto"/>
      </w:pPr>
      <w:r w:rsidRPr="00D23BEF">
        <w:rPr>
          <w:vertAlign w:val="superscript"/>
        </w:rPr>
        <w:t>1</w:t>
      </w:r>
      <w:r w:rsidRPr="00D23BEF">
        <w:t xml:space="preserve"> Yrkande 11 hänvisat till KU.</w:t>
      </w:r>
    </w:p>
    <w:p w:rsidR="00A13B94" w:rsidRPr="00D23BEF" w:rsidRDefault="00A13B94">
      <w:pPr>
        <w:shd w:val="clear" w:color="000000" w:fill="auto"/>
      </w:pPr>
      <w:r w:rsidRPr="00D23BEF">
        <w:rPr>
          <w:vertAlign w:val="superscript"/>
        </w:rPr>
        <w:t>2</w:t>
      </w:r>
      <w:r w:rsidRPr="00D23BEF">
        <w:t xml:space="preserve"> Yrkande 12 hänvisat till AU.</w:t>
      </w:r>
    </w:p>
    <w:p w:rsidR="00DD0113" w:rsidRPr="00D23BEF" w:rsidRDefault="005B1BC6">
      <w:pPr>
        <w:pStyle w:val="Rubrik1"/>
        <w:pageBreakBefore/>
        <w:shd w:val="clear" w:color="000000" w:fill="auto"/>
        <w:spacing w:before="0"/>
      </w:pPr>
      <w:bookmarkStart w:id="3" w:name="_Toc153162061"/>
      <w:r w:rsidRPr="00D23BEF">
        <w:t>Utgiftsområde 4</w:t>
      </w:r>
      <w:r w:rsidR="00A761A8" w:rsidRPr="00D23BEF">
        <w:t xml:space="preserve"> </w:t>
      </w:r>
      <w:r w:rsidRPr="00D23BEF">
        <w:t>Rättsväsendet</w:t>
      </w:r>
      <w:bookmarkEnd w:id="3"/>
    </w:p>
    <w:p w:rsidR="00DD0113" w:rsidRPr="00D23BEF" w:rsidRDefault="00370011">
      <w:pPr>
        <w:pStyle w:val="Rubrik2"/>
        <w:shd w:val="clear" w:color="000000" w:fill="auto"/>
        <w:spacing w:before="120"/>
      </w:pPr>
      <w:bookmarkStart w:id="4" w:name="_Toc153162062"/>
      <w:r w:rsidRPr="00D23BEF">
        <w:t xml:space="preserve">Ett effektivare </w:t>
      </w:r>
      <w:r w:rsidR="00FD16B6" w:rsidRPr="00D23BEF">
        <w:t xml:space="preserve">och mer rättvist </w:t>
      </w:r>
      <w:r w:rsidRPr="00D23BEF">
        <w:t>polisväsende</w:t>
      </w:r>
      <w:bookmarkEnd w:id="4"/>
    </w:p>
    <w:p w:rsidR="000014A9" w:rsidRPr="00D23BEF" w:rsidRDefault="00370011">
      <w:pPr>
        <w:shd w:val="clear" w:color="000000" w:fill="auto"/>
      </w:pPr>
      <w:r w:rsidRPr="00D23BEF">
        <w:t>Polisorganisationen har under den senaste mandatperioden</w:t>
      </w:r>
      <w:r w:rsidR="00F0614F" w:rsidRPr="00D23BEF">
        <w:t>, 2002</w:t>
      </w:r>
      <w:r w:rsidR="00A761A8" w:rsidRPr="00D23BEF">
        <w:t>–</w:t>
      </w:r>
      <w:r w:rsidR="00F0614F" w:rsidRPr="00D23BEF">
        <w:t>2006,</w:t>
      </w:r>
      <w:r w:rsidRPr="00D23BEF">
        <w:t xml:space="preserve"> til</w:t>
      </w:r>
      <w:r w:rsidRPr="00D23BEF">
        <w:t>l</w:t>
      </w:r>
      <w:r w:rsidRPr="00D23BEF">
        <w:t>förts över två och en halv miljard kronor.</w:t>
      </w:r>
      <w:r w:rsidR="00DD0113" w:rsidRPr="00D23BEF">
        <w:t xml:space="preserve"> </w:t>
      </w:r>
      <w:r w:rsidRPr="00D23BEF">
        <w:t>Miljöpart</w:t>
      </w:r>
      <w:r w:rsidR="008B2CAA" w:rsidRPr="00D23BEF">
        <w:t>iet har därmed tillsa</w:t>
      </w:r>
      <w:r w:rsidR="008B2CAA" w:rsidRPr="00D23BEF">
        <w:t>m</w:t>
      </w:r>
      <w:r w:rsidR="008B2CAA" w:rsidRPr="00D23BEF">
        <w:t>mans med S</w:t>
      </w:r>
      <w:r w:rsidRPr="00D23BEF">
        <w:t>ocial</w:t>
      </w:r>
      <w:r w:rsidR="008B2CAA" w:rsidRPr="00D23BEF">
        <w:softHyphen/>
      </w:r>
      <w:r w:rsidRPr="00D23BEF">
        <w:t xml:space="preserve">demokraterna och </w:t>
      </w:r>
      <w:r w:rsidR="00A761A8" w:rsidRPr="00D23BEF">
        <w:t xml:space="preserve">Vänsterpartiet </w:t>
      </w:r>
      <w:r w:rsidRPr="00D23BEF">
        <w:t>visat att polisväsendet är prioriterat och av den största vikt i vårt samhälle. Men polisverksamhet han</w:t>
      </w:r>
      <w:r w:rsidRPr="00D23BEF">
        <w:t>d</w:t>
      </w:r>
      <w:r w:rsidRPr="00D23BEF">
        <w:t>lar inte bara om pengar utan det avgörande är vad som presteras för pengarna och hur allmänhetens befogade intressen av ett funge</w:t>
      </w:r>
      <w:r w:rsidR="000D069F" w:rsidRPr="00D23BEF">
        <w:t>rande rättsväsende tas tillvara</w:t>
      </w:r>
      <w:r w:rsidR="00DD0113" w:rsidRPr="00D23BEF">
        <w:t xml:space="preserve">. </w:t>
      </w:r>
      <w:r w:rsidRPr="00D23BEF">
        <w:t>Vi anser att det finns ett stort reformbehov inom polisväsendet, som kan leda till att resurser kan frigöras för att fler polisutbildade skall kunna utreda bro</w:t>
      </w:r>
      <w:r w:rsidR="000D069F" w:rsidRPr="00D23BEF">
        <w:t>tt, samtidigt som fler så kallade</w:t>
      </w:r>
      <w:r w:rsidRPr="00D23BEF">
        <w:t xml:space="preserve"> civilanställda experter utreder fr</w:t>
      </w:r>
      <w:r w:rsidRPr="00D23BEF">
        <w:t>å</w:t>
      </w:r>
      <w:r w:rsidRPr="00D23BEF">
        <w:t>gor där specifik polisiär kompetens inte behövs. På så sätt kan</w:t>
      </w:r>
      <w:r w:rsidR="000D069F" w:rsidRPr="00D23BEF">
        <w:t xml:space="preserve"> fler brott utr</w:t>
      </w:r>
      <w:r w:rsidR="000D069F" w:rsidRPr="00D23BEF">
        <w:t>e</w:t>
      </w:r>
      <w:r w:rsidR="000D069F" w:rsidRPr="00D23BEF">
        <w:t>das, förhindras och</w:t>
      </w:r>
      <w:r w:rsidRPr="00D23BEF">
        <w:t xml:space="preserve"> förebyggas och fler av de</w:t>
      </w:r>
      <w:r w:rsidR="000D069F" w:rsidRPr="00D23BEF">
        <w:t>m</w:t>
      </w:r>
      <w:r w:rsidRPr="00D23BEF">
        <w:t xml:space="preserve"> som utsatts för brott kan få ett kompetent och effektivt bemötande.</w:t>
      </w:r>
      <w:r w:rsidR="00FF7742" w:rsidRPr="00D23BEF">
        <w:t xml:space="preserve"> Allt detta utan att ytterligare resurser behöver tillföras </w:t>
      </w:r>
      <w:r w:rsidR="00A761A8" w:rsidRPr="00D23BEF">
        <w:t>polisorganisationen</w:t>
      </w:r>
      <w:r w:rsidR="00FF7742" w:rsidRPr="00D23BEF">
        <w:t xml:space="preserve">. </w:t>
      </w:r>
    </w:p>
    <w:p w:rsidR="00FD16B6" w:rsidRPr="00D23BEF" w:rsidRDefault="00FD16B6">
      <w:pPr>
        <w:pStyle w:val="Normaltindrag"/>
        <w:shd w:val="clear" w:color="000000" w:fill="auto"/>
      </w:pPr>
      <w:r w:rsidRPr="00D23BEF">
        <w:t>Det under</w:t>
      </w:r>
      <w:r w:rsidRPr="00D23BEF">
        <w:rPr>
          <w:spacing w:val="-2"/>
        </w:rPr>
        <w:t>rättelseledda polisarbetet måste utvecklas. Då kan brott före</w:t>
      </w:r>
      <w:r w:rsidR="009C4918" w:rsidRPr="00D23BEF">
        <w:rPr>
          <w:spacing w:val="-2"/>
        </w:rPr>
        <w:softHyphen/>
      </w:r>
      <w:r w:rsidRPr="00D23BEF">
        <w:t>byggas på ett effektivt sätt och resurser användas smartare. Miljöpartiet anser at</w:t>
      </w:r>
      <w:r w:rsidRPr="00D23BEF">
        <w:rPr>
          <w:spacing w:val="-2"/>
        </w:rPr>
        <w:t>t polisens kriminal</w:t>
      </w:r>
      <w:r w:rsidR="008B2CAA" w:rsidRPr="00D23BEF">
        <w:rPr>
          <w:spacing w:val="-2"/>
        </w:rPr>
        <w:softHyphen/>
      </w:r>
      <w:r w:rsidRPr="00D23BEF">
        <w:rPr>
          <w:spacing w:val="-2"/>
        </w:rPr>
        <w:t xml:space="preserve">underrättelseverksamhet skulle kunna användas bättre om den personskyddsverksamhet som nu utförs av Säkerhetspolisen flyttas till </w:t>
      </w:r>
      <w:r w:rsidR="00A761A8" w:rsidRPr="00D23BEF">
        <w:rPr>
          <w:spacing w:val="-2"/>
        </w:rPr>
        <w:t>polis</w:t>
      </w:r>
      <w:r w:rsidR="009C4918" w:rsidRPr="00D23BEF">
        <w:rPr>
          <w:spacing w:val="-2"/>
        </w:rPr>
        <w:softHyphen/>
      </w:r>
      <w:r w:rsidR="00A761A8" w:rsidRPr="00D23BEF">
        <w:rPr>
          <w:spacing w:val="-2"/>
        </w:rPr>
        <w:t>organisationen</w:t>
      </w:r>
      <w:r w:rsidRPr="00D23BEF">
        <w:rPr>
          <w:spacing w:val="-2"/>
        </w:rPr>
        <w:t>. Då kan Säkerhets</w:t>
      </w:r>
      <w:r w:rsidR="008B2CAA" w:rsidRPr="00D23BEF">
        <w:rPr>
          <w:spacing w:val="-2"/>
        </w:rPr>
        <w:softHyphen/>
      </w:r>
      <w:r w:rsidRPr="00D23BEF">
        <w:rPr>
          <w:spacing w:val="-2"/>
        </w:rPr>
        <w:t>polisens arbete utvecklas mot mer stra</w:t>
      </w:r>
      <w:r w:rsidRPr="00D23BEF">
        <w:t>tegi och analys och färre operativa inslag.</w:t>
      </w:r>
    </w:p>
    <w:p w:rsidR="00FD16B6" w:rsidRPr="00D23BEF" w:rsidRDefault="00FD16B6">
      <w:pPr>
        <w:pStyle w:val="Normaltindrag"/>
        <w:shd w:val="clear" w:color="000000" w:fill="auto"/>
      </w:pPr>
      <w:r w:rsidRPr="00D23BEF">
        <w:t>För polisorganisationens trovärdighet är det av avgörande betydelse att allmänheten får ett korrekt bemötande, fritt från diskriminering, rasism, isl</w:t>
      </w:r>
      <w:r w:rsidRPr="00D23BEF">
        <w:t>a</w:t>
      </w:r>
      <w:r w:rsidRPr="00D23BEF">
        <w:t xml:space="preserve">mofobi och homofobi. En god tillgänglighet till polisens lokaler </w:t>
      </w:r>
      <w:r w:rsidR="004753E1" w:rsidRPr="00D23BEF">
        <w:t>är en föru</w:t>
      </w:r>
      <w:r w:rsidR="004753E1" w:rsidRPr="00D23BEF">
        <w:t>t</w:t>
      </w:r>
      <w:r w:rsidR="004753E1" w:rsidRPr="00D23BEF">
        <w:t>sättning</w:t>
      </w:r>
      <w:r w:rsidR="000D069F" w:rsidRPr="00D23BEF">
        <w:t xml:space="preserve"> för att polisen även skall fin</w:t>
      </w:r>
      <w:r w:rsidR="004753E1" w:rsidRPr="00D23BEF">
        <w:t>n</w:t>
      </w:r>
      <w:r w:rsidR="000D069F" w:rsidRPr="00D23BEF">
        <w:t>a</w:t>
      </w:r>
      <w:r w:rsidR="004753E1" w:rsidRPr="00D23BEF">
        <w:t xml:space="preserve">s till för funktionshindrade. </w:t>
      </w:r>
    </w:p>
    <w:p w:rsidR="004753E1" w:rsidRPr="00D23BEF" w:rsidRDefault="004753E1">
      <w:pPr>
        <w:pStyle w:val="Normaltindrag"/>
        <w:shd w:val="clear" w:color="000000" w:fill="auto"/>
      </w:pPr>
      <w:r w:rsidRPr="00D23BEF">
        <w:t xml:space="preserve">Arbetet för att minska mäns våld mot kvinnor måste prioriteras. </w:t>
      </w:r>
    </w:p>
    <w:p w:rsidR="001B6999" w:rsidRPr="00D23BEF" w:rsidRDefault="001B6999">
      <w:pPr>
        <w:pStyle w:val="Normaltindrag"/>
        <w:shd w:val="clear" w:color="000000" w:fill="auto"/>
      </w:pPr>
      <w:r w:rsidRPr="00D23BEF">
        <w:t>Polisen skall finnas till för alla, oavsett var i landet man bor, oavsett vem man är eller hur man ser ut.</w:t>
      </w:r>
    </w:p>
    <w:p w:rsidR="000014A9" w:rsidRPr="00D23BEF" w:rsidRDefault="000014A9">
      <w:pPr>
        <w:pStyle w:val="Rubrik3"/>
        <w:shd w:val="clear" w:color="000000" w:fill="auto"/>
      </w:pPr>
      <w:bookmarkStart w:id="5" w:name="_Toc153162063"/>
      <w:r w:rsidRPr="00D23BEF">
        <w:t>Effektivisering frigör viktiga resurser</w:t>
      </w:r>
      <w:bookmarkEnd w:id="5"/>
    </w:p>
    <w:p w:rsidR="000014A9" w:rsidRPr="00D23BEF" w:rsidRDefault="000014A9">
      <w:pPr>
        <w:shd w:val="clear" w:color="000000" w:fill="auto"/>
      </w:pPr>
      <w:r w:rsidRPr="00D23BEF">
        <w:t xml:space="preserve">Miljöpartiet föreslår </w:t>
      </w:r>
      <w:r w:rsidR="00370011" w:rsidRPr="00D23BEF">
        <w:t xml:space="preserve">att de effektiviseringsförslag som </w:t>
      </w:r>
      <w:r w:rsidR="00A761A8" w:rsidRPr="00D23BEF">
        <w:t>läggs fram</w:t>
      </w:r>
      <w:r w:rsidR="00370011" w:rsidRPr="00D23BEF">
        <w:t xml:space="preserve"> av Poli</w:t>
      </w:r>
      <w:r w:rsidR="00370011" w:rsidRPr="00D23BEF">
        <w:t>s</w:t>
      </w:r>
      <w:r w:rsidR="00370011" w:rsidRPr="00D23BEF">
        <w:t>verksamhets</w:t>
      </w:r>
      <w:r w:rsidR="008B2CAA" w:rsidRPr="00D23BEF">
        <w:softHyphen/>
      </w:r>
      <w:r w:rsidR="00370011" w:rsidRPr="00D23BEF">
        <w:t xml:space="preserve">utredningen i betänkandet Polisverksamhet i förändring (SOU 2002:70) </w:t>
      </w:r>
      <w:r w:rsidR="003436B2" w:rsidRPr="00D23BEF">
        <w:t xml:space="preserve">och som ännu inte genomförts, </w:t>
      </w:r>
      <w:r w:rsidR="00370011" w:rsidRPr="00D23BEF">
        <w:t>genomförs under det komm</w:t>
      </w:r>
      <w:r w:rsidR="003436B2" w:rsidRPr="00D23BEF">
        <w:t xml:space="preserve">ande året. Detta kan </w:t>
      </w:r>
      <w:r w:rsidR="00370011" w:rsidRPr="00D23BEF">
        <w:t>beräknas medföra att upp</w:t>
      </w:r>
      <w:r w:rsidR="003436B2" w:rsidRPr="00D23BEF">
        <w:t xml:space="preserve"> till 500 årsarbetsresurser </w:t>
      </w:r>
      <w:r w:rsidR="00A761A8" w:rsidRPr="00D23BEF">
        <w:t>frigör</w:t>
      </w:r>
      <w:r w:rsidR="00370011" w:rsidRPr="00D23BEF">
        <w:t xml:space="preserve">s för polisiärt arbete inom polisväsendet. </w:t>
      </w:r>
      <w:r w:rsidR="008100AF" w:rsidRPr="00D23BEF">
        <w:t>Det handlar om allt från att tillstånd enligt 2 och 3 kap. ordningslagen (1993:1617) inte längre skall ges av polisen utan av kommunerna, att hante</w:t>
      </w:r>
      <w:r w:rsidR="008100AF" w:rsidRPr="00D23BEF">
        <w:rPr>
          <w:spacing w:val="-2"/>
        </w:rPr>
        <w:t>randet av tillstånd att bedriva h</w:t>
      </w:r>
      <w:r w:rsidR="00A761A8" w:rsidRPr="00D23BEF">
        <w:rPr>
          <w:spacing w:val="-2"/>
        </w:rPr>
        <w:t>otell- och pensiona</w:t>
      </w:r>
      <w:r w:rsidR="00A761A8" w:rsidRPr="00D23BEF">
        <w:t>t</w:t>
      </w:r>
      <w:r w:rsidR="009C4918" w:rsidRPr="00D23BEF">
        <w:softHyphen/>
      </w:r>
      <w:r w:rsidR="008100AF" w:rsidRPr="00D23BEF">
        <w:t>rörelse enligt lagen (1966:742) överflyttas från polisen till kommunen, liksom tillstånd att hantera explosiva varor. Uppgiften att hantera förlust</w:t>
      </w:r>
      <w:r w:rsidR="008B2CAA" w:rsidRPr="00D23BEF">
        <w:softHyphen/>
      </w:r>
      <w:r w:rsidR="008100AF" w:rsidRPr="00D23BEF">
        <w:t>anmälan föreslås upphöra. Hittegodsverksamhet läggs ut på entreprenad men med polisen som tillståndsgivare till att entreprenad får ske. Stämningsmannaver</w:t>
      </w:r>
      <w:r w:rsidR="008100AF" w:rsidRPr="00D23BEF">
        <w:t>k</w:t>
      </w:r>
      <w:r w:rsidR="008100AF" w:rsidRPr="00D23BEF">
        <w:t>samheten överflyttas till kronofogdemyndigheten. Till skillnad från vad som för</w:t>
      </w:r>
      <w:r w:rsidR="00F36C10" w:rsidRPr="00D23BEF">
        <w:t>e</w:t>
      </w:r>
      <w:r w:rsidR="008100AF" w:rsidRPr="00D23BEF">
        <w:t>slås av utredningen i dess betänkande anser Miljöpartiet även att pas</w:t>
      </w:r>
      <w:r w:rsidR="008100AF" w:rsidRPr="00D23BEF">
        <w:t>s</w:t>
      </w:r>
      <w:r w:rsidR="008100AF" w:rsidRPr="00D23BEF">
        <w:t>verksamheten bör överflyttas till annan verksamhet – i det här fallet till r</w:t>
      </w:r>
      <w:r w:rsidR="008100AF" w:rsidRPr="00D23BEF">
        <w:t>e</w:t>
      </w:r>
      <w:r w:rsidR="008100AF" w:rsidRPr="00D23BEF">
        <w:t>spektive länsstyrelse. Dessa bör i sin tur kunna överlåta till privata entrepr</w:t>
      </w:r>
      <w:r w:rsidR="008100AF" w:rsidRPr="00D23BEF">
        <w:t>e</w:t>
      </w:r>
      <w:r w:rsidR="008100AF" w:rsidRPr="00D23BEF">
        <w:t>nörer att hantera vissa praktiska delar av passadministrationen. Internet bör även användas i ökad grad. Lagen (1987:24) om kommunal parkeringsöve</w:t>
      </w:r>
      <w:r w:rsidR="008100AF" w:rsidRPr="00D23BEF">
        <w:t>r</w:t>
      </w:r>
      <w:r w:rsidR="008100AF" w:rsidRPr="00D23BEF">
        <w:t>vakning</w:t>
      </w:r>
      <w:r w:rsidRPr="00D23BEF">
        <w:t xml:space="preserve"> förtydligas så att parkeringsvakter skall kunna biträda polisen med trafikdirigering och för att kommuner skall kunna samverka i dessa frågor. Samtliga uppgifter som ankommer på polisen enligt lagen om felparkerings</w:t>
      </w:r>
      <w:r w:rsidR="008B2CAA" w:rsidRPr="00D23BEF">
        <w:softHyphen/>
      </w:r>
      <w:r w:rsidRPr="00D23BEF">
        <w:t>avgift skall ankomma endast på kommunerna. Kommuner skall kunna sa</w:t>
      </w:r>
      <w:r w:rsidRPr="00D23BEF">
        <w:t>m</w:t>
      </w:r>
      <w:r w:rsidRPr="00D23BEF">
        <w:t>verka i dessa frågor. Kostnaden för inhägnande av övergivna gruvhål skall bäras av Bergss</w:t>
      </w:r>
      <w:r w:rsidR="00F0614F" w:rsidRPr="00D23BEF">
        <w:t>taten i stället för av polisen.</w:t>
      </w:r>
      <w:r w:rsidRPr="00D23BEF">
        <w:t xml:space="preserve"> Därtill kommer att polisens up</w:t>
      </w:r>
      <w:r w:rsidRPr="00D23BEF">
        <w:t>p</w:t>
      </w:r>
      <w:r w:rsidRPr="00D23BEF">
        <w:t>gifter inom detta omr</w:t>
      </w:r>
      <w:r w:rsidR="00F0614F" w:rsidRPr="00D23BEF">
        <w:t xml:space="preserve">åde överförs till Bergsstaten. </w:t>
      </w:r>
      <w:r w:rsidRPr="00D23BEF">
        <w:t>Genomförs denna behöv</w:t>
      </w:r>
      <w:r w:rsidR="009C4918" w:rsidRPr="00D23BEF">
        <w:softHyphen/>
      </w:r>
      <w:r w:rsidRPr="00D23BEF">
        <w:t>liga renodling av polisverksamheten, så behöver inget tillskott motsvarande det som nu föreslås av regeringen ske. Tvärtom kommer betydligt mer resu</w:t>
      </w:r>
      <w:r w:rsidRPr="00D23BEF">
        <w:t>r</w:t>
      </w:r>
      <w:r w:rsidRPr="00D23BEF">
        <w:t xml:space="preserve">ser att frigöras. </w:t>
      </w:r>
      <w:r w:rsidR="00FD16B6" w:rsidRPr="00D23BEF">
        <w:t>Dessa resurser kan användas för att utveckla det förebyggande arbetet, förbättra samarbetet mellan poliser och kommuner – särskilt i gle</w:t>
      </w:r>
      <w:r w:rsidR="00FD16B6" w:rsidRPr="00D23BEF">
        <w:t>s</w:t>
      </w:r>
      <w:r w:rsidR="00FD16B6" w:rsidRPr="00D23BEF">
        <w:t>bygd – och att underlätta erforderlig generationsväxling och nyrekrytering. På så sätt kan också fler brott klaras upp, målsäganden ges ett bättre bemötande och Sverige bli säkrare att leva i.</w:t>
      </w:r>
    </w:p>
    <w:p w:rsidR="004753E1" w:rsidRPr="00D23BEF" w:rsidRDefault="00E7113B">
      <w:pPr>
        <w:pStyle w:val="Normaltindrag"/>
        <w:shd w:val="clear" w:color="000000" w:fill="auto"/>
      </w:pPr>
      <w:r w:rsidRPr="00D23BEF">
        <w:t xml:space="preserve">Ett annat sätt för polisen att få resurser för det rent polisiära arbetet, är att möjliggöra för polisen att ta betalt </w:t>
      </w:r>
      <w:r w:rsidR="000D069F" w:rsidRPr="00D23BEF">
        <w:t>av den som anordnar arrangemang</w:t>
      </w:r>
      <w:r w:rsidRPr="00D23BEF">
        <w:t xml:space="preserve"> som kräver polisövervakning. </w:t>
      </w:r>
      <w:r w:rsidR="00461BB1" w:rsidRPr="00D23BEF">
        <w:t>En möjlighet att ta betalt av kommersiella aktörer finns redan i dag i 26 § ordningslagen (1993:1617) men det har visat sig vara förenat med stora tillämpnings- och gräns</w:t>
      </w:r>
      <w:r w:rsidR="008B2CAA" w:rsidRPr="00D23BEF">
        <w:softHyphen/>
      </w:r>
      <w:r w:rsidR="00461BB1" w:rsidRPr="00D23BEF">
        <w:t>dragningsproblem att a</w:t>
      </w:r>
      <w:r w:rsidR="00A761A8" w:rsidRPr="00D23BEF">
        <w:t>vgöra när polisen kan ta betalt</w:t>
      </w:r>
      <w:r w:rsidR="00461BB1" w:rsidRPr="00D23BEF">
        <w:t xml:space="preserve"> respektive inte kan ta betalt. Klart är dock enligt vår mening att polisen inte skall behöva stå för kostnader för övervakning av idrotts-, mu</w:t>
      </w:r>
      <w:r w:rsidR="00A761A8" w:rsidRPr="00D23BEF">
        <w:t>sik- och andra dylika evenemang</w:t>
      </w:r>
      <w:r w:rsidR="00461BB1" w:rsidRPr="00D23BEF">
        <w:t xml:space="preserve"> där arrangörens verksamhet går med vinst. Vi menar att ett tydliggörande som leder till att polisen i ökad grad kan få ta betalt för övervakning kan frigöra stora resurser för polisen.</w:t>
      </w:r>
      <w:r w:rsidR="00F9443C" w:rsidRPr="00D23BEF">
        <w:t xml:space="preserve"> Exakt hur detta skall ske är svårt att i dag avgöra men bör lämpligen utredas vidare av regeringen i särskild ordning.</w:t>
      </w:r>
    </w:p>
    <w:p w:rsidR="004753E1" w:rsidRPr="00D23BEF" w:rsidRDefault="004753E1">
      <w:pPr>
        <w:pStyle w:val="Rubrik3"/>
        <w:shd w:val="clear" w:color="000000" w:fill="auto"/>
      </w:pPr>
      <w:bookmarkStart w:id="6" w:name="_Toc153162064"/>
      <w:r w:rsidRPr="00D23BEF">
        <w:t>Ett polisväsende fritt från diskriminering</w:t>
      </w:r>
      <w:bookmarkEnd w:id="6"/>
    </w:p>
    <w:p w:rsidR="004753E1" w:rsidRPr="00D23BEF" w:rsidRDefault="004753E1">
      <w:pPr>
        <w:shd w:val="clear" w:color="000000" w:fill="auto"/>
      </w:pPr>
      <w:r w:rsidRPr="00D23BEF">
        <w:t>Alla som kom</w:t>
      </w:r>
      <w:r w:rsidR="000D069F" w:rsidRPr="00D23BEF">
        <w:t>mer i kontakt med polisväsendet</w:t>
      </w:r>
      <w:r w:rsidRPr="00D23BEF">
        <w:t xml:space="preserve"> skall få ett korrekt bemötande. Den som begått ett brott eller utsatts för brottslighet skall inte bli bedömd basera</w:t>
      </w:r>
      <w:r w:rsidR="00A761A8" w:rsidRPr="00D23BEF">
        <w:t>t</w:t>
      </w:r>
      <w:r w:rsidRPr="00D23BEF">
        <w:t xml:space="preserve"> på sin sexuella läggning, sin hudfärg, sitt kön eller sitt funktionshi</w:t>
      </w:r>
      <w:r w:rsidRPr="00D23BEF">
        <w:t>n</w:t>
      </w:r>
      <w:r w:rsidRPr="00D23BEF">
        <w:t>der, utan endast basera</w:t>
      </w:r>
      <w:r w:rsidR="00A761A8" w:rsidRPr="00D23BEF">
        <w:t>t</w:t>
      </w:r>
      <w:r w:rsidRPr="00D23BEF">
        <w:t xml:space="preserve"> på hans eller hennes egenskaper och erfarenheter som person. Det faktum att brottet begåtts mot en person på grund av dennes etn</w:t>
      </w:r>
      <w:r w:rsidRPr="00D23BEF">
        <w:t>i</w:t>
      </w:r>
      <w:r w:rsidRPr="00D23BEF">
        <w:t>citet eller sexuella läggning skall emellertid alltid leda till att brottet karakt</w:t>
      </w:r>
      <w:r w:rsidRPr="00D23BEF">
        <w:t>ä</w:t>
      </w:r>
      <w:r w:rsidRPr="00D23BEF">
        <w:t>riseras som ett hetsbrott.</w:t>
      </w:r>
    </w:p>
    <w:p w:rsidR="004753E1" w:rsidRPr="00D23BEF" w:rsidRDefault="004753E1">
      <w:pPr>
        <w:pStyle w:val="Normaltindrag"/>
        <w:shd w:val="clear" w:color="000000" w:fill="auto"/>
      </w:pPr>
      <w:r w:rsidRPr="00D23BEF">
        <w:t>I många polismyndigheter pågår ett arbete för att bekämpa diskriminering och fördomar</w:t>
      </w:r>
      <w:r w:rsidR="00A761A8" w:rsidRPr="00D23BEF">
        <w:t>,</w:t>
      </w:r>
      <w:r w:rsidRPr="00D23BEF">
        <w:t xml:space="preserve"> och polismyndigheterna arbetar på många olika sätt för att visa att de finns till för alla. Ett exempel är polismyndigheten i Uppsala län, som i sin ent</w:t>
      </w:r>
      <w:r w:rsidR="00A761A8" w:rsidRPr="00D23BEF">
        <w:t>ré har hängt upp en liten Pride</w:t>
      </w:r>
      <w:r w:rsidRPr="00D23BEF">
        <w:t>flagga bland ett antal små polisuniform</w:t>
      </w:r>
      <w:r w:rsidRPr="00D23BEF">
        <w:t>s</w:t>
      </w:r>
      <w:r w:rsidRPr="00D23BEF">
        <w:t>tröjor.</w:t>
      </w:r>
    </w:p>
    <w:p w:rsidR="004753E1" w:rsidRPr="00D23BEF" w:rsidRDefault="004753E1">
      <w:pPr>
        <w:pStyle w:val="Normaltindrag"/>
        <w:shd w:val="clear" w:color="000000" w:fill="auto"/>
      </w:pPr>
      <w:r w:rsidRPr="00D23BEF">
        <w:t>För att alla poliser och anställda inom polisväsendet skall kunna arbeta utan diskriminering och fördomar, behöver de utbildas, informeras och han</w:t>
      </w:r>
      <w:r w:rsidRPr="00D23BEF">
        <w:t>d</w:t>
      </w:r>
      <w:r w:rsidRPr="00D23BEF">
        <w:t>ledas. Metodmaterial måste tas fram, utvecklas och hållas vid liv</w:t>
      </w:r>
      <w:r w:rsidR="00A761A8" w:rsidRPr="00D23BEF">
        <w:t xml:space="preserve"> och r</w:t>
      </w:r>
      <w:r w:rsidRPr="00D23BEF">
        <w:t xml:space="preserve">utiner utarbetas och följas. För att detta arbete skall ske måste särskilda resurser avsättas. </w:t>
      </w:r>
      <w:r w:rsidR="00BD0A49" w:rsidRPr="00D23BEF">
        <w:t xml:space="preserve">Vi </w:t>
      </w:r>
      <w:r w:rsidR="00F9443C" w:rsidRPr="00D23BEF">
        <w:t xml:space="preserve">beräknar att de motsvarar </w:t>
      </w:r>
      <w:r w:rsidR="00A761A8" w:rsidRPr="00D23BEF">
        <w:t>5</w:t>
      </w:r>
      <w:r w:rsidR="00FF7742" w:rsidRPr="00D23BEF">
        <w:t xml:space="preserve"> miljoner kronor</w:t>
      </w:r>
      <w:r w:rsidR="00BD0A49" w:rsidRPr="00D23BEF">
        <w:t xml:space="preserve"> årligen.</w:t>
      </w:r>
    </w:p>
    <w:p w:rsidR="00BD0A49" w:rsidRPr="00D23BEF" w:rsidRDefault="00BD0A49">
      <w:pPr>
        <w:pStyle w:val="Normaltindrag"/>
        <w:shd w:val="clear" w:color="000000" w:fill="auto"/>
      </w:pPr>
      <w:r w:rsidRPr="00D23BEF">
        <w:t xml:space="preserve">Tillgänglighetsanpassningen av </w:t>
      </w:r>
      <w:r w:rsidR="00A761A8" w:rsidRPr="00D23BEF">
        <w:t>polisorganisationen</w:t>
      </w:r>
      <w:r w:rsidRPr="00D23BEF">
        <w:t>, så att alla funktion</w:t>
      </w:r>
      <w:r w:rsidRPr="00D23BEF">
        <w:t>s</w:t>
      </w:r>
      <w:r w:rsidRPr="00D23BEF">
        <w:t xml:space="preserve">hindrade kan komma i kontakt med polisen, måste gå snabbare än som är fallet i </w:t>
      </w:r>
      <w:r w:rsidRPr="00D23BEF">
        <w:rPr>
          <w:spacing w:val="-2"/>
        </w:rPr>
        <w:t>dag. Vi avsätter därför 2</w:t>
      </w:r>
      <w:r w:rsidR="00FF7742" w:rsidRPr="00D23BEF">
        <w:rPr>
          <w:spacing w:val="-2"/>
        </w:rPr>
        <w:t>0 miljoner kronor för detta v</w:t>
      </w:r>
      <w:r w:rsidR="00FF7742" w:rsidRPr="00D23BEF">
        <w:t>iktiga arbete per år.</w:t>
      </w:r>
    </w:p>
    <w:p w:rsidR="00F9443C" w:rsidRPr="00D23BEF" w:rsidRDefault="00F9443C">
      <w:pPr>
        <w:pStyle w:val="Normaltindrag"/>
        <w:shd w:val="clear" w:color="000000" w:fill="auto"/>
      </w:pPr>
      <w:r w:rsidRPr="00D23BEF">
        <w:t>De ovan beskrivna utbildningssatsningarna och tillgänglighetsanpassnin</w:t>
      </w:r>
      <w:r w:rsidRPr="00D23BEF">
        <w:t>g</w:t>
      </w:r>
      <w:r w:rsidRPr="00D23BEF">
        <w:t>arna kan finansieras geno</w:t>
      </w:r>
      <w:r w:rsidRPr="00D23BEF">
        <w:rPr>
          <w:spacing w:val="-2"/>
        </w:rPr>
        <w:t>m ett överförande av 25 miljoner kronor från ansla</w:t>
      </w:r>
      <w:r w:rsidRPr="00D23BEF">
        <w:t>get 4:2 Säkerhetspolisen.</w:t>
      </w:r>
    </w:p>
    <w:p w:rsidR="004753E1" w:rsidRPr="00D23BEF" w:rsidRDefault="00461BB1">
      <w:pPr>
        <w:pStyle w:val="Rubrik3"/>
        <w:shd w:val="clear" w:color="000000" w:fill="auto"/>
      </w:pPr>
      <w:bookmarkStart w:id="7" w:name="_Toc153162065"/>
      <w:r w:rsidRPr="00D23BEF">
        <w:t>En smartare polis</w:t>
      </w:r>
      <w:bookmarkEnd w:id="7"/>
    </w:p>
    <w:p w:rsidR="00461BB1" w:rsidRPr="00D23BEF" w:rsidRDefault="00461BB1">
      <w:pPr>
        <w:shd w:val="clear" w:color="000000" w:fill="auto"/>
      </w:pPr>
      <w:r w:rsidRPr="00D23BEF">
        <w:t>Ett väl fungerande underrättelselett arbete är som ovan beskrivits en förutsät</w:t>
      </w:r>
      <w:r w:rsidRPr="00D23BEF">
        <w:t>t</w:t>
      </w:r>
      <w:r w:rsidRPr="00D23BEF">
        <w:t>ning för att kunna såväl förebygga som utreda begångna brott. Den kunskap som utvecklas inom polisväsendet bör enligt vår mening tas tillvara även inom ramen för det personskydd som Säkerhetspolisen i dag utför av rikets ledning. Ett effektivt sätt att kunna genom</w:t>
      </w:r>
      <w:r w:rsidR="008B2CAA" w:rsidRPr="00D23BEF">
        <w:softHyphen/>
      </w:r>
      <w:r w:rsidRPr="00D23BEF">
        <w:t xml:space="preserve">föra detta är att </w:t>
      </w:r>
      <w:r w:rsidR="00A761A8" w:rsidRPr="00D23BEF">
        <w:t xml:space="preserve">polisorganisationen </w:t>
      </w:r>
      <w:r w:rsidRPr="00D23BEF">
        <w:t>även får ansvar för personskyddet. Det finns dessutom enligt vår mening inga sakliga skäl för varför skydd av enskilda privat</w:t>
      </w:r>
      <w:r w:rsidR="008B2CAA" w:rsidRPr="00D23BEF">
        <w:softHyphen/>
      </w:r>
      <w:r w:rsidRPr="00D23BEF">
        <w:t>personer och de som ingår i rikets ledning skall hanteras annorlunda.</w:t>
      </w:r>
    </w:p>
    <w:p w:rsidR="00BD0A49" w:rsidRPr="00D23BEF" w:rsidRDefault="00BD0A49">
      <w:pPr>
        <w:pStyle w:val="Normaltindrag"/>
        <w:shd w:val="clear" w:color="000000" w:fill="auto"/>
      </w:pPr>
      <w:r w:rsidRPr="00D23BEF">
        <w:t>Genom ett överförande av den kompetens som u</w:t>
      </w:r>
      <w:r w:rsidR="000D069F" w:rsidRPr="00D23BEF">
        <w:t>tvecklats inom Säkerhet</w:t>
      </w:r>
      <w:r w:rsidR="000D069F" w:rsidRPr="00D23BEF">
        <w:t>s</w:t>
      </w:r>
      <w:r w:rsidR="000D069F" w:rsidRPr="00D23BEF">
        <w:t>polisen</w:t>
      </w:r>
      <w:r w:rsidRPr="00D23BEF">
        <w:t xml:space="preserve"> kan </w:t>
      </w:r>
      <w:r w:rsidR="00A761A8" w:rsidRPr="00D23BEF">
        <w:t xml:space="preserve">polisväsendet </w:t>
      </w:r>
      <w:r w:rsidRPr="00D23BEF">
        <w:t>utvecklas även i andra delar. Exempelvis kan a</w:t>
      </w:r>
      <w:r w:rsidRPr="00D23BEF">
        <w:t>r</w:t>
      </w:r>
      <w:r w:rsidRPr="00D23BEF">
        <w:t>betsmetoder utvecklas som visar att hemlig rumsavlyssning, datalagring, preventiva tvångsmedel eller skyddade polisidentiteter inte är de smartaste och bästa lösningarna på polisens behov.</w:t>
      </w:r>
    </w:p>
    <w:p w:rsidR="00BD0A49" w:rsidRPr="00D23BEF" w:rsidRDefault="00BD0A49">
      <w:pPr>
        <w:pStyle w:val="Normaltindrag"/>
        <w:shd w:val="clear" w:color="000000" w:fill="auto"/>
      </w:pPr>
      <w:r w:rsidRPr="00D23BEF">
        <w:t>Överförandet av ansvaret för personskyddet medför ett visst behov av ök</w:t>
      </w:r>
      <w:r w:rsidRPr="00D23BEF">
        <w:t>a</w:t>
      </w:r>
      <w:r w:rsidRPr="00D23BEF">
        <w:t>de resurser, utöver de som frigörs genom de effektiviseringar som tidigare beskrivits. Miljöpartiets bedömning är att de kan tillgodoses genom en öve</w:t>
      </w:r>
      <w:r w:rsidRPr="00D23BEF">
        <w:t>r</w:t>
      </w:r>
      <w:r w:rsidRPr="00D23BEF">
        <w:t xml:space="preserve">föring av 100 </w:t>
      </w:r>
      <w:r w:rsidR="00F0614F" w:rsidRPr="00D23BEF">
        <w:t>miljoner kronor</w:t>
      </w:r>
      <w:r w:rsidRPr="00D23BEF">
        <w:t xml:space="preserve"> från anslaget 4:2 Säkerhetspolisen.</w:t>
      </w:r>
    </w:p>
    <w:p w:rsidR="00BD0A49" w:rsidRPr="00D23BEF" w:rsidRDefault="00BD0A49">
      <w:pPr>
        <w:pStyle w:val="Rubrik3"/>
        <w:shd w:val="clear" w:color="000000" w:fill="auto"/>
      </w:pPr>
      <w:bookmarkStart w:id="8" w:name="_Toc153162066"/>
      <w:r w:rsidRPr="00D23BEF">
        <w:t>Sammanfattande förslag</w:t>
      </w:r>
      <w:bookmarkEnd w:id="8"/>
    </w:p>
    <w:p w:rsidR="00BD0A49" w:rsidRPr="00D23BEF" w:rsidRDefault="003436B2">
      <w:pPr>
        <w:shd w:val="clear" w:color="000000" w:fill="auto"/>
      </w:pPr>
      <w:r w:rsidRPr="00D23BEF">
        <w:t xml:space="preserve">Miljöpartiet anser att </w:t>
      </w:r>
      <w:r w:rsidR="00A761A8" w:rsidRPr="00D23BEF">
        <w:t xml:space="preserve">regeringens </w:t>
      </w:r>
      <w:r w:rsidRPr="00D23BEF">
        <w:t xml:space="preserve">förslag om tillskott till </w:t>
      </w:r>
      <w:r w:rsidR="00A761A8" w:rsidRPr="00D23BEF">
        <w:t xml:space="preserve">polisorganisationen </w:t>
      </w:r>
      <w:r w:rsidRPr="00D23BEF">
        <w:t>är obehö</w:t>
      </w:r>
      <w:r w:rsidR="008C401C" w:rsidRPr="00D23BEF">
        <w:t>vligt. De extraresurser som behö</w:t>
      </w:r>
      <w:r w:rsidRPr="00D23BEF">
        <w:t>vs kan tillgodoses genom de i denna motion föreslagna effektiviseringarn</w:t>
      </w:r>
      <w:r w:rsidR="00F9443C" w:rsidRPr="00D23BEF">
        <w:t>a av polisverksamheten och genom öve</w:t>
      </w:r>
      <w:r w:rsidR="00F9443C" w:rsidRPr="00D23BEF">
        <w:t>r</w:t>
      </w:r>
      <w:r w:rsidR="00F9443C" w:rsidRPr="00D23BEF">
        <w:t xml:space="preserve">förande av resurser från anslaget 4:2 Säkerhetspolisen. </w:t>
      </w:r>
      <w:r w:rsidR="00BD0A49" w:rsidRPr="00D23BEF">
        <w:t>Miljöpartiets budge</w:t>
      </w:r>
      <w:r w:rsidR="00BD0A49" w:rsidRPr="00D23BEF">
        <w:t>t</w:t>
      </w:r>
      <w:r w:rsidR="00BD0A49" w:rsidRPr="00D23BEF">
        <w:t xml:space="preserve">förslag för </w:t>
      </w:r>
      <w:r w:rsidR="00A761A8" w:rsidRPr="00D23BEF">
        <w:t xml:space="preserve">polisorganisationen </w:t>
      </w:r>
      <w:r w:rsidR="00BD0A49" w:rsidRPr="00D23BEF">
        <w:t xml:space="preserve">medför </w:t>
      </w:r>
      <w:r w:rsidRPr="00D23BEF">
        <w:t xml:space="preserve">därför </w:t>
      </w:r>
      <w:r w:rsidR="00F9443C" w:rsidRPr="00D23BEF">
        <w:t xml:space="preserve">att dess anslag minskas med </w:t>
      </w:r>
      <w:r w:rsidR="008C401C" w:rsidRPr="00D23BEF">
        <w:t>50</w:t>
      </w:r>
      <w:r w:rsidR="009C4918" w:rsidRPr="00D23BEF">
        <w:t> </w:t>
      </w:r>
      <w:r w:rsidR="00F0614F" w:rsidRPr="00D23BEF">
        <w:t>miljoner kronor</w:t>
      </w:r>
      <w:r w:rsidR="00BD0A49" w:rsidRPr="00D23BEF">
        <w:t xml:space="preserve"> i förhå</w:t>
      </w:r>
      <w:r w:rsidR="005207A6" w:rsidRPr="00D23BEF">
        <w:t>llande till regering</w:t>
      </w:r>
      <w:r w:rsidR="008C401C" w:rsidRPr="00D23BEF">
        <w:t>ens förslag för år 2007, med 545</w:t>
      </w:r>
      <w:r w:rsidR="009C4918" w:rsidRPr="00D23BEF">
        <w:t> </w:t>
      </w:r>
      <w:r w:rsidR="005207A6" w:rsidRPr="00D23BEF">
        <w:t>miljoner</w:t>
      </w:r>
      <w:r w:rsidR="008C401C" w:rsidRPr="00D23BEF">
        <w:t xml:space="preserve"> kronor för år 2008 och 475</w:t>
      </w:r>
      <w:r w:rsidR="005207A6" w:rsidRPr="00D23BEF">
        <w:t xml:space="preserve"> miljoner kronor för år 2009.</w:t>
      </w:r>
    </w:p>
    <w:p w:rsidR="00DD0113" w:rsidRPr="00D23BEF" w:rsidRDefault="00BD0A49">
      <w:pPr>
        <w:pStyle w:val="Rubrik2"/>
        <w:shd w:val="clear" w:color="000000" w:fill="auto"/>
      </w:pPr>
      <w:bookmarkStart w:id="9" w:name="_Toc153162067"/>
      <w:r w:rsidRPr="00D23BEF">
        <w:t>Säkerhetspolisen</w:t>
      </w:r>
      <w:bookmarkEnd w:id="9"/>
    </w:p>
    <w:p w:rsidR="00DD0113" w:rsidRPr="00D23BEF" w:rsidRDefault="00F05BA9">
      <w:pPr>
        <w:shd w:val="clear" w:color="000000" w:fill="auto"/>
      </w:pPr>
      <w:r w:rsidRPr="00D23BEF">
        <w:t>Säkerhetspolisens arbete för att på ett strategiskt plan upprätthålla rikets s</w:t>
      </w:r>
      <w:r w:rsidRPr="00D23BEF">
        <w:t>ä</w:t>
      </w:r>
      <w:r w:rsidRPr="00D23BEF">
        <w:t>kerhet måste utvecklas. Detta gäller särskilt när de internationella miljö</w:t>
      </w:r>
      <w:r w:rsidR="009C4918" w:rsidRPr="00D23BEF">
        <w:softHyphen/>
      </w:r>
      <w:r w:rsidRPr="00D23BEF">
        <w:t>problemen accentueras, när handeln med människor över landets gränser tilltar och</w:t>
      </w:r>
      <w:r w:rsidR="000D069F" w:rsidRPr="00D23BEF">
        <w:t xml:space="preserve"> när narkotika och andra droger</w:t>
      </w:r>
      <w:r w:rsidRPr="00D23BEF">
        <w:t xml:space="preserve"> finner olagl</w:t>
      </w:r>
      <w:r w:rsidR="00F0614F" w:rsidRPr="00D23BEF">
        <w:t xml:space="preserve">iga vägar över rikets gränser. </w:t>
      </w:r>
      <w:r w:rsidR="008C401C" w:rsidRPr="00D23BEF">
        <w:t xml:space="preserve">Även den alltmer utbredda förekomsten av främlingsfientliga och rasistiska organisationer med homo- och islamofobiska drag föranleder ett sådant behov. </w:t>
      </w:r>
      <w:r w:rsidRPr="00D23BEF">
        <w:t>Om gårdagens hot mot Sveriges säkerhet låg i spioneri från länder i det forna Öst</w:t>
      </w:r>
      <w:r w:rsidR="00A761A8" w:rsidRPr="00D23BEF">
        <w:t>e</w:t>
      </w:r>
      <w:r w:rsidRPr="00D23BEF">
        <w:t>uropa, så kan morgondagens finnas i gasbolag som vill dra ledningar på Östersjöns botten eller krafter inom vårt land som hellre ser ett Sverige med en homogent formad befolkning, än en mix av personer från olika länder och med olika erfarenheter. Skyddet mot brott som begås via Internet och andra digitala medier måste också uppmärksammas.</w:t>
      </w:r>
    </w:p>
    <w:p w:rsidR="00F05BA9" w:rsidRPr="00D23BEF" w:rsidRDefault="00F05BA9">
      <w:pPr>
        <w:pStyle w:val="Normaltindrag"/>
        <w:shd w:val="clear" w:color="000000" w:fill="auto"/>
      </w:pPr>
      <w:r w:rsidRPr="00D23BEF">
        <w:t xml:space="preserve">Ett led i att Säkerhetspolisen skall kunna bedriva ett mer strategiskt och mindre operativt arbete, är att förflytta personskyddsverksamheten till </w:t>
      </w:r>
      <w:r w:rsidR="00A761A8" w:rsidRPr="00D23BEF">
        <w:t>poli</w:t>
      </w:r>
      <w:r w:rsidR="00A761A8" w:rsidRPr="00D23BEF">
        <w:t>s</w:t>
      </w:r>
      <w:r w:rsidR="00A761A8" w:rsidRPr="00D23BEF">
        <w:t>organisationen</w:t>
      </w:r>
      <w:r w:rsidRPr="00D23BEF">
        <w:t>. Därige</w:t>
      </w:r>
      <w:r w:rsidR="008F1E6E" w:rsidRPr="00D23BEF">
        <w:t>nom minskar anslaget 4:2 med 125</w:t>
      </w:r>
      <w:r w:rsidR="00FF7742" w:rsidRPr="00D23BEF">
        <w:t xml:space="preserve"> miljoner kronor</w:t>
      </w:r>
      <w:r w:rsidRPr="00D23BEF">
        <w:t xml:space="preserve"> för år 2007 och framledes.</w:t>
      </w:r>
      <w:r w:rsidR="00F9443C" w:rsidRPr="00D23BEF">
        <w:t xml:space="preserve"> Av dessa överförs 125</w:t>
      </w:r>
      <w:r w:rsidR="00FF7742" w:rsidRPr="00D23BEF">
        <w:t xml:space="preserve"> miljoner kronor</w:t>
      </w:r>
      <w:r w:rsidR="008F1E6E" w:rsidRPr="00D23BEF">
        <w:t xml:space="preserve"> till anslaget 4:1 Polisorganisationen.</w:t>
      </w:r>
    </w:p>
    <w:p w:rsidR="00F05BA9" w:rsidRPr="00D23BEF" w:rsidRDefault="00F05BA9">
      <w:pPr>
        <w:pStyle w:val="Normaltindrag"/>
        <w:shd w:val="clear" w:color="000000" w:fill="auto"/>
      </w:pPr>
      <w:r w:rsidRPr="00D23BEF">
        <w:t>Det finns enligt vår mening inget behov för Säkerhetspolisen att ut</w:t>
      </w:r>
      <w:r w:rsidR="005207A6" w:rsidRPr="00D23BEF">
        <w:t>veckla kontra</w:t>
      </w:r>
      <w:r w:rsidR="008B2CAA" w:rsidRPr="00D23BEF">
        <w:softHyphen/>
      </w:r>
      <w:r w:rsidR="005207A6" w:rsidRPr="00D23BEF">
        <w:t>terrorverksamhet. D</w:t>
      </w:r>
      <w:r w:rsidRPr="00D23BEF">
        <w:t>etta då det inte finns någon sådan hotbild mot Sv</w:t>
      </w:r>
      <w:r w:rsidRPr="00D23BEF">
        <w:t>e</w:t>
      </w:r>
      <w:r w:rsidRPr="00D23BEF">
        <w:t>rige och då inga terrorhot förekommit eller kommer att förekomma i Sverige. Mot denna bakgrund anser vi inte att någon höjning av ansla</w:t>
      </w:r>
      <w:r w:rsidR="00FF7742" w:rsidRPr="00D23BEF">
        <w:t>get behövs me</w:t>
      </w:r>
      <w:r w:rsidR="000D069F" w:rsidRPr="00D23BEF">
        <w:t>d föreslagna 75 miljoner kronor</w:t>
      </w:r>
      <w:r w:rsidR="00FF7742" w:rsidRPr="00D23BEF">
        <w:t xml:space="preserve"> för detta ändamål</w:t>
      </w:r>
      <w:r w:rsidRPr="00D23BEF">
        <w:t>.</w:t>
      </w:r>
    </w:p>
    <w:p w:rsidR="00F05BA9" w:rsidRPr="00D23BEF" w:rsidRDefault="00F05BA9">
      <w:pPr>
        <w:pStyle w:val="Normaltindrag"/>
        <w:shd w:val="clear" w:color="000000" w:fill="auto"/>
      </w:pPr>
      <w:r w:rsidRPr="00D23BEF">
        <w:t>Sammantaget medför detta att Miljöpartiet föreslår att anslaget 4:2 Säke</w:t>
      </w:r>
      <w:r w:rsidRPr="00D23BEF">
        <w:t>r</w:t>
      </w:r>
      <w:r w:rsidRPr="00D23BEF">
        <w:t xml:space="preserve">hetspolisen </w:t>
      </w:r>
      <w:r w:rsidR="00F30019" w:rsidRPr="00D23BEF">
        <w:t xml:space="preserve">minskas med </w:t>
      </w:r>
      <w:r w:rsidR="005207A6" w:rsidRPr="00D23BEF">
        <w:t>75 miljoner kronor årligen för tiden 2006</w:t>
      </w:r>
      <w:r w:rsidR="00A761A8" w:rsidRPr="00D23BEF">
        <w:t>–</w:t>
      </w:r>
      <w:r w:rsidR="005207A6" w:rsidRPr="00D23BEF">
        <w:t>2009. Utöver detta överförs 125 miljoner kronor till anslaget 4:1 Polisorganisati</w:t>
      </w:r>
      <w:r w:rsidR="005207A6" w:rsidRPr="00D23BEF">
        <w:t>o</w:t>
      </w:r>
      <w:r w:rsidR="005207A6" w:rsidRPr="00D23BEF">
        <w:t>nen för dess övertagande av person</w:t>
      </w:r>
      <w:r w:rsidR="008B2CAA" w:rsidRPr="00D23BEF">
        <w:softHyphen/>
      </w:r>
      <w:r w:rsidR="005207A6" w:rsidRPr="00D23BEF">
        <w:t>skyddet och för att möjliggöra viss komp</w:t>
      </w:r>
      <w:r w:rsidR="005207A6" w:rsidRPr="00D23BEF">
        <w:t>e</w:t>
      </w:r>
      <w:r w:rsidR="005207A6" w:rsidRPr="00D23BEF">
        <w:t>tensutveckling och ökad tillgänglighet.</w:t>
      </w:r>
      <w:r w:rsidR="008C401C" w:rsidRPr="00D23BEF">
        <w:t xml:space="preserve"> Totalt motsvarar detta en minskning med 200 miljoner kronor per år.</w:t>
      </w:r>
    </w:p>
    <w:p w:rsidR="00DD0113" w:rsidRPr="00D23BEF" w:rsidRDefault="00891FC6">
      <w:pPr>
        <w:pStyle w:val="Rubrik2"/>
        <w:shd w:val="clear" w:color="000000" w:fill="auto"/>
      </w:pPr>
      <w:bookmarkStart w:id="10" w:name="_Toc153162068"/>
      <w:r w:rsidRPr="00D23BEF">
        <w:t>Åklagarmyndigheten</w:t>
      </w:r>
      <w:bookmarkEnd w:id="10"/>
    </w:p>
    <w:p w:rsidR="00DD0113" w:rsidRPr="00D23BEF" w:rsidRDefault="00B476C9">
      <w:pPr>
        <w:shd w:val="clear" w:color="000000" w:fill="auto"/>
      </w:pPr>
      <w:r w:rsidRPr="00D23BEF">
        <w:t xml:space="preserve">Åklagarmyndigheten bedriver ett resurseffektivt arbete med att utreda brott och företräda det allmänna i domstol. </w:t>
      </w:r>
      <w:r w:rsidR="00A761A8" w:rsidRPr="00D23BEF">
        <w:t>Mängden arbete för myndigheten</w:t>
      </w:r>
      <w:r w:rsidRPr="00D23BEF">
        <w:t xml:space="preserve"> är till stora delar avhängigt av hur arbetet går för polis och kriminalvård. Ökade resurser för polisen leder till ökad mängd ärenden hos </w:t>
      </w:r>
      <w:r w:rsidR="00A761A8" w:rsidRPr="00D23BEF">
        <w:t>Åklagarmyndigheten</w:t>
      </w:r>
      <w:r w:rsidRPr="00D23BEF">
        <w:t xml:space="preserve">. Miljöpartiet har tillsammans med </w:t>
      </w:r>
      <w:r w:rsidR="00A761A8" w:rsidRPr="00D23BEF">
        <w:t xml:space="preserve">Socialdemokraterna </w:t>
      </w:r>
      <w:r w:rsidRPr="00D23BEF">
        <w:t xml:space="preserve">och </w:t>
      </w:r>
      <w:r w:rsidR="00A761A8" w:rsidRPr="00D23BEF">
        <w:t xml:space="preserve">Vänsterpartiet </w:t>
      </w:r>
      <w:r w:rsidR="00F0614F" w:rsidRPr="00D23BEF">
        <w:t xml:space="preserve">under förra mandatperioden </w:t>
      </w:r>
      <w:r w:rsidRPr="00D23BEF">
        <w:t>se</w:t>
      </w:r>
      <w:r w:rsidR="000D069F" w:rsidRPr="00D23BEF">
        <w:t>t</w:t>
      </w:r>
      <w:r w:rsidRPr="00D23BEF">
        <w:t>t till så</w:t>
      </w:r>
      <w:r w:rsidR="00FF7742" w:rsidRPr="00D23BEF">
        <w:t xml:space="preserve"> att myndigheten tillförs 25 miljoner kronor</w:t>
      </w:r>
      <w:r w:rsidRPr="00D23BEF">
        <w:t xml:space="preserve"> ytterligare för år 2007 och framåt. </w:t>
      </w:r>
      <w:r w:rsidR="00895D71" w:rsidRPr="00D23BEF">
        <w:t>R</w:t>
      </w:r>
      <w:r w:rsidRPr="00D23BEF">
        <w:t>egeringen kommer inte med några avvikande förslag.</w:t>
      </w:r>
      <w:r w:rsidR="00895D71" w:rsidRPr="00D23BEF">
        <w:t xml:space="preserve"> Vi gör dock nu be</w:t>
      </w:r>
      <w:r w:rsidR="00F9443C" w:rsidRPr="00D23BEF">
        <w:t xml:space="preserve">dömningen att ytterligare </w:t>
      </w:r>
      <w:r w:rsidR="00A761A8" w:rsidRPr="00D23BEF">
        <w:t>5</w:t>
      </w:r>
      <w:r w:rsidR="00FF7742" w:rsidRPr="00D23BEF">
        <w:t xml:space="preserve"> miljoner kronor</w:t>
      </w:r>
      <w:r w:rsidR="00895D71" w:rsidRPr="00D23BEF">
        <w:t xml:space="preserve"> behöver tillföras Åklagarmyndigheten, för att vissa prioriterade omr</w:t>
      </w:r>
      <w:r w:rsidR="00895D71" w:rsidRPr="00D23BEF">
        <w:t>å</w:t>
      </w:r>
      <w:r w:rsidR="00895D71" w:rsidRPr="00D23BEF">
        <w:t>den</w:t>
      </w:r>
      <w:r w:rsidR="00A761A8" w:rsidRPr="00D23BEF">
        <w:t xml:space="preserve"> ska kunna klaras av</w:t>
      </w:r>
      <w:r w:rsidR="00895D71" w:rsidRPr="00D23BEF">
        <w:t>.</w:t>
      </w:r>
    </w:p>
    <w:p w:rsidR="00895D71" w:rsidRPr="00D23BEF" w:rsidRDefault="00895D71">
      <w:pPr>
        <w:pStyle w:val="Normaltindrag"/>
        <w:shd w:val="clear" w:color="000000" w:fill="auto"/>
      </w:pPr>
      <w:r w:rsidRPr="00D23BEF">
        <w:t>Arbetet för att utreda miljöbrott måste förbättras. Genom Åklagarmyndi</w:t>
      </w:r>
      <w:r w:rsidRPr="00D23BEF">
        <w:t>g</w:t>
      </w:r>
      <w:r w:rsidRPr="00D23BEF">
        <w:t xml:space="preserve">hetens regleringsbrev för år </w:t>
      </w:r>
      <w:r w:rsidR="00FF7742" w:rsidRPr="00D23BEF">
        <w:t xml:space="preserve">2006 specialdestinerades </w:t>
      </w:r>
      <w:r w:rsidR="00A761A8" w:rsidRPr="00D23BEF">
        <w:t>5</w:t>
      </w:r>
      <w:r w:rsidR="00FF7742" w:rsidRPr="00D23BEF">
        <w:t xml:space="preserve"> miljoner kronor</w:t>
      </w:r>
      <w:r w:rsidRPr="00D23BEF">
        <w:t xml:space="preserve"> för att öka kompetensen att utreda miljöbrott. Vi har dock erfarit att myndigheten under år 2006 endast hunnit starta det nödvändiga utvecklingsarbete som dessa medel var avsedda för. Samtidigt finns det uppgifter om att miljöåkl</w:t>
      </w:r>
      <w:r w:rsidRPr="00D23BEF">
        <w:t>a</w:t>
      </w:r>
      <w:r w:rsidRPr="00D23BEF">
        <w:t xml:space="preserve">garnas arbetssituation </w:t>
      </w:r>
      <w:r w:rsidR="000D069F" w:rsidRPr="00D23BEF">
        <w:t>försvårats och att andelen icke</w:t>
      </w:r>
      <w:r w:rsidRPr="00D23BEF">
        <w:t xml:space="preserve"> avklarade miljöbrott hos myndigheten, samt andelen preskriberade brott, är fortsatt hög. </w:t>
      </w:r>
      <w:r w:rsidR="00964485" w:rsidRPr="00D23BEF">
        <w:t xml:space="preserve">Ett stort antal anmälda misstänka brott skrivs dessutom av redan hos polisen (jfr Är vi bra på miljöbrott – en snabbanalys, </w:t>
      </w:r>
      <w:r w:rsidR="00A761A8" w:rsidRPr="00D23BEF">
        <w:t xml:space="preserve">Brå </w:t>
      </w:r>
      <w:r w:rsidR="00964485" w:rsidRPr="00D23BEF">
        <w:t xml:space="preserve">2006). </w:t>
      </w:r>
      <w:r w:rsidRPr="00D23BEF">
        <w:t>Ett fortsatt arbete krävs därför för att utveckla Åklagarmyndighetens arbete med att utreda miljöbrott och för att få miljöbrottslingarna dömda.</w:t>
      </w:r>
    </w:p>
    <w:p w:rsidR="00895D71" w:rsidRPr="00D23BEF" w:rsidRDefault="00895D71">
      <w:pPr>
        <w:pStyle w:val="Normaltindrag"/>
        <w:shd w:val="clear" w:color="000000" w:fill="auto"/>
      </w:pPr>
      <w:r w:rsidRPr="00D23BEF">
        <w:t>Åklagarnas arbete mot så kallade hatbrott måste utvecklas och stärka</w:t>
      </w:r>
      <w:r w:rsidR="00F0614F" w:rsidRPr="00D23BEF">
        <w:t xml:space="preserve">s. </w:t>
      </w:r>
      <w:r w:rsidRPr="00D23BEF">
        <w:t>I rapporten En studie av homofoba hatbrott i Sverige (2006) visar Eva Tiby bland annat att Åklagar</w:t>
      </w:r>
      <w:r w:rsidR="008B2CAA" w:rsidRPr="00D23BEF">
        <w:softHyphen/>
      </w:r>
      <w:r w:rsidRPr="00D23BEF">
        <w:t>myndighetens och domstolarnas tolkning av vad som konstituerar homofobiska hatbrott avviker från den definition Säkerhetspol</w:t>
      </w:r>
      <w:r w:rsidRPr="00D23BEF">
        <w:t>i</w:t>
      </w:r>
      <w:r w:rsidRPr="00D23BEF">
        <w:t xml:space="preserve">sen haft. </w:t>
      </w:r>
      <w:r w:rsidR="00AC4198" w:rsidRPr="00D23BEF">
        <w:t>Tillämpningen av straffskärpnings</w:t>
      </w:r>
      <w:r w:rsidR="008B2CAA" w:rsidRPr="00D23BEF">
        <w:softHyphen/>
      </w:r>
      <w:r w:rsidR="00AC4198" w:rsidRPr="00D23BEF">
        <w:t>regeln i 29 kap</w:t>
      </w:r>
      <w:r w:rsidR="00A761A8" w:rsidRPr="00D23BEF">
        <w:t xml:space="preserve">. 2 § 7 </w:t>
      </w:r>
      <w:r w:rsidR="000D069F" w:rsidRPr="00D23BEF">
        <w:t>BrB haltar också hos å</w:t>
      </w:r>
      <w:r w:rsidR="00AC4198" w:rsidRPr="00D23BEF">
        <w:t>klag</w:t>
      </w:r>
      <w:r w:rsidR="00AC4198" w:rsidRPr="00D23BEF">
        <w:rPr>
          <w:spacing w:val="-2"/>
        </w:rPr>
        <w:t>are och domare. Mot bland annat denna bakgrund är det Mil</w:t>
      </w:r>
      <w:r w:rsidR="00AC4198" w:rsidRPr="00D23BEF">
        <w:t>j</w:t>
      </w:r>
      <w:r w:rsidR="00AC4198" w:rsidRPr="00D23BEF">
        <w:t>ö</w:t>
      </w:r>
      <w:r w:rsidR="00AC4198" w:rsidRPr="00D23BEF">
        <w:t>partiets bedömnin</w:t>
      </w:r>
      <w:r w:rsidR="00AC4198" w:rsidRPr="00D23BEF">
        <w:rPr>
          <w:spacing w:val="-2"/>
        </w:rPr>
        <w:t>g att Åklagarmyndigheten måste tillföras ytterligare resur</w:t>
      </w:r>
      <w:r w:rsidR="00AC4198" w:rsidRPr="00D23BEF">
        <w:t>ser för att förbättra sitt arbete med att bekämpa så kallade hatbrott. Dessa brott måste av åklagaren benämnas för vad de är och den som begår dem måste få den straffskärpning lagstiftaren angett.</w:t>
      </w:r>
    </w:p>
    <w:p w:rsidR="00AC4198" w:rsidRPr="00D23BEF" w:rsidRDefault="00AC4198">
      <w:pPr>
        <w:pStyle w:val="Normaltindrag"/>
        <w:shd w:val="clear" w:color="000000" w:fill="auto"/>
      </w:pPr>
      <w:r w:rsidRPr="00D23BEF">
        <w:t>Sexualbrotten måste bekämpas. Den förbättrade sexualbrottslagstiftning som Miljöpartiet varit med om att genomföra måste få genomslag inom rättstillämpningen och få avsedd effekt. Till detta kommer att ett ökat fokus måste läggas på ett bekämpande av internationell gränsöverskrida</w:t>
      </w:r>
      <w:r w:rsidR="00DC531C" w:rsidRPr="00D23BEF">
        <w:t>nde prost</w:t>
      </w:r>
      <w:r w:rsidR="00DC531C" w:rsidRPr="00D23BEF">
        <w:t>i</w:t>
      </w:r>
      <w:r w:rsidR="00DC531C" w:rsidRPr="00D23BEF">
        <w:t>tution (så kallad traf</w:t>
      </w:r>
      <w:r w:rsidRPr="00D23BEF">
        <w:t>fi</w:t>
      </w:r>
      <w:r w:rsidR="00DC531C" w:rsidRPr="00D23BEF">
        <w:t>c</w:t>
      </w:r>
      <w:r w:rsidRPr="00D23BEF">
        <w:t>king) och sexhandel via Internet. Vi vill tillföra ytterl</w:t>
      </w:r>
      <w:r w:rsidRPr="00D23BEF">
        <w:t>i</w:t>
      </w:r>
      <w:r w:rsidRPr="00D23BEF">
        <w:t>gare resurser för att Åklagarmyndigheten skall kunna utveckla sitt internati</w:t>
      </w:r>
      <w:r w:rsidRPr="00D23BEF">
        <w:t>o</w:t>
      </w:r>
      <w:r w:rsidRPr="00D23BEF">
        <w:t>nella arbete mot sexbrott och för att myndigheten skall kunna öka kunskapen om sexualbrottslagstiftningen och utreda fler brott.</w:t>
      </w:r>
    </w:p>
    <w:p w:rsidR="00240EE7" w:rsidRPr="00D23BEF" w:rsidRDefault="00240EE7">
      <w:pPr>
        <w:pStyle w:val="Normaltindrag"/>
        <w:shd w:val="clear" w:color="000000" w:fill="auto"/>
      </w:pPr>
      <w:r w:rsidRPr="00D23BEF">
        <w:t>Mäns våld mot kvinnor, liksom kvinnor</w:t>
      </w:r>
      <w:r w:rsidR="00DC531C" w:rsidRPr="00D23BEF">
        <w:t>s</w:t>
      </w:r>
      <w:r w:rsidRPr="00D23BEF">
        <w:t xml:space="preserve"> våld mot män och samkönat våld i nära relationer, är ett allt mer växande och tydligt problem. Vi utvecklar i en separat partimotion hur vi vill utveckla arbetet i Sverige för att bekämpa detta stora problem. För Åklagarmyndighetens del vill vi dock tillföra extra resu</w:t>
      </w:r>
      <w:r w:rsidRPr="00D23BEF">
        <w:t>r</w:t>
      </w:r>
      <w:r w:rsidRPr="00D23BEF">
        <w:t>ser för att kunna prioritera denna sorts ärenden och för att kunna hantera fr</w:t>
      </w:r>
      <w:r w:rsidRPr="00D23BEF">
        <w:t>å</w:t>
      </w:r>
      <w:r w:rsidRPr="00D23BEF">
        <w:t>gor om utfärdande av besöksförbud och överträdelser av besöksförbud, på ett snabbare och effektivare sätt.</w:t>
      </w:r>
    </w:p>
    <w:p w:rsidR="002E1D67" w:rsidRPr="00D23BEF" w:rsidRDefault="00240EE7">
      <w:pPr>
        <w:pStyle w:val="Normaltindrag"/>
        <w:shd w:val="clear" w:color="000000" w:fill="auto"/>
      </w:pPr>
      <w:r w:rsidRPr="00D23BEF">
        <w:t xml:space="preserve">Sammantaget medför detta att </w:t>
      </w:r>
      <w:r w:rsidR="00F9443C" w:rsidRPr="00D23BEF">
        <w:t xml:space="preserve">Miljöpartiet föreslår att </w:t>
      </w:r>
      <w:r w:rsidR="00A761A8" w:rsidRPr="00D23BEF">
        <w:t>5</w:t>
      </w:r>
      <w:r w:rsidR="00FF7742" w:rsidRPr="00D23BEF">
        <w:t xml:space="preserve"> miljoner kronor</w:t>
      </w:r>
      <w:r w:rsidRPr="00D23BEF">
        <w:t xml:space="preserve"> utöver de </w:t>
      </w:r>
      <w:r w:rsidR="00A761A8" w:rsidRPr="00D23BEF">
        <w:t>av regeringen föreslagna medlen</w:t>
      </w:r>
      <w:r w:rsidRPr="00D23BEF">
        <w:t xml:space="preserve"> </w:t>
      </w:r>
      <w:r w:rsidR="00A761A8" w:rsidRPr="00D23BEF">
        <w:t xml:space="preserve">anslås </w:t>
      </w:r>
      <w:r w:rsidRPr="00D23BEF">
        <w:t>till Åklagarmyndigheten.</w:t>
      </w:r>
    </w:p>
    <w:p w:rsidR="002E1D67" w:rsidRPr="00D23BEF" w:rsidRDefault="002E1D67">
      <w:pPr>
        <w:pStyle w:val="Rubrik2"/>
        <w:shd w:val="clear" w:color="000000" w:fill="auto"/>
      </w:pPr>
      <w:bookmarkStart w:id="11" w:name="_Toc153162069"/>
      <w:r w:rsidRPr="00D23BEF">
        <w:t>Sveriges domstolar</w:t>
      </w:r>
      <w:bookmarkEnd w:id="11"/>
    </w:p>
    <w:p w:rsidR="002E1D67" w:rsidRPr="00D23BEF" w:rsidRDefault="00EB6E18">
      <w:pPr>
        <w:shd w:val="clear" w:color="000000" w:fill="auto"/>
      </w:pPr>
      <w:r w:rsidRPr="00D23BEF">
        <w:t>Domstolarna är en</w:t>
      </w:r>
      <w:r w:rsidR="0092387C" w:rsidRPr="00D23BEF">
        <w:t xml:space="preserve"> av det civiliserade samhällets skapelser – ett rättvist, ko</w:t>
      </w:r>
      <w:r w:rsidR="0092387C" w:rsidRPr="00D23BEF">
        <w:t>m</w:t>
      </w:r>
      <w:r w:rsidR="0092387C" w:rsidRPr="00D23BEF">
        <w:t>petent och effektivt sätt att lösa tvister på. Problem uppstår dock om domst</w:t>
      </w:r>
      <w:r w:rsidR="0092387C" w:rsidRPr="00D23BEF">
        <w:t>o</w:t>
      </w:r>
      <w:r w:rsidR="0092387C" w:rsidRPr="00D23BEF">
        <w:t>larna inte</w:t>
      </w:r>
      <w:r w:rsidR="008C401C" w:rsidRPr="00D23BEF">
        <w:t xml:space="preserve"> handlägger tvisterna så snabbt, enkelt och billigt </w:t>
      </w:r>
      <w:r w:rsidR="0092387C" w:rsidRPr="00D23BEF">
        <w:t>som möjligt</w:t>
      </w:r>
      <w:r w:rsidR="008C401C" w:rsidRPr="00D23BEF">
        <w:t xml:space="preserve">. </w:t>
      </w:r>
      <w:r w:rsidR="0092387C" w:rsidRPr="00D23BEF">
        <w:t>Pr</w:t>
      </w:r>
      <w:r w:rsidR="0092387C" w:rsidRPr="00D23BEF">
        <w:t>o</w:t>
      </w:r>
      <w:r w:rsidR="0092387C" w:rsidRPr="00D23BEF">
        <w:t>blem uppstår också om den enskildes eller företags möjlighet att få sina tvi</w:t>
      </w:r>
      <w:r w:rsidR="0092387C" w:rsidRPr="00D23BEF">
        <w:t>s</w:t>
      </w:r>
      <w:r w:rsidR="0092387C" w:rsidRPr="00D23BEF">
        <w:t>ter avgjorda i domstol är beroende av personens kön, sexuella läggning, etn</w:t>
      </w:r>
      <w:r w:rsidR="0092387C" w:rsidRPr="00D23BEF">
        <w:t>i</w:t>
      </w:r>
      <w:r w:rsidR="0092387C" w:rsidRPr="00D23BEF">
        <w:t>citet</w:t>
      </w:r>
      <w:r w:rsidR="008C401C" w:rsidRPr="00D23BEF">
        <w:t>, religiösa tillhörighet</w:t>
      </w:r>
      <w:r w:rsidR="0092387C" w:rsidRPr="00D23BEF">
        <w:t xml:space="preserve"> eller funktionshinder. Problem uppstår också om domstolarna ligger för långt bort från där brott begås, tvister uppstår eller där människor bosatt sig och detta avstånd inte kompenseras på något sätt. Vi menar att dessa problem finns redan nu och redovisar här vilka problemen är och hur vi vill bekämpa dem, inom ramen för denna motion. Ytterligare å</w:t>
      </w:r>
      <w:r w:rsidR="0092387C" w:rsidRPr="00D23BEF">
        <w:t>t</w:t>
      </w:r>
      <w:r w:rsidR="0092387C" w:rsidRPr="00D23BEF">
        <w:t>gärder redovisas under avsnittet Rättsliga biträden.</w:t>
      </w:r>
    </w:p>
    <w:p w:rsidR="0092387C" w:rsidRPr="00D23BEF" w:rsidRDefault="00F50CF6">
      <w:pPr>
        <w:pStyle w:val="Rubrik3"/>
        <w:shd w:val="clear" w:color="000000" w:fill="auto"/>
      </w:pPr>
      <w:bookmarkStart w:id="12" w:name="_Toc153162070"/>
      <w:r w:rsidRPr="00D23BEF">
        <w:t>Satsning för ökad förmåga att bekämpa diskriminering, hatbrott och ett förbättrat jämställdhetsarbete</w:t>
      </w:r>
      <w:bookmarkEnd w:id="12"/>
    </w:p>
    <w:p w:rsidR="00F50CF6" w:rsidRPr="00D23BEF" w:rsidRDefault="00F50CF6">
      <w:pPr>
        <w:shd w:val="clear" w:color="000000" w:fill="auto"/>
      </w:pPr>
      <w:r w:rsidRPr="00D23BEF">
        <w:t>Domstolarna skall döma lika fall lika och skall behandla alla människor sa</w:t>
      </w:r>
      <w:r w:rsidRPr="00D23BEF">
        <w:t>k</w:t>
      </w:r>
      <w:r w:rsidRPr="00D23BEF">
        <w:t>ligt lika. Ändå finns det erfarenheter som visar att så inte alltid är fallet, utan att domare diskriminerar baserat</w:t>
      </w:r>
      <w:r w:rsidR="006D0AC3" w:rsidRPr="00D23BEF">
        <w:t xml:space="preserve"> på</w:t>
      </w:r>
      <w:r w:rsidRPr="00D23BEF">
        <w:t xml:space="preserve"> </w:t>
      </w:r>
      <w:r w:rsidR="00A761A8" w:rsidRPr="00D23BEF">
        <w:t xml:space="preserve">såväl </w:t>
      </w:r>
      <w:r w:rsidRPr="00D23BEF">
        <w:t>etnicitet</w:t>
      </w:r>
      <w:r w:rsidR="00A97AA6" w:rsidRPr="00D23BEF">
        <w:t xml:space="preserve"> eller religiös tillhörighet</w:t>
      </w:r>
      <w:r w:rsidRPr="00D23BEF">
        <w:t>, som kön, sexuell läggning och funktionshinder (jfr Utredningen om strukt</w:t>
      </w:r>
      <w:r w:rsidRPr="00D23BEF">
        <w:t>u</w:t>
      </w:r>
      <w:r w:rsidRPr="00D23BEF">
        <w:t xml:space="preserve">rell diskriminering på grund av etnisk eller religiös tillhörighets betänkande Det blågula glashuset </w:t>
      </w:r>
      <w:r w:rsidR="00A761A8" w:rsidRPr="00D23BEF">
        <w:t>–</w:t>
      </w:r>
      <w:r w:rsidRPr="00D23BEF">
        <w:t xml:space="preserve"> strukturell diskriminering i Sverige, SOU 2005:56, och Utredningen om makt, integration och strukturell diskriminerings betä</w:t>
      </w:r>
      <w:r w:rsidRPr="00D23BEF">
        <w:t>n</w:t>
      </w:r>
      <w:r w:rsidRPr="00D23BEF">
        <w:t>kande Är rättvisan rättvis? Tio perspektiv på diskriminering av etniska och religiösa minoriteter inom rättssystemet, S</w:t>
      </w:r>
      <w:r w:rsidRPr="00D23BEF">
        <w:rPr>
          <w:spacing w:val="-2"/>
        </w:rPr>
        <w:t>OU 2006:30). Regeringen har ock</w:t>
      </w:r>
      <w:r w:rsidRPr="00D23BEF">
        <w:t>så givit Brottsförebyg</w:t>
      </w:r>
      <w:r w:rsidRPr="00D23BEF">
        <w:rPr>
          <w:spacing w:val="-2"/>
        </w:rPr>
        <w:t xml:space="preserve">gande </w:t>
      </w:r>
      <w:r w:rsidR="00A761A8" w:rsidRPr="00D23BEF">
        <w:rPr>
          <w:spacing w:val="-2"/>
        </w:rPr>
        <w:t xml:space="preserve">rådet </w:t>
      </w:r>
      <w:r w:rsidRPr="00D23BEF">
        <w:rPr>
          <w:spacing w:val="-2"/>
        </w:rPr>
        <w:t>ett särskilt uppdrag att kartlägga förekoms</w:t>
      </w:r>
      <w:r w:rsidRPr="00D23BEF">
        <w:t>ten av diskriminering baserat på etnicitet inom rättsväsendet. Uppdraget skall red</w:t>
      </w:r>
      <w:r w:rsidRPr="00D23BEF">
        <w:t>o</w:t>
      </w:r>
      <w:r w:rsidRPr="00D23BEF">
        <w:t xml:space="preserve">visas under slutet av år 2007. Att problem finns styrks också av den ovan angivna rapporten av Eva Tiby. </w:t>
      </w:r>
    </w:p>
    <w:p w:rsidR="00DC168C" w:rsidRPr="00D23BEF" w:rsidRDefault="00F50CF6">
      <w:pPr>
        <w:pStyle w:val="Normaltindrag"/>
        <w:shd w:val="clear" w:color="000000" w:fill="auto"/>
      </w:pPr>
      <w:r w:rsidRPr="00D23BEF">
        <w:t xml:space="preserve">Miljöpartiet anser mot denna bakgrund att domstolspersonalens kompetens att döma utan att ta ovidkommande hänsyn, relaterat till den tilltalades eller målsägandes kön, sexuella läggning, etnicitet </w:t>
      </w:r>
      <w:r w:rsidR="00A97AA6" w:rsidRPr="00D23BEF">
        <w:t xml:space="preserve">och religion </w:t>
      </w:r>
      <w:r w:rsidRPr="00D23BEF">
        <w:t>eller funktionshi</w:t>
      </w:r>
      <w:r w:rsidRPr="00D23BEF">
        <w:t>n</w:t>
      </w:r>
      <w:r w:rsidRPr="00D23BEF">
        <w:t xml:space="preserve">der, måste förbättras. Dessutom måste det säkerställas att en kompetens finns att tillämpa </w:t>
      </w:r>
      <w:r w:rsidR="00E77F28" w:rsidRPr="00D23BEF">
        <w:t xml:space="preserve">lagstiftning </w:t>
      </w:r>
      <w:r w:rsidRPr="00D23BEF">
        <w:t xml:space="preserve">som förbjuder diskriminering och som till och med skärper straffet för brott som begåtts </w:t>
      </w:r>
      <w:r w:rsidR="00E77F28" w:rsidRPr="00D23BEF">
        <w:t>med exempelvis homofobiskt motiv.</w:t>
      </w:r>
      <w:r w:rsidRPr="00D23BEF">
        <w:t xml:space="preserve"> </w:t>
      </w:r>
    </w:p>
    <w:p w:rsidR="00E77F28" w:rsidRPr="00D23BEF" w:rsidRDefault="00E77F28">
      <w:pPr>
        <w:pStyle w:val="Normaltindrag"/>
        <w:shd w:val="clear" w:color="000000" w:fill="auto"/>
      </w:pPr>
      <w:r w:rsidRPr="00D23BEF">
        <w:t xml:space="preserve">Miljöpartiet föreslår därför att </w:t>
      </w:r>
      <w:r w:rsidR="00A761A8" w:rsidRPr="00D23BEF">
        <w:t>5</w:t>
      </w:r>
      <w:r w:rsidRPr="00D23BEF">
        <w:t xml:space="preserve"> miljoner kronor skall anslås för utbil</w:t>
      </w:r>
      <w:r w:rsidRPr="00D23BEF">
        <w:t>d</w:t>
      </w:r>
      <w:r w:rsidRPr="00D23BEF">
        <w:t>nings</w:t>
      </w:r>
      <w:r w:rsidR="008B2CAA" w:rsidRPr="00D23BEF">
        <w:softHyphen/>
      </w:r>
      <w:r w:rsidRPr="00D23BEF">
        <w:t>satsningar inom det ovan anförda området, utöver av regeringen för</w:t>
      </w:r>
      <w:r w:rsidRPr="00D23BEF">
        <w:t>e</w:t>
      </w:r>
      <w:r w:rsidRPr="00D23BEF">
        <w:t>slagna medel.</w:t>
      </w:r>
    </w:p>
    <w:p w:rsidR="00E77F28" w:rsidRPr="00D23BEF" w:rsidRDefault="00E77F28">
      <w:pPr>
        <w:pStyle w:val="Rubrik3"/>
        <w:shd w:val="clear" w:color="000000" w:fill="auto"/>
      </w:pPr>
      <w:bookmarkStart w:id="13" w:name="_Toc153162071"/>
      <w:r w:rsidRPr="00D23BEF">
        <w:t>Ett tillgänglighetsanpassat domstolsväsende</w:t>
      </w:r>
      <w:bookmarkEnd w:id="13"/>
    </w:p>
    <w:p w:rsidR="00E77F28" w:rsidRPr="00D23BEF" w:rsidRDefault="00E77F28">
      <w:pPr>
        <w:shd w:val="clear" w:color="000000" w:fill="auto"/>
      </w:pPr>
      <w:r w:rsidRPr="00D23BEF">
        <w:t>År 2010 skall det offentliga Sverige vara helt tillgänglighetsanpassat för pe</w:t>
      </w:r>
      <w:r w:rsidRPr="00D23BEF">
        <w:t>r</w:t>
      </w:r>
      <w:r w:rsidRPr="00D23BEF">
        <w:t xml:space="preserve">soner med funktionshinder. Domstolsverket, domstolarna samt hyres- och arrendenämnderna är skyldiga enligt förordningen (2001:526) om de statliga myndigheternas ansvar för genomförandet av handikappolitiken att upprätta handlingsplaner för hur lokalerna, verksamheten och informationen skall bli tillgänglig för personer med funktionshinder. För att </w:t>
      </w:r>
      <w:r w:rsidR="00B82410" w:rsidRPr="00D23BEF">
        <w:t>fullgoda handlingsplaner skall kunna tas fram (se om vilka krav som ställs i Handikappombudsma</w:t>
      </w:r>
      <w:r w:rsidR="00B82410" w:rsidRPr="00D23BEF">
        <w:t>n</w:t>
      </w:r>
      <w:r w:rsidR="00B82410" w:rsidRPr="00D23BEF">
        <w:t>nens myndighetsenkät 2005, Undersökning om myndigheters arbete för att genomföra handikappolitiken enligt förordning [SFS 2001:526])</w:t>
      </w:r>
      <w:r w:rsidRPr="00D23BEF">
        <w:t xml:space="preserve"> </w:t>
      </w:r>
      <w:r w:rsidR="00B82410" w:rsidRPr="00D23BEF">
        <w:t>och realis</w:t>
      </w:r>
      <w:r w:rsidR="00B82410" w:rsidRPr="00D23BEF">
        <w:t>e</w:t>
      </w:r>
      <w:r w:rsidR="00B82410" w:rsidRPr="00D23BEF">
        <w:t xml:space="preserve">ras </w:t>
      </w:r>
      <w:r w:rsidRPr="00D23BEF">
        <w:t>och för att domstolarna skall bli fullt ut tillgängliga för funktionshindra</w:t>
      </w:r>
      <w:r w:rsidR="00B704B8" w:rsidRPr="00D23BEF">
        <w:t xml:space="preserve">de, föreslår Miljöpartiet att </w:t>
      </w:r>
      <w:r w:rsidR="00A761A8" w:rsidRPr="00D23BEF">
        <w:t>5</w:t>
      </w:r>
      <w:r w:rsidRPr="00D23BEF">
        <w:t xml:space="preserve"> miljoner kronor anslås per år, utöver av regeringen föreslagna medel. Dessa medel skall också kunna användas för att funktion</w:t>
      </w:r>
      <w:r w:rsidRPr="00D23BEF">
        <w:t>s</w:t>
      </w:r>
      <w:r w:rsidRPr="00D23BEF">
        <w:t>hindrade i ökad grad skall kunna kommunicera med domstolarna.</w:t>
      </w:r>
      <w:r w:rsidR="00B82410" w:rsidRPr="00D23BEF">
        <w:t xml:space="preserve"> Att det finns problem inom detta område har påpekats av bland annat Handikapp</w:t>
      </w:r>
      <w:r w:rsidR="00D14DF5" w:rsidRPr="00D23BEF">
        <w:softHyphen/>
      </w:r>
      <w:r w:rsidR="00B82410" w:rsidRPr="00D23BEF">
        <w:t>ombudsmannen i ett flertal skrivelse</w:t>
      </w:r>
      <w:r w:rsidR="00666B75" w:rsidRPr="00D23BEF">
        <w:t>r</w:t>
      </w:r>
      <w:r w:rsidR="00B82410" w:rsidRPr="00D23BEF">
        <w:t xml:space="preserve"> till Justitiedepartementet. Några åtgä</w:t>
      </w:r>
      <w:r w:rsidR="00B82410" w:rsidRPr="00D23BEF">
        <w:t>r</w:t>
      </w:r>
      <w:r w:rsidR="00B82410" w:rsidRPr="00D23BEF">
        <w:t>der har dock ännu inte vidtagits.</w:t>
      </w:r>
    </w:p>
    <w:p w:rsidR="00DC168C" w:rsidRPr="00D23BEF" w:rsidRDefault="00B62F17">
      <w:pPr>
        <w:pStyle w:val="Normaltindrag"/>
        <w:shd w:val="clear" w:color="000000" w:fill="auto"/>
      </w:pPr>
      <w:r w:rsidRPr="00D23BEF">
        <w:t>Tillgängl</w:t>
      </w:r>
      <w:r w:rsidR="001E4603" w:rsidRPr="00D23BEF">
        <w:t xml:space="preserve">ighet handlar inte bara om att </w:t>
      </w:r>
      <w:r w:rsidRPr="00D23BEF">
        <w:t>rent fysiskt kunna inställa sig i domstolen eller att kunna ta del av innehållet i handlingar i sitt eget eller andras mål hos domstolen. Tillgänglighet handlar också om att hitta den ti</w:t>
      </w:r>
      <w:r w:rsidRPr="00D23BEF">
        <w:t>l</w:t>
      </w:r>
      <w:r w:rsidRPr="00D23BEF">
        <w:t>lämpade lagstiftningen, att kunna läsa dess</w:t>
      </w:r>
      <w:r w:rsidR="00A761A8" w:rsidRPr="00D23BEF">
        <w:t xml:space="preserve"> förarbeten och den rättspraxis</w:t>
      </w:r>
      <w:r w:rsidRPr="00D23BEF">
        <w:t xml:space="preserve"> som tillämpas. I dag finns inte allt detta underlag tillgängligt på ett och samma ställe och det är dessutom förenat med större kostnader att ta del av exempe</w:t>
      </w:r>
      <w:r w:rsidRPr="00D23BEF">
        <w:t>l</w:t>
      </w:r>
      <w:r w:rsidRPr="00D23BEF">
        <w:t>vis rättspraxis som har några år på nacken. Miljöpartiet anser att Sveriges domstolar måste prioritera utvecklandet av ett enhetligt rättsinformations</w:t>
      </w:r>
      <w:r w:rsidR="008B2CAA" w:rsidRPr="00D23BEF">
        <w:softHyphen/>
      </w:r>
      <w:r w:rsidRPr="00D23BEF">
        <w:t>system, där all behövlig rättskälleinformation finns tillgänglig.</w:t>
      </w:r>
    </w:p>
    <w:p w:rsidR="00956646" w:rsidRPr="00D23BEF" w:rsidRDefault="00956646">
      <w:pPr>
        <w:pStyle w:val="Rubrik3"/>
        <w:shd w:val="clear" w:color="000000" w:fill="auto"/>
      </w:pPr>
      <w:bookmarkStart w:id="14" w:name="_Toc153162072"/>
      <w:r w:rsidRPr="00D23BEF">
        <w:t>De allmänna domstolarna skall lösa alla diskrimineringstvister</w:t>
      </w:r>
      <w:bookmarkEnd w:id="14"/>
    </w:p>
    <w:p w:rsidR="00956646" w:rsidRPr="00D23BEF" w:rsidRDefault="00956646">
      <w:pPr>
        <w:shd w:val="clear" w:color="000000" w:fill="auto"/>
      </w:pPr>
      <w:r w:rsidRPr="00D23BEF">
        <w:t>Miljöpartiets principiella inställning är att specialdomstolar så långt som möjligt skall undvikas. Varje avsteg från denna princip måste kunna noga motiveras. En sådan specialdomstol som för oss är svår att motivera är A</w:t>
      </w:r>
      <w:r w:rsidRPr="00D23BEF">
        <w:t>r</w:t>
      </w:r>
      <w:r w:rsidRPr="00D23BEF">
        <w:t>betsdomstolen. Särskilt svårt blir det i mål om otillåten diskriminering i a</w:t>
      </w:r>
      <w:r w:rsidRPr="00D23BEF">
        <w:t>r</w:t>
      </w:r>
      <w:r w:rsidRPr="00D23BEF">
        <w:t>betslivet. Mål om diskriminering i arbetslivet kan i dag, beroende på om en arbetstagarorganisation företräder enskild eller inte, handläggas av tingsrätt och därefter Arbetsdomstol</w:t>
      </w:r>
      <w:r w:rsidR="00A761A8" w:rsidRPr="00D23BEF">
        <w:t>en</w:t>
      </w:r>
      <w:r w:rsidRPr="00D23BEF">
        <w:t xml:space="preserve">, eller enbart av Arbetsdomstolen. </w:t>
      </w:r>
    </w:p>
    <w:p w:rsidR="00956646" w:rsidRPr="00D23BEF" w:rsidRDefault="00956646">
      <w:pPr>
        <w:pStyle w:val="Normaltindrag"/>
        <w:shd w:val="clear" w:color="000000" w:fill="auto"/>
      </w:pPr>
      <w:r w:rsidRPr="00D23BEF">
        <w:t>Vi ser inga sakliga skäl till varför Arbetsdomstolen skall anses vara sakligt sett bättre lämpad att avgöra denna sorts tvister än de allmänna domstolarna. Särskilt inte som ett förfarande i Arbetsdomstolen leder till att målet endast kan bli pröva</w:t>
      </w:r>
      <w:r w:rsidR="00A761A8" w:rsidRPr="00D23BEF">
        <w:t>t</w:t>
      </w:r>
      <w:r w:rsidRPr="00D23BEF">
        <w:t xml:space="preserve"> en gång, om arbetstagarorganisationen företräder den enskilde. </w:t>
      </w:r>
    </w:p>
    <w:p w:rsidR="00BF6AD5" w:rsidRPr="00D23BEF" w:rsidRDefault="00956646">
      <w:pPr>
        <w:pStyle w:val="Normaltindrag"/>
        <w:shd w:val="clear" w:color="000000" w:fill="auto"/>
      </w:pPr>
      <w:r w:rsidRPr="00D23BEF">
        <w:t>Vi anser därför att mål om diskriminering i arbetslivet inte längre skall handläggas av Arbetsdomstolen, utan endast av de allmänna domstolarna. Mot den bakgrund</w:t>
      </w:r>
      <w:r w:rsidRPr="00D23BEF">
        <w:rPr>
          <w:spacing w:val="-2"/>
        </w:rPr>
        <w:t xml:space="preserve">en kan </w:t>
      </w:r>
      <w:r w:rsidR="00A761A8" w:rsidRPr="00D23BEF">
        <w:rPr>
          <w:spacing w:val="-2"/>
        </w:rPr>
        <w:t>1</w:t>
      </w:r>
      <w:r w:rsidRPr="00D23BEF">
        <w:rPr>
          <w:spacing w:val="-2"/>
        </w:rPr>
        <w:t xml:space="preserve"> miljon kronor överföras från anslaget 23:3 Ar</w:t>
      </w:r>
      <w:r w:rsidRPr="00D23BEF">
        <w:t>bet</w:t>
      </w:r>
      <w:r w:rsidRPr="00D23BEF">
        <w:t>s</w:t>
      </w:r>
      <w:r w:rsidRPr="00D23BEF">
        <w:t>domstolen till anslaget 4:</w:t>
      </w:r>
      <w:r w:rsidR="00BA541A" w:rsidRPr="00D23BEF">
        <w:t>5 Sveriges domstolar.</w:t>
      </w:r>
    </w:p>
    <w:p w:rsidR="00BF6AD5" w:rsidRPr="00D23BEF" w:rsidRDefault="00BF6AD5">
      <w:pPr>
        <w:pStyle w:val="Rubrik2"/>
        <w:shd w:val="clear" w:color="000000" w:fill="auto"/>
      </w:pPr>
      <w:bookmarkStart w:id="15" w:name="_Toc153162073"/>
      <w:r w:rsidRPr="00D23BEF">
        <w:t>Kriminalvården</w:t>
      </w:r>
      <w:bookmarkEnd w:id="15"/>
    </w:p>
    <w:p w:rsidR="00BF6AD5" w:rsidRPr="00D23BEF" w:rsidRDefault="00BF6AD5">
      <w:pPr>
        <w:shd w:val="clear" w:color="000000" w:fill="auto"/>
      </w:pPr>
      <w:r w:rsidRPr="00D23BEF">
        <w:t>Miljöpartiet har under den senaste mandatperioden varit med om att tillföra Kriminalvården avsevärda resurser – från 4,4 miljarder kronor</w:t>
      </w:r>
      <w:r w:rsidR="002101D3" w:rsidRPr="00D23BEF">
        <w:t xml:space="preserve"> år 2002</w:t>
      </w:r>
      <w:r w:rsidRPr="00D23BEF">
        <w:t xml:space="preserve"> till </w:t>
      </w:r>
      <w:r w:rsidR="002101D3" w:rsidRPr="00D23BEF">
        <w:t>5,73 miljarder kronor för år 2007. Vårt huvudsakliga skäl till detta har varit en övertygelse om att en god vård av dömda brottslingar, präglad av rätt</w:t>
      </w:r>
      <w:r w:rsidR="001D50E1" w:rsidRPr="00D23BEF">
        <w:t>s</w:t>
      </w:r>
      <w:r w:rsidR="00D14DF5" w:rsidRPr="00D23BEF">
        <w:softHyphen/>
      </w:r>
      <w:r w:rsidR="002101D3" w:rsidRPr="00D23BEF">
        <w:t>säkerhet för de intagna och säkerhet för de som tidigare utsatts för brott, fö</w:t>
      </w:r>
      <w:r w:rsidR="002101D3" w:rsidRPr="00D23BEF">
        <w:t>r</w:t>
      </w:r>
      <w:r w:rsidR="002101D3" w:rsidRPr="00D23BEF">
        <w:t>utsatt detta. Detta har oc</w:t>
      </w:r>
      <w:r w:rsidR="002101D3" w:rsidRPr="00D23BEF">
        <w:rPr>
          <w:spacing w:val="-2"/>
        </w:rPr>
        <w:t>kså möjliggjort en utbyggnad av antalet anstaltsplat</w:t>
      </w:r>
      <w:r w:rsidR="002101D3" w:rsidRPr="00D23BEF">
        <w:t>ser.</w:t>
      </w:r>
    </w:p>
    <w:p w:rsidR="00BF6AD5" w:rsidRPr="00D23BEF" w:rsidRDefault="002101D3">
      <w:pPr>
        <w:pStyle w:val="Normaltindrag"/>
        <w:shd w:val="clear" w:color="000000" w:fill="auto"/>
      </w:pPr>
      <w:r w:rsidRPr="00D23BEF">
        <w:t>Vi ser inte nu längre något behov av resurstillskott för att säkra en utbyg</w:t>
      </w:r>
      <w:r w:rsidRPr="00D23BEF">
        <w:t>g</w:t>
      </w:r>
      <w:r w:rsidRPr="00D23BEF">
        <w:t xml:space="preserve">nad av antalet platser. Däremot </w:t>
      </w:r>
      <w:r w:rsidR="00666B75" w:rsidRPr="00D23BEF">
        <w:t>kan det finna</w:t>
      </w:r>
      <w:r w:rsidR="00A77DAE" w:rsidRPr="00D23BEF">
        <w:t>s ett visst</w:t>
      </w:r>
      <w:r w:rsidRPr="00D23BEF">
        <w:t xml:space="preserve"> behov av resurser för att genomföra Kriminalvårdskommitténs förslag i betänkandet Framtidens kriminalvård (SOU 2005:54) om att individuella verkställighetsplaner ska</w:t>
      </w:r>
      <w:r w:rsidR="00A761A8" w:rsidRPr="00D23BEF">
        <w:t>ll</w:t>
      </w:r>
      <w:r w:rsidRPr="00D23BEF">
        <w:t xml:space="preserve"> upprättas för samtliga som har dömts till en kriminalvårdspåföljd. I planen ska</w:t>
      </w:r>
      <w:r w:rsidR="00A761A8" w:rsidRPr="00D23BEF">
        <w:t>ll</w:t>
      </w:r>
      <w:r w:rsidRPr="00D23BEF">
        <w:t xml:space="preserve"> </w:t>
      </w:r>
      <w:r w:rsidR="00A761A8" w:rsidRPr="00D23BEF">
        <w:t>bland annat</w:t>
      </w:r>
      <w:r w:rsidRPr="00D23BEF">
        <w:t xml:space="preserve"> anges vad som förväntas av den dömde och vilka mål han eller hon har att sträva efter under verkställigheten. Resurser krävs också för att kunna införa det förmånssystem i anstalterna, som föreslås av kommittén. Förmånssystemet innebär </w:t>
      </w:r>
      <w:r w:rsidR="00A761A8" w:rsidRPr="00D23BEF">
        <w:t>bland annat</w:t>
      </w:r>
      <w:r w:rsidRPr="00D23BEF">
        <w:t xml:space="preserve"> att om den intagne följer verkställi</w:t>
      </w:r>
      <w:r w:rsidRPr="00D23BEF">
        <w:t>g</w:t>
      </w:r>
      <w:r w:rsidRPr="00D23BEF">
        <w:t>hets</w:t>
      </w:r>
      <w:r w:rsidR="008B2CAA" w:rsidRPr="00D23BEF">
        <w:softHyphen/>
      </w:r>
      <w:r w:rsidRPr="00D23BEF">
        <w:t>planen och i övrigt är skötsam ska</w:t>
      </w:r>
      <w:r w:rsidR="00A761A8" w:rsidRPr="00D23BEF">
        <w:t>ll</w:t>
      </w:r>
      <w:r w:rsidRPr="00D23BEF">
        <w:t xml:space="preserve"> han eller hon tilldelas särskilda fö</w:t>
      </w:r>
      <w:r w:rsidRPr="00D23BEF">
        <w:t>r</w:t>
      </w:r>
      <w:r w:rsidRPr="00D23BEF">
        <w:t>måner genom uppflyttning till en förhöjd nivå i förmånssystemet. Kommittén föreslår vidare att den intagnes utslussning till samhället ska</w:t>
      </w:r>
      <w:r w:rsidR="00A761A8" w:rsidRPr="00D23BEF">
        <w:t>ll</w:t>
      </w:r>
      <w:r w:rsidRPr="00D23BEF">
        <w:t xml:space="preserve"> vara kopplad till förmånssystemet. Den som befinner sig på en förhöjd nivå i förmåns</w:t>
      </w:r>
      <w:r w:rsidR="009C4918" w:rsidRPr="00D23BEF">
        <w:softHyphen/>
      </w:r>
      <w:r w:rsidRPr="00D23BEF">
        <w:t>systemet ska</w:t>
      </w:r>
      <w:r w:rsidR="006D0AC3" w:rsidRPr="00D23BEF">
        <w:t>ll</w:t>
      </w:r>
      <w:r w:rsidRPr="00D23BEF">
        <w:t xml:space="preserve"> efter det att minst hälften av strafftiden har avtjänats kunna få vistas utanför anstalt enligt de former för utslussning som finns i dag samt genom nya regler om utökad frigång och vistelse i av kriminal</w:t>
      </w:r>
      <w:r w:rsidR="008B2CAA" w:rsidRPr="00D23BEF">
        <w:softHyphen/>
      </w:r>
      <w:r w:rsidRPr="00D23BEF">
        <w:t>vården kontro</w:t>
      </w:r>
      <w:r w:rsidRPr="00D23BEF">
        <w:t>l</w:t>
      </w:r>
      <w:r w:rsidRPr="00D23BEF">
        <w:t>lerade boenden.</w:t>
      </w:r>
    </w:p>
    <w:p w:rsidR="002101D3" w:rsidRPr="00D23BEF" w:rsidRDefault="002101D3">
      <w:pPr>
        <w:pStyle w:val="Normaltindrag"/>
        <w:shd w:val="clear" w:color="000000" w:fill="auto"/>
      </w:pPr>
      <w:r w:rsidRPr="00D23BEF">
        <w:t>Miljöpartiet är positivt inställt till de förslag kommittén lämnat men ser, liksom många av remissinstanserna, problem i vad gäller hur de intagnas rättsäkerhet skall garanteras</w:t>
      </w:r>
      <w:r w:rsidR="00A97AA6" w:rsidRPr="00D23BEF">
        <w:t>,</w:t>
      </w:r>
      <w:r w:rsidRPr="00D23BEF">
        <w:t xml:space="preserve"> liksom hur Kriminalvårdens personal skall ku</w:t>
      </w:r>
      <w:r w:rsidRPr="00D23BEF">
        <w:t>n</w:t>
      </w:r>
      <w:r w:rsidRPr="00D23BEF">
        <w:t xml:space="preserve">na hantera dessa nya inslag i påföljdsverkställigheten. Vi ser därför fram emot resultaten av det uppdrag regeringen givit Kriminalvården att bedriva viss avgränsad försöksverksamhet för att stimulera </w:t>
      </w:r>
      <w:r w:rsidR="00A77DAE" w:rsidRPr="00D23BEF">
        <w:t>upprättandet av individuella verkställighetsplaner. V</w:t>
      </w:r>
      <w:r w:rsidR="00F9443C" w:rsidRPr="00D23BEF">
        <w:t xml:space="preserve">i vill dock redan nu avsätta </w:t>
      </w:r>
      <w:r w:rsidR="00A761A8" w:rsidRPr="00D23BEF">
        <w:t>5</w:t>
      </w:r>
      <w:r w:rsidR="00A77DAE" w:rsidRPr="00D23BEF">
        <w:t xml:space="preserve"> miljoner kronor per år för att säkra att erforderlig kompetens finns hos Kriminalvårdens personal för att handlägga ärenden om myndighetsutövning mot enskilda intagna inom Kriminalvården. </w:t>
      </w:r>
    </w:p>
    <w:p w:rsidR="00FA7F1B" w:rsidRPr="00D23BEF" w:rsidRDefault="00FA7F1B">
      <w:pPr>
        <w:pStyle w:val="Rubrik3"/>
        <w:shd w:val="clear" w:color="000000" w:fill="auto"/>
      </w:pPr>
      <w:bookmarkStart w:id="16" w:name="_Toc153162074"/>
      <w:r w:rsidRPr="00D23BEF">
        <w:t>Vård och behandling för de som dömts för våld eller ho</w:t>
      </w:r>
      <w:r w:rsidR="00A761A8" w:rsidRPr="00D23BEF">
        <w:t>t</w:t>
      </w:r>
      <w:r w:rsidRPr="00D23BEF">
        <w:t xml:space="preserve"> mot nära anhörig</w:t>
      </w:r>
      <w:bookmarkEnd w:id="16"/>
    </w:p>
    <w:p w:rsidR="00FA7F1B" w:rsidRPr="00D23BEF" w:rsidRDefault="00FA7F1B">
      <w:pPr>
        <w:shd w:val="clear" w:color="000000" w:fill="auto"/>
      </w:pPr>
      <w:r w:rsidRPr="00D23BEF">
        <w:t>Personer som utövar våld mot nära anhöriga, oftast män som utövar våld mot kvinnor och barn i den egna familjen, måste fås att upphöra med denna aktiv</w:t>
      </w:r>
      <w:r w:rsidRPr="00D23BEF">
        <w:t>i</w:t>
      </w:r>
      <w:r w:rsidRPr="00D23BEF">
        <w:t>tet. Inom Kriminalvården bedrivs programmet IDA (Integrated Domestic Abuse Programme), som är ett behandlingsprogram för män som misshandlar den kvinna de lever eller har levt i nära relation med. Miljöpartiet erfar att Kriminalvården av ett antal olika skäl hittills kunnat erbjuda samtliga de som dömts för våld mot nära anhörig att genomgå detta program. Det finns des</w:t>
      </w:r>
      <w:r w:rsidRPr="00D23BEF">
        <w:t>s</w:t>
      </w:r>
      <w:r w:rsidRPr="00D23BEF">
        <w:t>utom problem med avsaknad av behandling för män som slagits av kvinnor eller personer som utsatts för våld</w:t>
      </w:r>
      <w:r w:rsidR="00E07518" w:rsidRPr="00D23BEF">
        <w:t xml:space="preserve"> i samkönade relationer. Miljö</w:t>
      </w:r>
      <w:r w:rsidRPr="00D23BEF">
        <w:t xml:space="preserve">partiet anser </w:t>
      </w:r>
      <w:r w:rsidRPr="00D23BEF">
        <w:rPr>
          <w:spacing w:val="-2"/>
        </w:rPr>
        <w:t>att alla de som dömts för våld mot en nära anhörig skall tvingas att genomgå en behandling mot sitt våldsbeteende inom ramen för Kriminalvårdens åta</w:t>
      </w:r>
      <w:r w:rsidRPr="00D23BEF">
        <w:t xml:space="preserve">gande. Det är nödvändigt att tillräckliga resurser finns, så att alla som dömts kan få vård och behandling under tiden för vistelse i anstalt och även därefter. De medel som regeringen anslår kommer enligt vår bedömning inte att räcka till. Vi föreslår därför att totalt </w:t>
      </w:r>
      <w:r w:rsidR="006D0AC3" w:rsidRPr="00D23BEF">
        <w:t>5</w:t>
      </w:r>
      <w:r w:rsidR="00F96D7D" w:rsidRPr="00D23BEF">
        <w:t xml:space="preserve"> miljoner k</w:t>
      </w:r>
      <w:r w:rsidR="00A97AA6" w:rsidRPr="00D23BEF">
        <w:t>ronor anslås för detta ändamål år 2007 och därefter.</w:t>
      </w:r>
    </w:p>
    <w:p w:rsidR="00F96D7D" w:rsidRPr="00D23BEF" w:rsidRDefault="00F96D7D">
      <w:pPr>
        <w:pStyle w:val="Rubrik3"/>
        <w:shd w:val="clear" w:color="000000" w:fill="auto"/>
      </w:pPr>
      <w:bookmarkStart w:id="17" w:name="_Toc153162075"/>
      <w:r w:rsidRPr="00D23BEF">
        <w:t>Vård av dömda för sexualbrott</w:t>
      </w:r>
      <w:bookmarkEnd w:id="17"/>
    </w:p>
    <w:p w:rsidR="00C27FB0" w:rsidRPr="00D23BEF" w:rsidRDefault="00F96D7D">
      <w:pPr>
        <w:shd w:val="clear" w:color="000000" w:fill="auto"/>
      </w:pPr>
      <w:r w:rsidRPr="00D23BEF">
        <w:t>År 2005 dömdes 1</w:t>
      </w:r>
      <w:r w:rsidR="006D0AC3" w:rsidRPr="00D23BEF">
        <w:t> </w:t>
      </w:r>
      <w:r w:rsidRPr="00D23BEF">
        <w:t xml:space="preserve">000 personer för brott enligt 6 kap. brottsbalken, varav 216 personer för våldtäkt. </w:t>
      </w:r>
      <w:r w:rsidR="00C27FB0" w:rsidRPr="00D23BEF">
        <w:t xml:space="preserve">Tillgänglig forskning visar (se bl.a. </w:t>
      </w:r>
      <w:r w:rsidR="006D0AC3" w:rsidRPr="00D23BEF">
        <w:t xml:space="preserve">rapport </w:t>
      </w:r>
      <w:r w:rsidR="00C27FB0" w:rsidRPr="00D23BEF">
        <w:t>nr 1 från Kriminalvårdens forskningskommitté</w:t>
      </w:r>
      <w:r w:rsidR="006D0AC3" w:rsidRPr="00D23BEF">
        <w:t>:</w:t>
      </w:r>
      <w:r w:rsidR="00C27FB0" w:rsidRPr="00D23BEF">
        <w:t xml:space="preserve"> Att påverka och påverkas</w:t>
      </w:r>
      <w:r w:rsidR="006D0AC3" w:rsidRPr="00D23BEF">
        <w:t xml:space="preserve"> – </w:t>
      </w:r>
      <w:r w:rsidR="00C27FB0" w:rsidRPr="00D23BEF">
        <w:t>Krimina</w:t>
      </w:r>
      <w:r w:rsidR="00C27FB0" w:rsidRPr="00D23BEF">
        <w:t>l</w:t>
      </w:r>
      <w:r w:rsidR="00C27FB0" w:rsidRPr="00D23BEF">
        <w:t>vårdens</w:t>
      </w:r>
      <w:r w:rsidR="004D307A" w:rsidRPr="00D23BEF">
        <w:t xml:space="preserve"> insatser för sexualbrottsdömda</w:t>
      </w:r>
      <w:r w:rsidR="00C27FB0" w:rsidRPr="00D23BEF">
        <w:t xml:space="preserve"> i anstalt [2000]) att de som döms för denna sorts brott typiskt sett mindre ofta återfaller i brott än de som döms för annan brottslighet, att det finns goda kunskaper om vilka faktorer som har betydelse för att öka respektive sänka risken för återfall i sex</w:t>
      </w:r>
      <w:r w:rsidR="006D0AC3" w:rsidRPr="00D23BEF">
        <w:t>ual</w:t>
      </w:r>
      <w:r w:rsidR="00C27FB0" w:rsidRPr="00D23BEF">
        <w:t>brott respe</w:t>
      </w:r>
      <w:r w:rsidR="00C27FB0" w:rsidRPr="00D23BEF">
        <w:t>k</w:t>
      </w:r>
      <w:r w:rsidR="00C27FB0" w:rsidRPr="00D23BEF">
        <w:t>tive annan våldsbrottslighet hos identifierade sex</w:t>
      </w:r>
      <w:r w:rsidR="006D0AC3" w:rsidRPr="00D23BEF">
        <w:t>ual</w:t>
      </w:r>
      <w:r w:rsidR="00C27FB0" w:rsidRPr="00D23BEF">
        <w:t>brotts</w:t>
      </w:r>
      <w:r w:rsidR="008B2CAA" w:rsidRPr="00D23BEF">
        <w:softHyphen/>
      </w:r>
      <w:r w:rsidR="00C27FB0" w:rsidRPr="00D23BEF">
        <w:t>förövare men att det inte är särskilt lätt att med behandling minska risken för återfall bland sex</w:t>
      </w:r>
      <w:r w:rsidR="006D0AC3" w:rsidRPr="00D23BEF">
        <w:t>ua</w:t>
      </w:r>
      <w:r w:rsidR="006D0AC3" w:rsidRPr="00D23BEF">
        <w:t>l</w:t>
      </w:r>
      <w:r w:rsidR="00C27FB0" w:rsidRPr="00D23BEF">
        <w:t>brottsdömda, såväl som andra förövargrupper. I rapporten lyfts särskilt fram behovet av adekvat utbildning för den personal som skall behandla de dömda, liksom vikten av ett omfattande motivationsarbete med de dömda.</w:t>
      </w:r>
    </w:p>
    <w:p w:rsidR="00C27FB0" w:rsidRPr="00D23BEF" w:rsidRDefault="00C27FB0">
      <w:pPr>
        <w:pStyle w:val="Normaltindrag"/>
        <w:shd w:val="clear" w:color="000000" w:fill="auto"/>
      </w:pPr>
      <w:r w:rsidRPr="00D23BEF">
        <w:t>Miljöpartiet ser allvarligt på den under senare tid ökade mängden anmälda sexual</w:t>
      </w:r>
      <w:r w:rsidR="001301E8" w:rsidRPr="00D23BEF">
        <w:softHyphen/>
      </w:r>
      <w:r w:rsidRPr="00D23BEF">
        <w:t>brott, liksom de problem som framkommit i att behandla de som dömts för denna sorts brottslighet.</w:t>
      </w:r>
    </w:p>
    <w:p w:rsidR="00A97AA6" w:rsidRPr="00D23BEF" w:rsidRDefault="00A97AA6">
      <w:pPr>
        <w:pStyle w:val="Rubrik2"/>
        <w:shd w:val="clear" w:color="000000" w:fill="auto"/>
      </w:pPr>
      <w:bookmarkStart w:id="18" w:name="_Toc153162076"/>
      <w:r w:rsidRPr="00D23BEF">
        <w:t>Brottsförebyggande rådet (</w:t>
      </w:r>
      <w:r w:rsidR="006D0AC3" w:rsidRPr="00D23BEF">
        <w:t>Brå</w:t>
      </w:r>
      <w:r w:rsidRPr="00D23BEF">
        <w:t>)</w:t>
      </w:r>
      <w:bookmarkEnd w:id="18"/>
    </w:p>
    <w:p w:rsidR="00A97AA6" w:rsidRPr="00D23BEF" w:rsidRDefault="006D0AC3">
      <w:pPr>
        <w:shd w:val="clear" w:color="000000" w:fill="auto"/>
      </w:pPr>
      <w:r w:rsidRPr="00D23BEF">
        <w:t xml:space="preserve">Brå </w:t>
      </w:r>
      <w:r w:rsidR="00A97AA6" w:rsidRPr="00D23BEF">
        <w:t>genomför på ett förtjänstfullt sätt arbetet med kriminalstatistiken och genomför även andra uppgifter, såsom att utreda brottslighets struktur, o</w:t>
      </w:r>
      <w:r w:rsidR="00A97AA6" w:rsidRPr="00D23BEF">
        <w:t>m</w:t>
      </w:r>
      <w:r w:rsidR="00A97AA6" w:rsidRPr="00D23BEF">
        <w:t xml:space="preserve">fattning och orsaker. </w:t>
      </w:r>
      <w:r w:rsidRPr="00D23BEF">
        <w:t xml:space="preserve">Brå </w:t>
      </w:r>
      <w:r w:rsidR="00A97AA6" w:rsidRPr="00D23BEF">
        <w:t>har därför tidigare givits i uppdrag att hantera den samlade statistiken för hatbrotten i Sverige. Ansvaret har överförts från S</w:t>
      </w:r>
      <w:r w:rsidR="00A97AA6" w:rsidRPr="00D23BEF">
        <w:t>ä</w:t>
      </w:r>
      <w:r w:rsidR="00A97AA6" w:rsidRPr="00D23BEF">
        <w:t xml:space="preserve">kerhetspolisen. För att kunna anpassa och utveckla sitt statistiksystem i takt med övriga myndigheter inom rättsväsendet tillfördes </w:t>
      </w:r>
      <w:r w:rsidRPr="00D23BEF">
        <w:t>Brå 5,</w:t>
      </w:r>
      <w:r w:rsidR="00A97AA6" w:rsidRPr="00D23BEF">
        <w:t>5 miljoner kronor i den ekonomiska tilläggs</w:t>
      </w:r>
      <w:r w:rsidR="008B2CAA" w:rsidRPr="00D23BEF">
        <w:softHyphen/>
      </w:r>
      <w:r w:rsidR="00A97AA6" w:rsidRPr="00D23BEF">
        <w:t xml:space="preserve">propositionen våren 2006 (prop. 2005/06:100 s. 168 i </w:t>
      </w:r>
      <w:r w:rsidRPr="00D23BEF">
        <w:t>tilläggsbudgeten</w:t>
      </w:r>
      <w:r w:rsidR="00A97AA6" w:rsidRPr="00D23BEF">
        <w:t>). Finansieringen skedde genom att anslaget 4:1 Polisorg</w:t>
      </w:r>
      <w:r w:rsidR="00A97AA6" w:rsidRPr="00D23BEF">
        <w:t>a</w:t>
      </w:r>
      <w:r w:rsidR="00A97AA6" w:rsidRPr="00D23BEF">
        <w:t>nisationen minskades med motsvarande belopp. Regeringen har nu i budge</w:t>
      </w:r>
      <w:r w:rsidR="00A97AA6" w:rsidRPr="00D23BEF">
        <w:t>t</w:t>
      </w:r>
      <w:r w:rsidR="00A97AA6" w:rsidRPr="00D23BEF">
        <w:t xml:space="preserve">propositionen, utan att ange några närmare skäl till varför, </w:t>
      </w:r>
      <w:r w:rsidR="003259DA" w:rsidRPr="00D23BEF">
        <w:t>underlåtit att tillf</w:t>
      </w:r>
      <w:r w:rsidR="003259DA" w:rsidRPr="00D23BEF">
        <w:t>ö</w:t>
      </w:r>
      <w:r w:rsidR="003259DA" w:rsidRPr="00D23BEF">
        <w:t xml:space="preserve">ra </w:t>
      </w:r>
      <w:r w:rsidRPr="00D23BEF">
        <w:t xml:space="preserve">Brå </w:t>
      </w:r>
      <w:r w:rsidR="003259DA" w:rsidRPr="00D23BEF">
        <w:t xml:space="preserve">medel för att kunna vidareutveckla statistiksystemen. Miljöpartiet föreslår därför att ett belopp motsvarande det som tillfördes i </w:t>
      </w:r>
      <w:r w:rsidRPr="00D23BEF">
        <w:t>tilläggspropos</w:t>
      </w:r>
      <w:r w:rsidRPr="00D23BEF">
        <w:t>i</w:t>
      </w:r>
      <w:r w:rsidRPr="00D23BEF">
        <w:t>tionen</w:t>
      </w:r>
      <w:r w:rsidR="003259DA" w:rsidRPr="00D23BEF">
        <w:t xml:space="preserve"> tillförs även framledes. Allt detta för att säkra arbetet med kriminal</w:t>
      </w:r>
      <w:r w:rsidR="009C4918" w:rsidRPr="00D23BEF">
        <w:softHyphen/>
      </w:r>
      <w:r w:rsidR="003259DA" w:rsidRPr="00D23BEF">
        <w:t>statistiken och statistiken över hatbrotten.</w:t>
      </w:r>
    </w:p>
    <w:p w:rsidR="00C27FB0" w:rsidRPr="00D23BEF" w:rsidRDefault="00C27FB0">
      <w:pPr>
        <w:pStyle w:val="Rubrik2"/>
        <w:shd w:val="clear" w:color="000000" w:fill="auto"/>
      </w:pPr>
      <w:bookmarkStart w:id="19" w:name="_Toc153162077"/>
      <w:r w:rsidRPr="00D23BEF">
        <w:t>Rättsliga biträden</w:t>
      </w:r>
      <w:bookmarkEnd w:id="19"/>
    </w:p>
    <w:p w:rsidR="00C27FB0" w:rsidRPr="00D23BEF" w:rsidRDefault="00C27FB0">
      <w:pPr>
        <w:shd w:val="clear" w:color="000000" w:fill="auto"/>
      </w:pPr>
      <w:r w:rsidRPr="00D23BEF">
        <w:t xml:space="preserve">Alla enskilda och företag måste ha tillgång till domstolar för att lösa tvister och för att få brottslingar dömda. Ett medel för att kunna få rättvisa skipad är den av staten finansierade rättshjälpen. </w:t>
      </w:r>
      <w:r w:rsidR="00810015" w:rsidRPr="00D23BEF">
        <w:t>Utan tillgång till denna av staten f</w:t>
      </w:r>
      <w:r w:rsidR="00810015" w:rsidRPr="00D23BEF">
        <w:t>i</w:t>
      </w:r>
      <w:r w:rsidR="00810015" w:rsidRPr="00D23BEF">
        <w:t>nansierade hjälp att få kostnad för juridiskt biträde i domstolsprocess, skulle Sverige inte anses uppfylla sina internationella folkrättsliga åtaganden. Rätt</w:t>
      </w:r>
      <w:r w:rsidR="00810015" w:rsidRPr="00D23BEF">
        <w:t>s</w:t>
      </w:r>
      <w:r w:rsidR="00810015" w:rsidRPr="00D23BEF">
        <w:t>hjälpssystemet förändrades väsentligen den 1 januari 1997 och medförde att rättshjälpen blev subsidiär till det egna försäkrings</w:t>
      </w:r>
      <w:r w:rsidR="008B2CAA" w:rsidRPr="00D23BEF">
        <w:softHyphen/>
      </w:r>
      <w:r w:rsidR="00810015" w:rsidRPr="00D23BEF">
        <w:t>skyddet och inte kom att omfatta ett flertal olika tvister. Det begränsades dessutom i tidsmässig o</w:t>
      </w:r>
      <w:r w:rsidR="00810015" w:rsidRPr="00D23BEF">
        <w:t>m</w:t>
      </w:r>
      <w:r w:rsidR="00810015" w:rsidRPr="00D23BEF">
        <w:t>fattning. Näringsidkare har i princip aldrig kunnat få rättshjälp.</w:t>
      </w:r>
    </w:p>
    <w:p w:rsidR="00810015" w:rsidRPr="00D23BEF" w:rsidRDefault="00810015">
      <w:pPr>
        <w:pStyle w:val="Normaltindrag"/>
        <w:shd w:val="clear" w:color="000000" w:fill="auto"/>
      </w:pPr>
      <w:r w:rsidRPr="00D23BEF">
        <w:t>Av bland annat Domstolsverkets budgetunderlag för åren 2007</w:t>
      </w:r>
      <w:r w:rsidR="006D0AC3" w:rsidRPr="00D23BEF">
        <w:t>–</w:t>
      </w:r>
      <w:r w:rsidRPr="00D23BEF">
        <w:t xml:space="preserve">2009 framgår att statens kostnader för rättshjälp minskar med en ungefärlig takt om </w:t>
      </w:r>
      <w:r w:rsidR="006D0AC3" w:rsidRPr="00D23BEF">
        <w:rPr>
          <w:spacing w:val="-2"/>
        </w:rPr>
        <w:t>3</w:t>
      </w:r>
      <w:r w:rsidRPr="00D23BEF">
        <w:rPr>
          <w:spacing w:val="-2"/>
        </w:rPr>
        <w:t xml:space="preserve"> procent per år, eller motsvarande </w:t>
      </w:r>
      <w:r w:rsidR="006D0AC3" w:rsidRPr="00D23BEF">
        <w:rPr>
          <w:spacing w:val="-2"/>
        </w:rPr>
        <w:t>4</w:t>
      </w:r>
      <w:r w:rsidRPr="00D23BEF">
        <w:rPr>
          <w:spacing w:val="-2"/>
        </w:rPr>
        <w:t xml:space="preserve"> miljoner kronor. Allt färre personer bevi</w:t>
      </w:r>
      <w:r w:rsidRPr="00D23BEF">
        <w:rPr>
          <w:spacing w:val="-2"/>
        </w:rPr>
        <w:t>l</w:t>
      </w:r>
      <w:r w:rsidRPr="00D23BEF">
        <w:rPr>
          <w:spacing w:val="-2"/>
        </w:rPr>
        <w:t>jas dessutom rättshjälp. Anslaget för rättshjälp uppgick år 2006 till 150</w:t>
      </w:r>
      <w:r w:rsidRPr="00D23BEF">
        <w:t xml:space="preserve"> miljoner </w:t>
      </w:r>
      <w:r w:rsidRPr="00D23BEF">
        <w:rPr>
          <w:spacing w:val="-2"/>
        </w:rPr>
        <w:t>kronor (anslagsposten 1 till anslaget 14:2). 1998 uppgick beloppet till 305 mi</w:t>
      </w:r>
      <w:r w:rsidRPr="00D23BEF">
        <w:rPr>
          <w:spacing w:val="-2"/>
        </w:rPr>
        <w:t>l</w:t>
      </w:r>
      <w:r w:rsidRPr="00D23BEF">
        <w:rPr>
          <w:spacing w:val="-2"/>
        </w:rPr>
        <w:t>joner kronor.</w:t>
      </w:r>
      <w:r w:rsidR="00CA4E83" w:rsidRPr="00D23BEF">
        <w:rPr>
          <w:spacing w:val="-2"/>
        </w:rPr>
        <w:t xml:space="preserve"> De sociala konsekvenserna av denna åtstramning av rätts</w:t>
      </w:r>
      <w:r w:rsidR="00CA4E83" w:rsidRPr="00D23BEF">
        <w:t>hjälpen torde vara omfattande men saknar fortfarande erforderlig utredning.</w:t>
      </w:r>
    </w:p>
    <w:p w:rsidR="00810015" w:rsidRPr="00D23BEF" w:rsidRDefault="00810015">
      <w:pPr>
        <w:pStyle w:val="Normaltindrag"/>
        <w:shd w:val="clear" w:color="000000" w:fill="auto"/>
      </w:pPr>
      <w:r w:rsidRPr="00D23BEF">
        <w:t>Miljöpartiet har tillsammans med de partier som nu utgör underlag för r</w:t>
      </w:r>
      <w:r w:rsidRPr="00D23BEF">
        <w:t>e</w:t>
      </w:r>
      <w:r w:rsidRPr="00D23BEF">
        <w:t xml:space="preserve">geringen under förevarande riksdagsår i riksdagen beslutat om ett </w:t>
      </w:r>
      <w:r w:rsidR="00D14DF5" w:rsidRPr="00D23BEF">
        <w:t>till känna</w:t>
      </w:r>
      <w:r w:rsidR="00D14DF5" w:rsidRPr="00D23BEF">
        <w:softHyphen/>
      </w:r>
      <w:r w:rsidRPr="00D23BEF">
        <w:t>giva</w:t>
      </w:r>
      <w:r w:rsidRPr="00D23BEF">
        <w:rPr>
          <w:spacing w:val="-2"/>
        </w:rPr>
        <w:t>nde ti</w:t>
      </w:r>
      <w:r w:rsidR="00CA4E83" w:rsidRPr="00D23BEF">
        <w:rPr>
          <w:spacing w:val="-2"/>
        </w:rPr>
        <w:t xml:space="preserve">ll regeringen att småföretagare, under vissa förutsättningar, </w:t>
      </w:r>
      <w:r w:rsidRPr="00D23BEF">
        <w:rPr>
          <w:spacing w:val="-2"/>
        </w:rPr>
        <w:t>ska</w:t>
      </w:r>
      <w:r w:rsidRPr="00D23BEF">
        <w:t>ll kunna få rättshjälp under samma förutsättningar som fysiska personer.</w:t>
      </w:r>
      <w:r w:rsidR="00CA4E83" w:rsidRPr="00D23BEF">
        <w:t xml:space="preserve"> Därtill kommer att Miljöpartiet erfarit att allt fler konstnärliga utövare och skapare av patent- och varumärkesskyddade produkter får sina rättigheter kränkta och därvid saknar ekonomiska möjligheter att tillvarata sina intressen i domstol. Det är mot denna bakgrund synnerligen angeläget att möjligheten till rätt</w:t>
      </w:r>
      <w:r w:rsidR="00CA4E83" w:rsidRPr="00D23BEF">
        <w:t>s</w:t>
      </w:r>
      <w:r w:rsidR="00CA4E83" w:rsidRPr="00D23BEF">
        <w:t>hjälp för småföretagare och de som livnär sig på varumärkesskyddade och patentskyddade produkter förbättras.</w:t>
      </w:r>
    </w:p>
    <w:p w:rsidR="00CA4E83" w:rsidRPr="00D23BEF" w:rsidRDefault="00CA4E83">
      <w:pPr>
        <w:pStyle w:val="Normaltindrag"/>
        <w:shd w:val="clear" w:color="000000" w:fill="auto"/>
      </w:pPr>
      <w:r w:rsidRPr="00D23BEF">
        <w:t>Miljöpartiet anser att rättshjälpssysteme</w:t>
      </w:r>
      <w:r w:rsidR="004D307A" w:rsidRPr="00D23BEF">
        <w:t>t måste bli föremål för en snar</w:t>
      </w:r>
      <w:r w:rsidRPr="00D23BEF">
        <w:t xml:space="preserve"> och omfattande översyn. D</w:t>
      </w:r>
      <w:r w:rsidR="006D0AC3" w:rsidRPr="00D23BEF">
        <w:t>et arbete som aviseras i budget</w:t>
      </w:r>
      <w:r w:rsidRPr="00D23BEF">
        <w:t>propositionen är därför synnerligen angeläget. I detta arbete bör företrädare för riksdagens partier engageras och målet bör vara att så lång</w:t>
      </w:r>
      <w:r w:rsidR="006D0AC3" w:rsidRPr="00D23BEF">
        <w:t>t</w:t>
      </w:r>
      <w:r w:rsidRPr="00D23BEF">
        <w:t xml:space="preserve"> som möjligt eliminera de sociala försämringar som kan ha uppstått genom förändringen av den 1 januari 1997.</w:t>
      </w:r>
    </w:p>
    <w:p w:rsidR="00CA4E83" w:rsidRPr="00D23BEF" w:rsidRDefault="00F9443C">
      <w:pPr>
        <w:pStyle w:val="Normaltindrag"/>
        <w:shd w:val="clear" w:color="000000" w:fill="auto"/>
      </w:pPr>
      <w:r w:rsidRPr="00D23BEF">
        <w:t xml:space="preserve">Vi föreslår att </w:t>
      </w:r>
      <w:r w:rsidR="006D0AC3" w:rsidRPr="00D23BEF">
        <w:t>5</w:t>
      </w:r>
      <w:r w:rsidR="00CA4E83" w:rsidRPr="00D23BEF">
        <w:t xml:space="preserve"> miljoner kronor avsätts år 2007 och framöver, utöver av regeringen anslagna medel, för att dels kunna genomföra det tillkännagivande riksdagen beslutat om</w:t>
      </w:r>
      <w:r w:rsidR="006D0AC3" w:rsidRPr="00D23BEF">
        <w:t>,</w:t>
      </w:r>
      <w:r w:rsidR="00CA4E83" w:rsidRPr="00D23BEF">
        <w:t xml:space="preserve"> dels kunna ha en mer generös tillämpning av rätt</w:t>
      </w:r>
      <w:r w:rsidR="00CA4E83" w:rsidRPr="00D23BEF">
        <w:t>s</w:t>
      </w:r>
      <w:r w:rsidR="00CA4E83" w:rsidRPr="00D23BEF">
        <w:t>hjälpslagen.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3BEF">
        <w:trPr>
          <w:cantSplit/>
        </w:trPr>
        <w:tc>
          <w:tcPr>
            <w:tcW w:w="3046" w:type="dxa"/>
          </w:tcPr>
          <w:p w:rsidR="00A13B94" w:rsidRPr="00D23BEF" w:rsidRDefault="00A13B94">
            <w:pPr>
              <w:pStyle w:val="UnderskriftDatum"/>
              <w:shd w:val="clear" w:color="000000" w:fill="auto"/>
              <w:spacing w:before="240"/>
            </w:pPr>
            <w:r w:rsidRPr="00D23BEF">
              <w:t>Stockholm den 31 oktober 2006</w:t>
            </w:r>
          </w:p>
        </w:tc>
        <w:tc>
          <w:tcPr>
            <w:tcW w:w="3047" w:type="dxa"/>
          </w:tcPr>
          <w:p w:rsidR="00A13B94" w:rsidRPr="00D23BEF" w:rsidRDefault="00A13B94">
            <w:pPr>
              <w:pStyle w:val="Underskrifter"/>
              <w:shd w:val="clear" w:color="000000" w:fill="auto"/>
              <w:spacing w:before="240"/>
            </w:pPr>
          </w:p>
        </w:tc>
      </w:tr>
      <w:tr w:rsidR="00000000" w:rsidRPr="00D23BEF">
        <w:trPr>
          <w:cantSplit/>
        </w:trPr>
        <w:tc>
          <w:tcPr>
            <w:tcW w:w="3046" w:type="dxa"/>
          </w:tcPr>
          <w:p w:rsidR="00A13B94" w:rsidRPr="00D23BEF" w:rsidRDefault="00A13B94">
            <w:pPr>
              <w:pStyle w:val="Underskrifter"/>
              <w:shd w:val="clear" w:color="000000" w:fill="auto"/>
            </w:pPr>
            <w:r w:rsidRPr="00D23BEF">
              <w:t>Mehmet Kaplan (mp)</w:t>
            </w:r>
          </w:p>
        </w:tc>
        <w:tc>
          <w:tcPr>
            <w:tcW w:w="3046" w:type="dxa"/>
          </w:tcPr>
          <w:p w:rsidR="00A13B94" w:rsidRPr="00D23BEF" w:rsidRDefault="00A13B94">
            <w:pPr>
              <w:pStyle w:val="Underskrifter"/>
              <w:shd w:val="clear" w:color="000000" w:fill="auto"/>
            </w:pPr>
          </w:p>
        </w:tc>
      </w:tr>
      <w:tr w:rsidR="00000000" w:rsidRPr="00D23BEF">
        <w:trPr>
          <w:cantSplit/>
        </w:trPr>
        <w:tc>
          <w:tcPr>
            <w:tcW w:w="3046" w:type="dxa"/>
          </w:tcPr>
          <w:p w:rsidR="00A13B94" w:rsidRPr="00D23BEF" w:rsidRDefault="00A13B94">
            <w:pPr>
              <w:pStyle w:val="Underskrifter"/>
              <w:shd w:val="clear" w:color="000000" w:fill="auto"/>
            </w:pPr>
            <w:r w:rsidRPr="00D23BEF">
              <w:t>Max  Andersson (mp)</w:t>
            </w:r>
          </w:p>
        </w:tc>
        <w:tc>
          <w:tcPr>
            <w:tcW w:w="3046" w:type="dxa"/>
          </w:tcPr>
          <w:p w:rsidR="00A13B94" w:rsidRPr="00D23BEF" w:rsidRDefault="00A13B94">
            <w:pPr>
              <w:pStyle w:val="Underskrifter"/>
              <w:shd w:val="clear" w:color="000000" w:fill="auto"/>
            </w:pPr>
            <w:r w:rsidRPr="00D23BEF">
              <w:t>Helena Leander (mp)</w:t>
            </w:r>
          </w:p>
        </w:tc>
      </w:tr>
    </w:tbl>
    <w:p w:rsidR="00DD0113" w:rsidRPr="00D23BEF" w:rsidRDefault="00DD0113">
      <w:pPr>
        <w:pStyle w:val="Normaltindrag"/>
        <w:shd w:val="clear" w:color="000000" w:fill="auto"/>
      </w:pPr>
    </w:p>
    <w:sectPr w:rsidR="00DD0113" w:rsidRPr="00D23BEF" w:rsidSect="009C49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B94" w:rsidRPr="00D23BEF" w:rsidRDefault="00A13B94">
      <w:r w:rsidRPr="00D23BEF">
        <w:separator/>
      </w:r>
    </w:p>
  </w:endnote>
  <w:endnote w:type="continuationSeparator" w:id="0">
    <w:p w:rsidR="00A13B94" w:rsidRPr="00D23BEF" w:rsidRDefault="00A13B94">
      <w:r w:rsidRPr="00D23B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DF5" w:rsidRPr="00D23BEF" w:rsidRDefault="00D23BEF" w:rsidP="009C4918">
    <w:pPr>
      <w:pStyle w:val="Sidfot"/>
    </w:pPr>
    <w:r w:rsidRPr="00D23B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5255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DF5" w:rsidRDefault="00A13B94">
                          <w:pPr>
                            <w:pStyle w:val="NormalS5sidnrV"/>
                          </w:pPr>
                          <w:r>
                            <w:fldChar w:fldCharType="begin"/>
                          </w:r>
                          <w:r w:rsidR="00D14DF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4DF5" w:rsidRDefault="00A13B94">
                    <w:pPr>
                      <w:pStyle w:val="NormalS5sidnrV"/>
                    </w:pPr>
                    <w:r>
                      <w:fldChar w:fldCharType="begin"/>
                    </w:r>
                    <w:r w:rsidR="00D14DF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DF5" w:rsidRPr="00D23BEF" w:rsidRDefault="00D23BEF" w:rsidP="009C4918">
    <w:pPr>
      <w:pStyle w:val="Sidfot"/>
    </w:pPr>
    <w:r w:rsidRPr="00D23B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5213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DF5" w:rsidRDefault="00A13B94">
                          <w:pPr>
                            <w:pStyle w:val="NormalS5sidnrH"/>
                            <w:ind w:right="0"/>
                          </w:pPr>
                          <w:r>
                            <w:fldChar w:fldCharType="begin"/>
                          </w:r>
                          <w:r w:rsidR="00D14DF5">
                            <w:instrText xml:space="preserve"> PAGE *\charformat</w:instrText>
                          </w:r>
                          <w:r>
                            <w:fldChar w:fldCharType="separate"/>
                          </w:r>
                          <w:r w:rsidR="00EB1AE8">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4DF5" w:rsidRDefault="00A13B94">
                    <w:pPr>
                      <w:pStyle w:val="NormalS5sidnrH"/>
                      <w:ind w:right="0"/>
                    </w:pPr>
                    <w:r>
                      <w:fldChar w:fldCharType="begin"/>
                    </w:r>
                    <w:r w:rsidR="00D14DF5">
                      <w:instrText xml:space="preserve"> PAGE *\charformat</w:instrText>
                    </w:r>
                    <w:r>
                      <w:fldChar w:fldCharType="separate"/>
                    </w:r>
                    <w:r w:rsidR="00EB1AE8">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DF5" w:rsidRPr="00D23BEF" w:rsidRDefault="00D23BEF" w:rsidP="009C4918">
    <w:pPr>
      <w:pStyle w:val="Sidfot"/>
    </w:pPr>
    <w:r w:rsidRPr="00D23B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0038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DF5" w:rsidRDefault="00A13B94">
                          <w:pPr>
                            <w:pStyle w:val="NormalS5sidnrH"/>
                            <w:ind w:right="0"/>
                          </w:pPr>
                          <w:r>
                            <w:fldChar w:fldCharType="begin"/>
                          </w:r>
                          <w:r w:rsidR="00D14DF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4DF5" w:rsidRDefault="00A13B94">
                    <w:pPr>
                      <w:pStyle w:val="NormalS5sidnrH"/>
                      <w:ind w:right="0"/>
                    </w:pPr>
                    <w:r>
                      <w:fldChar w:fldCharType="begin"/>
                    </w:r>
                    <w:r w:rsidR="00D14DF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B94" w:rsidRPr="00D23BEF" w:rsidRDefault="00A13B94">
      <w:r w:rsidRPr="00D23BEF">
        <w:separator/>
      </w:r>
    </w:p>
  </w:footnote>
  <w:footnote w:type="continuationSeparator" w:id="0">
    <w:p w:rsidR="00A13B94" w:rsidRPr="00D23BEF" w:rsidRDefault="00A13B94">
      <w:r w:rsidRPr="00D23B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DF5" w:rsidRPr="00D23BEF" w:rsidRDefault="00D23BEF" w:rsidP="009C4918">
    <w:pPr>
      <w:pStyle w:val="Sidhuvud"/>
    </w:pPr>
    <w:r w:rsidRPr="00D23B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0022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DF5" w:rsidRDefault="00A13B94">
                          <w:pPr>
                            <w:pStyle w:val="KantRubrikS5V"/>
                          </w:pPr>
                          <w:r>
                            <w:fldChar w:fldCharType="begin"/>
                          </w:r>
                          <w:r w:rsidR="00D14DF5">
                            <w:instrText xml:space="preserve"> DOCPROPERTY "YearUser" *\charformat </w:instrText>
                          </w:r>
                          <w:r>
                            <w:fldChar w:fldCharType="separate"/>
                          </w:r>
                          <w:r w:rsidR="0088096B">
                            <w:t>2006/07</w:t>
                          </w:r>
                          <w:r>
                            <w:fldChar w:fldCharType="end"/>
                          </w:r>
                          <w:r w:rsidR="00D14DF5">
                            <w:t>:</w:t>
                          </w:r>
                          <w:r>
                            <w:fldChar w:fldCharType="begin"/>
                          </w:r>
                          <w:r w:rsidR="00D14DF5">
                            <w:instrText xml:space="preserve"> DOCPROPERTY "Motionsnummer" *\charformat </w:instrText>
                          </w:r>
                          <w:r>
                            <w:fldChar w:fldCharType="separate"/>
                          </w:r>
                          <w:r w:rsidR="0088096B">
                            <w:t>Ju372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4DF5" w:rsidRDefault="00A13B94">
                    <w:pPr>
                      <w:pStyle w:val="KantRubrikS5V"/>
                    </w:pPr>
                    <w:r>
                      <w:fldChar w:fldCharType="begin"/>
                    </w:r>
                    <w:r w:rsidR="00D14DF5">
                      <w:instrText xml:space="preserve"> DOCPROPERTY "YearUser" *\charformat </w:instrText>
                    </w:r>
                    <w:r>
                      <w:fldChar w:fldCharType="separate"/>
                    </w:r>
                    <w:r w:rsidR="0088096B">
                      <w:t>2006/07</w:t>
                    </w:r>
                    <w:r>
                      <w:fldChar w:fldCharType="end"/>
                    </w:r>
                    <w:r w:rsidR="00D14DF5">
                      <w:t>:</w:t>
                    </w:r>
                    <w:r>
                      <w:fldChar w:fldCharType="begin"/>
                    </w:r>
                    <w:r w:rsidR="00D14DF5">
                      <w:instrText xml:space="preserve"> DOCPROPERTY "Motionsnummer" *\charformat </w:instrText>
                    </w:r>
                    <w:r>
                      <w:fldChar w:fldCharType="separate"/>
                    </w:r>
                    <w:r w:rsidR="0088096B">
                      <w:t>Ju372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DF5" w:rsidRPr="00D23BEF" w:rsidRDefault="00D23BEF" w:rsidP="009C4918">
    <w:pPr>
      <w:pStyle w:val="Sidhuvud"/>
    </w:pPr>
    <w:r w:rsidRPr="00D23B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36016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DF5" w:rsidRDefault="00A13B94">
                          <w:pPr>
                            <w:pStyle w:val="KantRubrikS5H"/>
                            <w:ind w:right="0"/>
                          </w:pPr>
                          <w:r>
                            <w:fldChar w:fldCharType="begin"/>
                          </w:r>
                          <w:r w:rsidR="00D14DF5">
                            <w:instrText xml:space="preserve"> DOCPROPERTY "YearUser" *\charformat </w:instrText>
                          </w:r>
                          <w:r>
                            <w:fldChar w:fldCharType="separate"/>
                          </w:r>
                          <w:r w:rsidR="0088096B">
                            <w:t>2006/07</w:t>
                          </w:r>
                          <w:r>
                            <w:fldChar w:fldCharType="end"/>
                          </w:r>
                          <w:r w:rsidR="00D14DF5">
                            <w:t>:</w:t>
                          </w:r>
                          <w:r>
                            <w:fldChar w:fldCharType="begin"/>
                          </w:r>
                          <w:r w:rsidR="00D14DF5">
                            <w:instrText xml:space="preserve"> DOCPROPERTY "Motionsnummer" *\charformat </w:instrText>
                          </w:r>
                          <w:r>
                            <w:fldChar w:fldCharType="separate"/>
                          </w:r>
                          <w:r w:rsidR="0088096B">
                            <w:t>Ju372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4DF5" w:rsidRDefault="00A13B94">
                    <w:pPr>
                      <w:pStyle w:val="KantRubrikS5H"/>
                      <w:ind w:right="0"/>
                    </w:pPr>
                    <w:r>
                      <w:fldChar w:fldCharType="begin"/>
                    </w:r>
                    <w:r w:rsidR="00D14DF5">
                      <w:instrText xml:space="preserve"> DOCPROPERTY "YearUser" *\charformat </w:instrText>
                    </w:r>
                    <w:r>
                      <w:fldChar w:fldCharType="separate"/>
                    </w:r>
                    <w:r w:rsidR="0088096B">
                      <w:t>2006/07</w:t>
                    </w:r>
                    <w:r>
                      <w:fldChar w:fldCharType="end"/>
                    </w:r>
                    <w:r w:rsidR="00D14DF5">
                      <w:t>:</w:t>
                    </w:r>
                    <w:r>
                      <w:fldChar w:fldCharType="begin"/>
                    </w:r>
                    <w:r w:rsidR="00D14DF5">
                      <w:instrText xml:space="preserve"> DOCPROPERTY "Motionsnummer" *\charformat </w:instrText>
                    </w:r>
                    <w:r>
                      <w:fldChar w:fldCharType="separate"/>
                    </w:r>
                    <w:r w:rsidR="0088096B">
                      <w:t>Ju372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B94" w:rsidRPr="00D23BEF" w:rsidRDefault="00A13B94">
    <w:pPr>
      <w:pStyle w:val="FSHNormal"/>
      <w:tabs>
        <w:tab w:val="right" w:pos="5840"/>
      </w:tabs>
    </w:pPr>
    <w:r w:rsidRPr="00D23BEF">
      <w:br/>
    </w:r>
    <w:r w:rsidRPr="00D23BEF">
      <w:fldChar w:fldCharType="begin" w:fldLock="1"/>
    </w:r>
    <w:r w:rsidRPr="00D23BEF">
      <w:instrText xml:space="preserve"> DOCPROPERTY</w:instrText>
    </w:r>
    <w:r w:rsidRPr="00D23BEF">
      <w:rPr>
        <w:sz w:val="18"/>
      </w:rPr>
      <w:instrText xml:space="preserve"> "YearUser" *\charformat </w:instrText>
    </w:r>
    <w:r w:rsidRPr="00D23BEF">
      <w:fldChar w:fldCharType="separate"/>
    </w:r>
    <w:r w:rsidRPr="00D23BEF">
      <w:t>2006/07</w:t>
    </w:r>
    <w:r w:rsidRPr="00D23BEF">
      <w:fldChar w:fldCharType="end"/>
    </w:r>
    <w:r w:rsidRPr="00D23BEF">
      <w:t xml:space="preserve"> </w:t>
    </w:r>
    <w:r w:rsidRPr="00D23BEF">
      <w:tab/>
      <w:t xml:space="preserve">mnr: </w:t>
    </w:r>
    <w:r w:rsidRPr="00D23BEF">
      <w:fldChar w:fldCharType="begin" w:fldLock="1"/>
    </w:r>
    <w:r w:rsidRPr="00D23BEF">
      <w:instrText xml:space="preserve"> DOCPROPERTY</w:instrText>
    </w:r>
    <w:r w:rsidRPr="00D23BEF">
      <w:rPr>
        <w:sz w:val="18"/>
      </w:rPr>
      <w:instrText xml:space="preserve"> "Motionsnummer" *\charformat </w:instrText>
    </w:r>
    <w:r w:rsidRPr="00D23BEF">
      <w:fldChar w:fldCharType="separate"/>
    </w:r>
    <w:r w:rsidRPr="00D23BEF">
      <w:t>Ju372</w:t>
    </w:r>
    <w:r w:rsidRPr="00D23BEF">
      <w:fldChar w:fldCharType="end"/>
    </w:r>
    <w:r w:rsidRPr="00D23BEF">
      <w:br/>
    </w:r>
    <w:r w:rsidRPr="00D23BEF">
      <w:fldChar w:fldCharType="begin" w:fldLock="1"/>
    </w:r>
    <w:r w:rsidRPr="00D23BEF">
      <w:instrText xml:space="preserve"> DOCPROPERTY</w:instrText>
    </w:r>
    <w:r w:rsidRPr="00D23BEF">
      <w:rPr>
        <w:sz w:val="18"/>
      </w:rPr>
      <w:instrText xml:space="preserve"> "Samling" *\charformat </w:instrText>
    </w:r>
    <w:r w:rsidRPr="00D23BEF">
      <w:fldChar w:fldCharType="end"/>
    </w:r>
    <w:r w:rsidRPr="00D23BEF">
      <w:tab/>
      <w:t xml:space="preserve">pnr: </w:t>
    </w:r>
    <w:r w:rsidRPr="00D23BEF">
      <w:fldChar w:fldCharType="begin" w:fldLock="1"/>
    </w:r>
    <w:r w:rsidRPr="00D23BEF">
      <w:instrText xml:space="preserve"> DOCPROPERTY</w:instrText>
    </w:r>
    <w:r w:rsidRPr="00D23BEF">
      <w:rPr>
        <w:sz w:val="18"/>
      </w:rPr>
      <w:instrText xml:space="preserve"> "Partinummer" *\charformat </w:instrText>
    </w:r>
    <w:r w:rsidRPr="00D23BEF">
      <w:fldChar w:fldCharType="separate"/>
    </w:r>
    <w:r w:rsidRPr="00D23BEF">
      <w:t>mp601</w:t>
    </w:r>
    <w:r w:rsidRPr="00D23BEF">
      <w:fldChar w:fldCharType="end"/>
    </w:r>
  </w:p>
  <w:p w:rsidR="00A13B94" w:rsidRPr="00D23BEF" w:rsidRDefault="00A13B94">
    <w:pPr>
      <w:pStyle w:val="FSHRub1"/>
    </w:pPr>
    <w:r w:rsidRPr="00D23BEF">
      <w:t>Motion till riksdagen</w:t>
    </w:r>
    <w:r w:rsidRPr="00D23BEF">
      <w:br/>
    </w:r>
    <w:r w:rsidRPr="00D23BEF">
      <w:fldChar w:fldCharType="begin" w:fldLock="1"/>
    </w:r>
    <w:r w:rsidRPr="00D23BEF">
      <w:instrText xml:space="preserve"> DOCPROPERTY "YearUser" *\charformat </w:instrText>
    </w:r>
    <w:r w:rsidRPr="00D23BEF">
      <w:fldChar w:fldCharType="separate"/>
    </w:r>
    <w:r w:rsidRPr="00D23BEF">
      <w:t>2006/07</w:t>
    </w:r>
    <w:r w:rsidRPr="00D23BEF">
      <w:fldChar w:fldCharType="end"/>
    </w:r>
    <w:r w:rsidRPr="00D23BEF">
      <w:t>:</w:t>
    </w:r>
    <w:r w:rsidRPr="00D23BEF">
      <w:fldChar w:fldCharType="begin" w:fldLock="1"/>
    </w:r>
    <w:r w:rsidRPr="00D23BEF">
      <w:instrText xml:space="preserve"> DOCPROPERTY "Motionsnummer" *\charformat </w:instrText>
    </w:r>
    <w:r w:rsidRPr="00D23BEF">
      <w:fldChar w:fldCharType="separate"/>
    </w:r>
    <w:r w:rsidRPr="00D23BEF">
      <w:t>Ju372</w:t>
    </w:r>
    <w:r w:rsidRPr="00D23BEF">
      <w:fldChar w:fldCharType="end"/>
    </w:r>
  </w:p>
  <w:p w:rsidR="00A13B94" w:rsidRPr="00D23BEF" w:rsidRDefault="00A13B94">
    <w:pPr>
      <w:pStyle w:val="FSHNormalS5"/>
    </w:pPr>
    <w:r w:rsidRPr="00D23BEF">
      <w:fldChar w:fldCharType="begin" w:fldLock="1"/>
    </w:r>
    <w:r w:rsidRPr="00D23BEF">
      <w:instrText xml:space="preserve"> DOCPROPERTY "MotionarText" *\charformat </w:instrText>
    </w:r>
    <w:r w:rsidRPr="00D23BEF">
      <w:fldChar w:fldCharType="separate"/>
    </w:r>
    <w:r w:rsidRPr="00D23BEF">
      <w:t>av Mehmet Kaplan m.fl. (mp)</w:t>
    </w:r>
    <w:r w:rsidRPr="00D23BEF">
      <w:fldChar w:fldCharType="end"/>
    </w:r>
    <w:r w:rsidRPr="00D23BEF">
      <w:br/>
    </w:r>
    <w:r w:rsidRPr="00D23BEF">
      <w:fldChar w:fldCharType="begin" w:fldLock="1"/>
    </w:r>
    <w:r w:rsidRPr="00D23BEF">
      <w:instrText xml:space="preserve"> DOCPROPERTY "SvarFrasKort" *\charformat </w:instrText>
    </w:r>
    <w:r w:rsidRPr="00D23BEF">
      <w:fldChar w:fldCharType="end"/>
    </w:r>
  </w:p>
  <w:p w:rsidR="00A13B94" w:rsidRPr="00D23BEF" w:rsidRDefault="00A13B94">
    <w:pPr>
      <w:pStyle w:val="FSHTitel"/>
    </w:pPr>
    <w:r w:rsidRPr="00D23BEF">
      <w:fldChar w:fldCharType="begin" w:fldLock="1"/>
    </w:r>
    <w:r w:rsidRPr="00D23BEF">
      <w:instrText xml:space="preserve"> DOCPROPERTY</w:instrText>
    </w:r>
    <w:r w:rsidRPr="00D23BEF">
      <w:rPr>
        <w:sz w:val="18"/>
      </w:rPr>
      <w:instrText xml:space="preserve"> "RubrikSvar" *\charformat </w:instrText>
    </w:r>
    <w:r w:rsidRPr="00D23BEF">
      <w:fldChar w:fldCharType="separate"/>
    </w:r>
    <w:r w:rsidRPr="00D23BEF">
      <w:t>Utgiftsområde 4 Rättsväsendet</w:t>
    </w:r>
    <w:r w:rsidRPr="00D23BEF">
      <w:fldChar w:fldCharType="end"/>
    </w:r>
  </w:p>
  <w:p w:rsidR="00A13B94" w:rsidRPr="00D23BEF" w:rsidRDefault="00A13B94">
    <w:pPr>
      <w:pStyle w:val="Normal00"/>
    </w:pPr>
  </w:p>
  <w:p w:rsidR="00D14DF5" w:rsidRPr="00D23BEF" w:rsidRDefault="00D14D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0B3E74"/>
    <w:multiLevelType w:val="multilevel"/>
    <w:tmpl w:val="47BC434E"/>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0A06BF7"/>
    <w:multiLevelType w:val="multilevel"/>
    <w:tmpl w:val="9B2431F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7AE30E7"/>
    <w:multiLevelType w:val="hybridMultilevel"/>
    <w:tmpl w:val="718A1CA8"/>
    <w:lvl w:ilvl="0" w:tplc="C90C57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EC80181"/>
    <w:multiLevelType w:val="multilevel"/>
    <w:tmpl w:val="502AC0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69649952">
    <w:abstractNumId w:val="14"/>
  </w:num>
  <w:num w:numId="2" w16cid:durableId="1303920589">
    <w:abstractNumId w:val="11"/>
  </w:num>
  <w:num w:numId="3" w16cid:durableId="1688170884">
    <w:abstractNumId w:val="12"/>
  </w:num>
  <w:num w:numId="4" w16cid:durableId="884100642">
    <w:abstractNumId w:val="13"/>
  </w:num>
  <w:num w:numId="5" w16cid:durableId="760688038">
    <w:abstractNumId w:val="8"/>
  </w:num>
  <w:num w:numId="6" w16cid:durableId="2008359833">
    <w:abstractNumId w:val="3"/>
  </w:num>
  <w:num w:numId="7" w16cid:durableId="1498689867">
    <w:abstractNumId w:val="2"/>
  </w:num>
  <w:num w:numId="8" w16cid:durableId="1329290172">
    <w:abstractNumId w:val="1"/>
  </w:num>
  <w:num w:numId="9" w16cid:durableId="177895394">
    <w:abstractNumId w:val="0"/>
  </w:num>
  <w:num w:numId="10" w16cid:durableId="1984311100">
    <w:abstractNumId w:val="9"/>
  </w:num>
  <w:num w:numId="11" w16cid:durableId="984698511">
    <w:abstractNumId w:val="7"/>
  </w:num>
  <w:num w:numId="12" w16cid:durableId="2145001717">
    <w:abstractNumId w:val="6"/>
  </w:num>
  <w:num w:numId="13" w16cid:durableId="78674115">
    <w:abstractNumId w:val="5"/>
  </w:num>
  <w:num w:numId="14" w16cid:durableId="740828457">
    <w:abstractNumId w:val="4"/>
  </w:num>
  <w:num w:numId="15" w16cid:durableId="1520851979">
    <w:abstractNumId w:val="10"/>
  </w:num>
  <w:num w:numId="16" w16cid:durableId="1503082433">
    <w:abstractNumId w:val="17"/>
  </w:num>
  <w:num w:numId="17" w16cid:durableId="335814720">
    <w:abstractNumId w:val="15"/>
  </w:num>
  <w:num w:numId="18" w16cid:durableId="19605994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118C048D-818B-4EE9-99AD-DE1F328BC164},{891F8238-7272-4195-A81B-8E357071C4D2},{EC49A5C4-EF8B-4128-8058-67D1E519C3AA}"/>
  </w:docVars>
  <w:rsids>
    <w:rsidRoot w:val="00D23BEF"/>
    <w:rsid w:val="000014A9"/>
    <w:rsid w:val="00002742"/>
    <w:rsid w:val="000062F0"/>
    <w:rsid w:val="000220F8"/>
    <w:rsid w:val="00034058"/>
    <w:rsid w:val="00040D14"/>
    <w:rsid w:val="0004381F"/>
    <w:rsid w:val="000623CC"/>
    <w:rsid w:val="00064BC3"/>
    <w:rsid w:val="00066474"/>
    <w:rsid w:val="000665E6"/>
    <w:rsid w:val="00066775"/>
    <w:rsid w:val="00072FB9"/>
    <w:rsid w:val="0007598F"/>
    <w:rsid w:val="000834EB"/>
    <w:rsid w:val="00093B06"/>
    <w:rsid w:val="000B2040"/>
    <w:rsid w:val="000C39C3"/>
    <w:rsid w:val="000D069F"/>
    <w:rsid w:val="000E431D"/>
    <w:rsid w:val="000E48DA"/>
    <w:rsid w:val="000E5207"/>
    <w:rsid w:val="000F5ADD"/>
    <w:rsid w:val="000F5C6A"/>
    <w:rsid w:val="00100531"/>
    <w:rsid w:val="0010382E"/>
    <w:rsid w:val="00110E11"/>
    <w:rsid w:val="001301E8"/>
    <w:rsid w:val="0016183C"/>
    <w:rsid w:val="00165FEB"/>
    <w:rsid w:val="00166D90"/>
    <w:rsid w:val="00170803"/>
    <w:rsid w:val="001776AB"/>
    <w:rsid w:val="00177CC2"/>
    <w:rsid w:val="0019171D"/>
    <w:rsid w:val="001921C4"/>
    <w:rsid w:val="001923A4"/>
    <w:rsid w:val="001925E8"/>
    <w:rsid w:val="00197C71"/>
    <w:rsid w:val="001A25D5"/>
    <w:rsid w:val="001A2624"/>
    <w:rsid w:val="001A2A2B"/>
    <w:rsid w:val="001A7A1F"/>
    <w:rsid w:val="001B6999"/>
    <w:rsid w:val="001C4105"/>
    <w:rsid w:val="001D50E1"/>
    <w:rsid w:val="001E0043"/>
    <w:rsid w:val="001E2AA5"/>
    <w:rsid w:val="001E4603"/>
    <w:rsid w:val="00201DFB"/>
    <w:rsid w:val="00204A63"/>
    <w:rsid w:val="002101D3"/>
    <w:rsid w:val="00211FDD"/>
    <w:rsid w:val="00212FF1"/>
    <w:rsid w:val="00230193"/>
    <w:rsid w:val="00240EE7"/>
    <w:rsid w:val="00244D0B"/>
    <w:rsid w:val="0025068A"/>
    <w:rsid w:val="00270033"/>
    <w:rsid w:val="002818D3"/>
    <w:rsid w:val="002911A7"/>
    <w:rsid w:val="002943C8"/>
    <w:rsid w:val="00295E6D"/>
    <w:rsid w:val="002A2A6B"/>
    <w:rsid w:val="002C2373"/>
    <w:rsid w:val="002D11A8"/>
    <w:rsid w:val="002D2E9A"/>
    <w:rsid w:val="002E1797"/>
    <w:rsid w:val="002E1D67"/>
    <w:rsid w:val="00314F87"/>
    <w:rsid w:val="00317368"/>
    <w:rsid w:val="0032051D"/>
    <w:rsid w:val="003259DA"/>
    <w:rsid w:val="003303B5"/>
    <w:rsid w:val="003366E9"/>
    <w:rsid w:val="00342FB4"/>
    <w:rsid w:val="003436B2"/>
    <w:rsid w:val="0036065A"/>
    <w:rsid w:val="00370011"/>
    <w:rsid w:val="003866EC"/>
    <w:rsid w:val="00391AF5"/>
    <w:rsid w:val="003B418B"/>
    <w:rsid w:val="003D140A"/>
    <w:rsid w:val="003E372E"/>
    <w:rsid w:val="003E39EE"/>
    <w:rsid w:val="003E5BF1"/>
    <w:rsid w:val="003F100A"/>
    <w:rsid w:val="004175BA"/>
    <w:rsid w:val="004231A7"/>
    <w:rsid w:val="00435FD1"/>
    <w:rsid w:val="00445271"/>
    <w:rsid w:val="00446D53"/>
    <w:rsid w:val="00447A04"/>
    <w:rsid w:val="004527C3"/>
    <w:rsid w:val="00452C06"/>
    <w:rsid w:val="00461BB1"/>
    <w:rsid w:val="004753E1"/>
    <w:rsid w:val="0047568D"/>
    <w:rsid w:val="00487F7A"/>
    <w:rsid w:val="004914A5"/>
    <w:rsid w:val="004971B2"/>
    <w:rsid w:val="004A0504"/>
    <w:rsid w:val="004B5278"/>
    <w:rsid w:val="004D307A"/>
    <w:rsid w:val="004E38D9"/>
    <w:rsid w:val="004F1587"/>
    <w:rsid w:val="004F61CD"/>
    <w:rsid w:val="005000F2"/>
    <w:rsid w:val="005207A6"/>
    <w:rsid w:val="00530CEE"/>
    <w:rsid w:val="00531020"/>
    <w:rsid w:val="005408D5"/>
    <w:rsid w:val="00545150"/>
    <w:rsid w:val="00545421"/>
    <w:rsid w:val="0055072A"/>
    <w:rsid w:val="005525A5"/>
    <w:rsid w:val="005544CE"/>
    <w:rsid w:val="00574417"/>
    <w:rsid w:val="005827A4"/>
    <w:rsid w:val="005B145B"/>
    <w:rsid w:val="005B1BC6"/>
    <w:rsid w:val="005D2577"/>
    <w:rsid w:val="005D3F50"/>
    <w:rsid w:val="005F5616"/>
    <w:rsid w:val="00601C6D"/>
    <w:rsid w:val="00603CD4"/>
    <w:rsid w:val="006346C1"/>
    <w:rsid w:val="006349D4"/>
    <w:rsid w:val="00653DD0"/>
    <w:rsid w:val="00666B75"/>
    <w:rsid w:val="00672D56"/>
    <w:rsid w:val="00675C16"/>
    <w:rsid w:val="006B17A4"/>
    <w:rsid w:val="006B6262"/>
    <w:rsid w:val="006C0415"/>
    <w:rsid w:val="006D0AC3"/>
    <w:rsid w:val="006F67BF"/>
    <w:rsid w:val="00707F4F"/>
    <w:rsid w:val="00727C6F"/>
    <w:rsid w:val="0074000E"/>
    <w:rsid w:val="00740D6D"/>
    <w:rsid w:val="00743F76"/>
    <w:rsid w:val="007573C0"/>
    <w:rsid w:val="00761D0B"/>
    <w:rsid w:val="007639D8"/>
    <w:rsid w:val="00770030"/>
    <w:rsid w:val="00774959"/>
    <w:rsid w:val="007852B2"/>
    <w:rsid w:val="00794149"/>
    <w:rsid w:val="007B458D"/>
    <w:rsid w:val="007B67A7"/>
    <w:rsid w:val="007C6092"/>
    <w:rsid w:val="007D345C"/>
    <w:rsid w:val="007D7AFD"/>
    <w:rsid w:val="007E119E"/>
    <w:rsid w:val="007E4149"/>
    <w:rsid w:val="007F0C7C"/>
    <w:rsid w:val="00802702"/>
    <w:rsid w:val="00810015"/>
    <w:rsid w:val="008100AF"/>
    <w:rsid w:val="00836486"/>
    <w:rsid w:val="00846903"/>
    <w:rsid w:val="00853327"/>
    <w:rsid w:val="0088096B"/>
    <w:rsid w:val="00886007"/>
    <w:rsid w:val="00891FC6"/>
    <w:rsid w:val="00895D71"/>
    <w:rsid w:val="008A5445"/>
    <w:rsid w:val="008B2CAA"/>
    <w:rsid w:val="008C401C"/>
    <w:rsid w:val="008D5050"/>
    <w:rsid w:val="008F0A96"/>
    <w:rsid w:val="008F1E6E"/>
    <w:rsid w:val="008F4F83"/>
    <w:rsid w:val="0090512C"/>
    <w:rsid w:val="009062A0"/>
    <w:rsid w:val="0092387C"/>
    <w:rsid w:val="0092604A"/>
    <w:rsid w:val="009451E7"/>
    <w:rsid w:val="0095122A"/>
    <w:rsid w:val="00956646"/>
    <w:rsid w:val="00956E7F"/>
    <w:rsid w:val="00960BCF"/>
    <w:rsid w:val="0096146F"/>
    <w:rsid w:val="00964485"/>
    <w:rsid w:val="00970D4F"/>
    <w:rsid w:val="00971D70"/>
    <w:rsid w:val="00977E85"/>
    <w:rsid w:val="009A4377"/>
    <w:rsid w:val="009A6043"/>
    <w:rsid w:val="009B5A38"/>
    <w:rsid w:val="009B7496"/>
    <w:rsid w:val="009C4918"/>
    <w:rsid w:val="009D0673"/>
    <w:rsid w:val="009D6EB1"/>
    <w:rsid w:val="00A0251D"/>
    <w:rsid w:val="00A053C6"/>
    <w:rsid w:val="00A055B3"/>
    <w:rsid w:val="00A13B94"/>
    <w:rsid w:val="00A15D71"/>
    <w:rsid w:val="00A21BC5"/>
    <w:rsid w:val="00A2286F"/>
    <w:rsid w:val="00A4573C"/>
    <w:rsid w:val="00A52430"/>
    <w:rsid w:val="00A64F9D"/>
    <w:rsid w:val="00A736FF"/>
    <w:rsid w:val="00A761A8"/>
    <w:rsid w:val="00A77DAE"/>
    <w:rsid w:val="00A97AA6"/>
    <w:rsid w:val="00AA1434"/>
    <w:rsid w:val="00AB5000"/>
    <w:rsid w:val="00AC4198"/>
    <w:rsid w:val="00AC4310"/>
    <w:rsid w:val="00AC63D9"/>
    <w:rsid w:val="00AC6BAB"/>
    <w:rsid w:val="00AE2EF8"/>
    <w:rsid w:val="00AE52A1"/>
    <w:rsid w:val="00AF48F0"/>
    <w:rsid w:val="00AF5881"/>
    <w:rsid w:val="00B13BF0"/>
    <w:rsid w:val="00B33C81"/>
    <w:rsid w:val="00B34666"/>
    <w:rsid w:val="00B476C9"/>
    <w:rsid w:val="00B62F17"/>
    <w:rsid w:val="00B67E5B"/>
    <w:rsid w:val="00B704B8"/>
    <w:rsid w:val="00B82410"/>
    <w:rsid w:val="00BA4894"/>
    <w:rsid w:val="00BA541A"/>
    <w:rsid w:val="00BA6BE0"/>
    <w:rsid w:val="00BB6D75"/>
    <w:rsid w:val="00BD0A49"/>
    <w:rsid w:val="00BD43A8"/>
    <w:rsid w:val="00BE3C40"/>
    <w:rsid w:val="00BF0E44"/>
    <w:rsid w:val="00BF6AD5"/>
    <w:rsid w:val="00C01202"/>
    <w:rsid w:val="00C02ACF"/>
    <w:rsid w:val="00C1285C"/>
    <w:rsid w:val="00C27B7D"/>
    <w:rsid w:val="00C27FB0"/>
    <w:rsid w:val="00C32A06"/>
    <w:rsid w:val="00C44394"/>
    <w:rsid w:val="00C533BA"/>
    <w:rsid w:val="00C7567E"/>
    <w:rsid w:val="00C902E9"/>
    <w:rsid w:val="00C92208"/>
    <w:rsid w:val="00CA4E83"/>
    <w:rsid w:val="00CB20F6"/>
    <w:rsid w:val="00CB2E20"/>
    <w:rsid w:val="00CB5B24"/>
    <w:rsid w:val="00CD4B2B"/>
    <w:rsid w:val="00CE3037"/>
    <w:rsid w:val="00CE31B1"/>
    <w:rsid w:val="00CF7A43"/>
    <w:rsid w:val="00D00F35"/>
    <w:rsid w:val="00D01775"/>
    <w:rsid w:val="00D1174F"/>
    <w:rsid w:val="00D1289C"/>
    <w:rsid w:val="00D14DF5"/>
    <w:rsid w:val="00D23BEF"/>
    <w:rsid w:val="00D44527"/>
    <w:rsid w:val="00D52681"/>
    <w:rsid w:val="00D53D04"/>
    <w:rsid w:val="00D55EF7"/>
    <w:rsid w:val="00D70709"/>
    <w:rsid w:val="00D82849"/>
    <w:rsid w:val="00D905FD"/>
    <w:rsid w:val="00D955B0"/>
    <w:rsid w:val="00DC0DF0"/>
    <w:rsid w:val="00DC168C"/>
    <w:rsid w:val="00DC531C"/>
    <w:rsid w:val="00DC6C70"/>
    <w:rsid w:val="00DD0113"/>
    <w:rsid w:val="00DF5ACD"/>
    <w:rsid w:val="00E04052"/>
    <w:rsid w:val="00E07518"/>
    <w:rsid w:val="00E22893"/>
    <w:rsid w:val="00E31B37"/>
    <w:rsid w:val="00E349C2"/>
    <w:rsid w:val="00E360DE"/>
    <w:rsid w:val="00E450F0"/>
    <w:rsid w:val="00E5074A"/>
    <w:rsid w:val="00E521CB"/>
    <w:rsid w:val="00E55003"/>
    <w:rsid w:val="00E56C4D"/>
    <w:rsid w:val="00E7113B"/>
    <w:rsid w:val="00E728F6"/>
    <w:rsid w:val="00E75D28"/>
    <w:rsid w:val="00E77F28"/>
    <w:rsid w:val="00E80BFB"/>
    <w:rsid w:val="00E84F25"/>
    <w:rsid w:val="00EA10E2"/>
    <w:rsid w:val="00EA5F33"/>
    <w:rsid w:val="00EB1AE8"/>
    <w:rsid w:val="00EB6E18"/>
    <w:rsid w:val="00EC007B"/>
    <w:rsid w:val="00EC47B5"/>
    <w:rsid w:val="00ED2E18"/>
    <w:rsid w:val="00EE1E12"/>
    <w:rsid w:val="00F05BA9"/>
    <w:rsid w:val="00F0614F"/>
    <w:rsid w:val="00F07EB6"/>
    <w:rsid w:val="00F21B30"/>
    <w:rsid w:val="00F273EA"/>
    <w:rsid w:val="00F30019"/>
    <w:rsid w:val="00F36C10"/>
    <w:rsid w:val="00F42CB9"/>
    <w:rsid w:val="00F50CF6"/>
    <w:rsid w:val="00F73E9E"/>
    <w:rsid w:val="00F861D1"/>
    <w:rsid w:val="00F87D14"/>
    <w:rsid w:val="00F93D76"/>
    <w:rsid w:val="00F9443C"/>
    <w:rsid w:val="00F96D7D"/>
    <w:rsid w:val="00FA3374"/>
    <w:rsid w:val="00FA61F4"/>
    <w:rsid w:val="00FA7F1B"/>
    <w:rsid w:val="00FB2435"/>
    <w:rsid w:val="00FB6490"/>
    <w:rsid w:val="00FC53D4"/>
    <w:rsid w:val="00FC7246"/>
    <w:rsid w:val="00FC7E79"/>
    <w:rsid w:val="00FD16B6"/>
    <w:rsid w:val="00FD2531"/>
    <w:rsid w:val="00FD4555"/>
    <w:rsid w:val="00FE2526"/>
    <w:rsid w:val="00FF666F"/>
    <w:rsid w:val="00FF77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053894-786A-4DCD-9C74-17BB4665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B2CA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B2CAA"/>
    <w:pPr>
      <w:spacing w:before="500" w:line="250" w:lineRule="exact"/>
      <w:outlineLvl w:val="1"/>
    </w:pPr>
    <w:rPr>
      <w:sz w:val="27"/>
    </w:rPr>
  </w:style>
  <w:style w:type="paragraph" w:styleId="Rubrik3">
    <w:name w:val="heading 3"/>
    <w:aliases w:val="Mellanrubrik"/>
    <w:basedOn w:val="Rubrik2"/>
    <w:next w:val="Normal"/>
    <w:qFormat/>
    <w:rsid w:val="008B2CAA"/>
    <w:pPr>
      <w:spacing w:before="250" w:after="0"/>
      <w:outlineLvl w:val="2"/>
    </w:pPr>
    <w:rPr>
      <w:b/>
      <w:sz w:val="21"/>
    </w:rPr>
  </w:style>
  <w:style w:type="paragraph" w:styleId="Rubrik4">
    <w:name w:val="heading 4"/>
    <w:aliases w:val="KursivRubrik"/>
    <w:basedOn w:val="Rubrik3"/>
    <w:next w:val="Normal"/>
    <w:qFormat/>
    <w:rsid w:val="008B2CAA"/>
    <w:pPr>
      <w:outlineLvl w:val="3"/>
    </w:pPr>
    <w:rPr>
      <w:b w:val="0"/>
      <w:i/>
    </w:rPr>
  </w:style>
  <w:style w:type="paragraph" w:styleId="Rubrik5">
    <w:name w:val="heading 5"/>
    <w:aliases w:val="PackadFetRubrik,PackadKursivRubrik"/>
    <w:basedOn w:val="Rubrik4"/>
    <w:next w:val="Normal"/>
    <w:qFormat/>
    <w:rsid w:val="008B2CAA"/>
    <w:pPr>
      <w:tabs>
        <w:tab w:val="clear" w:pos="1021"/>
      </w:tabs>
      <w:spacing w:before="125"/>
      <w:outlineLvl w:val="4"/>
    </w:pPr>
    <w:rPr>
      <w:i w:val="0"/>
      <w:sz w:val="19"/>
    </w:rPr>
  </w:style>
  <w:style w:type="paragraph" w:styleId="Rubrik6">
    <w:name w:val="heading 6"/>
    <w:basedOn w:val="Rubrik5"/>
    <w:next w:val="Normal"/>
    <w:qFormat/>
    <w:rsid w:val="008B2CAA"/>
    <w:pPr>
      <w:spacing w:before="50" w:line="200" w:lineRule="exact"/>
      <w:outlineLvl w:val="5"/>
    </w:pPr>
    <w:rPr>
      <w:caps/>
      <w:sz w:val="14"/>
    </w:rPr>
  </w:style>
  <w:style w:type="paragraph" w:styleId="Rubrik7">
    <w:name w:val="heading 7"/>
    <w:basedOn w:val="Rubrik6"/>
    <w:next w:val="Normal"/>
    <w:qFormat/>
    <w:rsid w:val="008B2CAA"/>
    <w:pPr>
      <w:spacing w:before="0"/>
      <w:outlineLvl w:val="6"/>
    </w:pPr>
  </w:style>
  <w:style w:type="paragraph" w:styleId="Rubrik8">
    <w:name w:val="heading 8"/>
    <w:basedOn w:val="Rubrik7"/>
    <w:next w:val="Normal"/>
    <w:qFormat/>
    <w:rsid w:val="008B2CAA"/>
    <w:pPr>
      <w:outlineLvl w:val="7"/>
    </w:pPr>
  </w:style>
  <w:style w:type="paragraph" w:styleId="Rubrik9">
    <w:name w:val="heading 9"/>
    <w:basedOn w:val="Rubrik8"/>
    <w:next w:val="Normal"/>
    <w:qFormat/>
    <w:rsid w:val="008B2CA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C4918"/>
    <w:pPr>
      <w:keepLines/>
      <w:numPr>
        <w:numId w:val="18"/>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table" w:styleId="Tabellista5">
    <w:name w:val="Table List 5"/>
    <w:basedOn w:val="Normaltabell"/>
    <w:rsid w:val="00DD011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246671">
      <w:bodyDiv w:val="1"/>
      <w:marLeft w:val="0"/>
      <w:marRight w:val="0"/>
      <w:marTop w:val="0"/>
      <w:marBottom w:val="0"/>
      <w:divBdr>
        <w:top w:val="none" w:sz="0" w:space="0" w:color="auto"/>
        <w:left w:val="none" w:sz="0" w:space="0" w:color="auto"/>
        <w:bottom w:val="none" w:sz="0" w:space="0" w:color="auto"/>
        <w:right w:val="none" w:sz="0" w:space="0" w:color="auto"/>
      </w:divBdr>
    </w:div>
    <w:div w:id="752051664">
      <w:bodyDiv w:val="1"/>
      <w:marLeft w:val="0"/>
      <w:marRight w:val="0"/>
      <w:marTop w:val="0"/>
      <w:marBottom w:val="0"/>
      <w:divBdr>
        <w:top w:val="none" w:sz="0" w:space="0" w:color="auto"/>
        <w:left w:val="none" w:sz="0" w:space="0" w:color="auto"/>
        <w:bottom w:val="none" w:sz="0" w:space="0" w:color="auto"/>
        <w:right w:val="none" w:sz="0" w:space="0" w:color="auto"/>
      </w:divBdr>
      <w:divsChild>
        <w:div w:id="519972634">
          <w:marLeft w:val="0"/>
          <w:marRight w:val="0"/>
          <w:marTop w:val="0"/>
          <w:marBottom w:val="0"/>
          <w:divBdr>
            <w:top w:val="none" w:sz="0" w:space="0" w:color="auto"/>
            <w:left w:val="none" w:sz="0" w:space="0" w:color="auto"/>
            <w:bottom w:val="none" w:sz="0" w:space="0" w:color="auto"/>
            <w:right w:val="none" w:sz="0" w:space="0" w:color="auto"/>
          </w:divBdr>
          <w:divsChild>
            <w:div w:id="1820800698">
              <w:marLeft w:val="0"/>
              <w:marRight w:val="0"/>
              <w:marTop w:val="0"/>
              <w:marBottom w:val="0"/>
              <w:divBdr>
                <w:top w:val="none" w:sz="0" w:space="0" w:color="auto"/>
                <w:left w:val="none" w:sz="0" w:space="0" w:color="auto"/>
                <w:bottom w:val="none" w:sz="0" w:space="0" w:color="auto"/>
                <w:right w:val="none" w:sz="0" w:space="0" w:color="auto"/>
              </w:divBdr>
              <w:divsChild>
                <w:div w:id="1048916134">
                  <w:marLeft w:val="0"/>
                  <w:marRight w:val="0"/>
                  <w:marTop w:val="0"/>
                  <w:marBottom w:val="0"/>
                  <w:divBdr>
                    <w:top w:val="none" w:sz="0" w:space="0" w:color="auto"/>
                    <w:left w:val="none" w:sz="0" w:space="0" w:color="auto"/>
                    <w:bottom w:val="none" w:sz="0" w:space="0" w:color="auto"/>
                    <w:right w:val="none" w:sz="0" w:space="0" w:color="auto"/>
                  </w:divBdr>
                  <w:divsChild>
                    <w:div w:id="1072435953">
                      <w:marLeft w:val="0"/>
                      <w:marRight w:val="0"/>
                      <w:marTop w:val="0"/>
                      <w:marBottom w:val="0"/>
                      <w:divBdr>
                        <w:top w:val="none" w:sz="0" w:space="0" w:color="auto"/>
                        <w:left w:val="none" w:sz="0" w:space="0" w:color="auto"/>
                        <w:bottom w:val="none" w:sz="0" w:space="0" w:color="auto"/>
                        <w:right w:val="none" w:sz="0" w:space="0" w:color="auto"/>
                      </w:divBdr>
                      <w:divsChild>
                        <w:div w:id="1844854226">
                          <w:marLeft w:val="0"/>
                          <w:marRight w:val="0"/>
                          <w:marTop w:val="0"/>
                          <w:marBottom w:val="0"/>
                          <w:divBdr>
                            <w:top w:val="none" w:sz="0" w:space="0" w:color="auto"/>
                            <w:left w:val="none" w:sz="0" w:space="0" w:color="auto"/>
                            <w:bottom w:val="none" w:sz="0" w:space="0" w:color="auto"/>
                            <w:right w:val="none" w:sz="0" w:space="0" w:color="auto"/>
                          </w:divBdr>
                          <w:divsChild>
                            <w:div w:id="889731082">
                              <w:marLeft w:val="0"/>
                              <w:marRight w:val="0"/>
                              <w:marTop w:val="0"/>
                              <w:marBottom w:val="0"/>
                              <w:divBdr>
                                <w:top w:val="none" w:sz="0" w:space="0" w:color="auto"/>
                                <w:left w:val="none" w:sz="0" w:space="0" w:color="auto"/>
                                <w:bottom w:val="none" w:sz="0" w:space="0" w:color="auto"/>
                                <w:right w:val="none" w:sz="0" w:space="0" w:color="auto"/>
                              </w:divBdr>
                              <w:divsChild>
                                <w:div w:id="375081760">
                                  <w:marLeft w:val="0"/>
                                  <w:marRight w:val="0"/>
                                  <w:marTop w:val="0"/>
                                  <w:marBottom w:val="0"/>
                                  <w:divBdr>
                                    <w:top w:val="none" w:sz="0" w:space="0" w:color="auto"/>
                                    <w:left w:val="none" w:sz="0" w:space="0" w:color="auto"/>
                                    <w:bottom w:val="none" w:sz="0" w:space="0" w:color="auto"/>
                                    <w:right w:val="none" w:sz="0" w:space="0" w:color="auto"/>
                                  </w:divBdr>
                                  <w:divsChild>
                                    <w:div w:id="132115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066604">
      <w:bodyDiv w:val="1"/>
      <w:marLeft w:val="0"/>
      <w:marRight w:val="0"/>
      <w:marTop w:val="0"/>
      <w:marBottom w:val="0"/>
      <w:divBdr>
        <w:top w:val="none" w:sz="0" w:space="0" w:color="auto"/>
        <w:left w:val="none" w:sz="0" w:space="0" w:color="auto"/>
        <w:bottom w:val="none" w:sz="0" w:space="0" w:color="auto"/>
        <w:right w:val="none" w:sz="0" w:space="0" w:color="auto"/>
      </w:divBdr>
    </w:div>
    <w:div w:id="1124344171">
      <w:bodyDiv w:val="1"/>
      <w:marLeft w:val="0"/>
      <w:marRight w:val="0"/>
      <w:marTop w:val="0"/>
      <w:marBottom w:val="0"/>
      <w:divBdr>
        <w:top w:val="none" w:sz="0" w:space="0" w:color="auto"/>
        <w:left w:val="none" w:sz="0" w:space="0" w:color="auto"/>
        <w:bottom w:val="none" w:sz="0" w:space="0" w:color="auto"/>
        <w:right w:val="none" w:sz="0" w:space="0" w:color="auto"/>
      </w:divBdr>
    </w:div>
    <w:div w:id="155781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5137</Words>
  <Characters>31339</Characters>
  <Application>Microsoft Office Word</Application>
  <DocSecurity>4</DocSecurity>
  <Lines>614</Lines>
  <Paragraphs>197</Paragraphs>
  <ScaleCrop>false</ScaleCrop>
  <HeadingPairs>
    <vt:vector size="2" baseType="variant">
      <vt:variant>
        <vt:lpstr>Rubrik</vt:lpstr>
      </vt:variant>
      <vt:variant>
        <vt:i4>1</vt:i4>
      </vt:variant>
    </vt:vector>
  </HeadingPairs>
  <TitlesOfParts>
    <vt:vector size="1" baseType="lpstr">
      <vt:lpstr>mp601</vt:lpstr>
    </vt:vector>
  </TitlesOfParts>
  <Company>Riksdagen</Company>
  <LinksUpToDate>false</LinksUpToDate>
  <CharactersWithSpaces>36279</CharactersWithSpaces>
  <SharedDoc>false</SharedDoc>
  <HLinks>
    <vt:vector size="120" baseType="variant">
      <vt:variant>
        <vt:i4>1441844</vt:i4>
      </vt:variant>
      <vt:variant>
        <vt:i4>116</vt:i4>
      </vt:variant>
      <vt:variant>
        <vt:i4>0</vt:i4>
      </vt:variant>
      <vt:variant>
        <vt:i4>5</vt:i4>
      </vt:variant>
      <vt:variant>
        <vt:lpwstr/>
      </vt:variant>
      <vt:variant>
        <vt:lpwstr>_Toc153162077</vt:lpwstr>
      </vt:variant>
      <vt:variant>
        <vt:i4>1441844</vt:i4>
      </vt:variant>
      <vt:variant>
        <vt:i4>110</vt:i4>
      </vt:variant>
      <vt:variant>
        <vt:i4>0</vt:i4>
      </vt:variant>
      <vt:variant>
        <vt:i4>5</vt:i4>
      </vt:variant>
      <vt:variant>
        <vt:lpwstr/>
      </vt:variant>
      <vt:variant>
        <vt:lpwstr>_Toc153162076</vt:lpwstr>
      </vt:variant>
      <vt:variant>
        <vt:i4>1441844</vt:i4>
      </vt:variant>
      <vt:variant>
        <vt:i4>104</vt:i4>
      </vt:variant>
      <vt:variant>
        <vt:i4>0</vt:i4>
      </vt:variant>
      <vt:variant>
        <vt:i4>5</vt:i4>
      </vt:variant>
      <vt:variant>
        <vt:lpwstr/>
      </vt:variant>
      <vt:variant>
        <vt:lpwstr>_Toc153162075</vt:lpwstr>
      </vt:variant>
      <vt:variant>
        <vt:i4>1441844</vt:i4>
      </vt:variant>
      <vt:variant>
        <vt:i4>98</vt:i4>
      </vt:variant>
      <vt:variant>
        <vt:i4>0</vt:i4>
      </vt:variant>
      <vt:variant>
        <vt:i4>5</vt:i4>
      </vt:variant>
      <vt:variant>
        <vt:lpwstr/>
      </vt:variant>
      <vt:variant>
        <vt:lpwstr>_Toc153162074</vt:lpwstr>
      </vt:variant>
      <vt:variant>
        <vt:i4>1441844</vt:i4>
      </vt:variant>
      <vt:variant>
        <vt:i4>92</vt:i4>
      </vt:variant>
      <vt:variant>
        <vt:i4>0</vt:i4>
      </vt:variant>
      <vt:variant>
        <vt:i4>5</vt:i4>
      </vt:variant>
      <vt:variant>
        <vt:lpwstr/>
      </vt:variant>
      <vt:variant>
        <vt:lpwstr>_Toc153162073</vt:lpwstr>
      </vt:variant>
      <vt:variant>
        <vt:i4>1441844</vt:i4>
      </vt:variant>
      <vt:variant>
        <vt:i4>86</vt:i4>
      </vt:variant>
      <vt:variant>
        <vt:i4>0</vt:i4>
      </vt:variant>
      <vt:variant>
        <vt:i4>5</vt:i4>
      </vt:variant>
      <vt:variant>
        <vt:lpwstr/>
      </vt:variant>
      <vt:variant>
        <vt:lpwstr>_Toc153162072</vt:lpwstr>
      </vt:variant>
      <vt:variant>
        <vt:i4>1441844</vt:i4>
      </vt:variant>
      <vt:variant>
        <vt:i4>80</vt:i4>
      </vt:variant>
      <vt:variant>
        <vt:i4>0</vt:i4>
      </vt:variant>
      <vt:variant>
        <vt:i4>5</vt:i4>
      </vt:variant>
      <vt:variant>
        <vt:lpwstr/>
      </vt:variant>
      <vt:variant>
        <vt:lpwstr>_Toc153162071</vt:lpwstr>
      </vt:variant>
      <vt:variant>
        <vt:i4>1441844</vt:i4>
      </vt:variant>
      <vt:variant>
        <vt:i4>74</vt:i4>
      </vt:variant>
      <vt:variant>
        <vt:i4>0</vt:i4>
      </vt:variant>
      <vt:variant>
        <vt:i4>5</vt:i4>
      </vt:variant>
      <vt:variant>
        <vt:lpwstr/>
      </vt:variant>
      <vt:variant>
        <vt:lpwstr>_Toc153162070</vt:lpwstr>
      </vt:variant>
      <vt:variant>
        <vt:i4>1507380</vt:i4>
      </vt:variant>
      <vt:variant>
        <vt:i4>68</vt:i4>
      </vt:variant>
      <vt:variant>
        <vt:i4>0</vt:i4>
      </vt:variant>
      <vt:variant>
        <vt:i4>5</vt:i4>
      </vt:variant>
      <vt:variant>
        <vt:lpwstr/>
      </vt:variant>
      <vt:variant>
        <vt:lpwstr>_Toc153162069</vt:lpwstr>
      </vt:variant>
      <vt:variant>
        <vt:i4>1507380</vt:i4>
      </vt:variant>
      <vt:variant>
        <vt:i4>62</vt:i4>
      </vt:variant>
      <vt:variant>
        <vt:i4>0</vt:i4>
      </vt:variant>
      <vt:variant>
        <vt:i4>5</vt:i4>
      </vt:variant>
      <vt:variant>
        <vt:lpwstr/>
      </vt:variant>
      <vt:variant>
        <vt:lpwstr>_Toc153162068</vt:lpwstr>
      </vt:variant>
      <vt:variant>
        <vt:i4>1507380</vt:i4>
      </vt:variant>
      <vt:variant>
        <vt:i4>56</vt:i4>
      </vt:variant>
      <vt:variant>
        <vt:i4>0</vt:i4>
      </vt:variant>
      <vt:variant>
        <vt:i4>5</vt:i4>
      </vt:variant>
      <vt:variant>
        <vt:lpwstr/>
      </vt:variant>
      <vt:variant>
        <vt:lpwstr>_Toc153162067</vt:lpwstr>
      </vt:variant>
      <vt:variant>
        <vt:i4>1507380</vt:i4>
      </vt:variant>
      <vt:variant>
        <vt:i4>50</vt:i4>
      </vt:variant>
      <vt:variant>
        <vt:i4>0</vt:i4>
      </vt:variant>
      <vt:variant>
        <vt:i4>5</vt:i4>
      </vt:variant>
      <vt:variant>
        <vt:lpwstr/>
      </vt:variant>
      <vt:variant>
        <vt:lpwstr>_Toc153162066</vt:lpwstr>
      </vt:variant>
      <vt:variant>
        <vt:i4>1507380</vt:i4>
      </vt:variant>
      <vt:variant>
        <vt:i4>44</vt:i4>
      </vt:variant>
      <vt:variant>
        <vt:i4>0</vt:i4>
      </vt:variant>
      <vt:variant>
        <vt:i4>5</vt:i4>
      </vt:variant>
      <vt:variant>
        <vt:lpwstr/>
      </vt:variant>
      <vt:variant>
        <vt:lpwstr>_Toc153162065</vt:lpwstr>
      </vt:variant>
      <vt:variant>
        <vt:i4>1507380</vt:i4>
      </vt:variant>
      <vt:variant>
        <vt:i4>38</vt:i4>
      </vt:variant>
      <vt:variant>
        <vt:i4>0</vt:i4>
      </vt:variant>
      <vt:variant>
        <vt:i4>5</vt:i4>
      </vt:variant>
      <vt:variant>
        <vt:lpwstr/>
      </vt:variant>
      <vt:variant>
        <vt:lpwstr>_Toc153162064</vt:lpwstr>
      </vt:variant>
      <vt:variant>
        <vt:i4>1507380</vt:i4>
      </vt:variant>
      <vt:variant>
        <vt:i4>32</vt:i4>
      </vt:variant>
      <vt:variant>
        <vt:i4>0</vt:i4>
      </vt:variant>
      <vt:variant>
        <vt:i4>5</vt:i4>
      </vt:variant>
      <vt:variant>
        <vt:lpwstr/>
      </vt:variant>
      <vt:variant>
        <vt:lpwstr>_Toc153162063</vt:lpwstr>
      </vt:variant>
      <vt:variant>
        <vt:i4>1507380</vt:i4>
      </vt:variant>
      <vt:variant>
        <vt:i4>26</vt:i4>
      </vt:variant>
      <vt:variant>
        <vt:i4>0</vt:i4>
      </vt:variant>
      <vt:variant>
        <vt:i4>5</vt:i4>
      </vt:variant>
      <vt:variant>
        <vt:lpwstr/>
      </vt:variant>
      <vt:variant>
        <vt:lpwstr>_Toc153162062</vt:lpwstr>
      </vt:variant>
      <vt:variant>
        <vt:i4>1507380</vt:i4>
      </vt:variant>
      <vt:variant>
        <vt:i4>20</vt:i4>
      </vt:variant>
      <vt:variant>
        <vt:i4>0</vt:i4>
      </vt:variant>
      <vt:variant>
        <vt:i4>5</vt:i4>
      </vt:variant>
      <vt:variant>
        <vt:lpwstr/>
      </vt:variant>
      <vt:variant>
        <vt:lpwstr>_Toc153162061</vt:lpwstr>
      </vt:variant>
      <vt:variant>
        <vt:i4>1507380</vt:i4>
      </vt:variant>
      <vt:variant>
        <vt:i4>14</vt:i4>
      </vt:variant>
      <vt:variant>
        <vt:i4>0</vt:i4>
      </vt:variant>
      <vt:variant>
        <vt:i4>5</vt:i4>
      </vt:variant>
      <vt:variant>
        <vt:lpwstr/>
      </vt:variant>
      <vt:variant>
        <vt:lpwstr>_Toc153162060</vt:lpwstr>
      </vt:variant>
      <vt:variant>
        <vt:i4>1310772</vt:i4>
      </vt:variant>
      <vt:variant>
        <vt:i4>8</vt:i4>
      </vt:variant>
      <vt:variant>
        <vt:i4>0</vt:i4>
      </vt:variant>
      <vt:variant>
        <vt:i4>5</vt:i4>
      </vt:variant>
      <vt:variant>
        <vt:lpwstr/>
      </vt:variant>
      <vt:variant>
        <vt:lpwstr>_Toc153162059</vt:lpwstr>
      </vt:variant>
      <vt:variant>
        <vt:i4>1310772</vt:i4>
      </vt:variant>
      <vt:variant>
        <vt:i4>2</vt:i4>
      </vt:variant>
      <vt:variant>
        <vt:i4>0</vt:i4>
      </vt:variant>
      <vt:variant>
        <vt:i4>5</vt:i4>
      </vt:variant>
      <vt:variant>
        <vt:lpwstr/>
      </vt:variant>
      <vt:variant>
        <vt:lpwstr>_Toc153162058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mp601</dc:title>
  <dc:subject>mp601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2007-02-08T08:59:00Z</cp:lastPrinted>
  <dcterms:created xsi:type="dcterms:W3CDTF">2025-12-17T00:09:00Z</dcterms:created>
  <dcterms:modified xsi:type="dcterms:W3CDTF">2025-12-17T00:09:00Z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Utgiftsområde 4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4 Rättsväsendet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Mehmet Kaplan m.fl. (mp)</vt:lpwstr>
  </property>
  <property fmtid="{D5CDD505-2E9C-101B-9397-08002B2CF9AE}" pid="26" name="MotionarLista">
    <vt:lpwstr>Kaplan, Mehmet (mp)\Andersson, Max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 Max Andersson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Ju372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20062007000001090112000006010075</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20062007000001090112000006010075</vt:lpwstr>
  </property>
  <property fmtid="{D5CDD505-2E9C-101B-9397-08002B2CF9AE}" pid="50" name="nummer">
    <vt:lpwstr>372</vt:lpwstr>
  </property>
  <property fmtid="{D5CDD505-2E9C-101B-9397-08002B2CF9AE}" pid="51" name="utskottsbeteckning">
    <vt:lpwstr>Ju</vt:lpwstr>
  </property>
  <property fmtid="{D5CDD505-2E9C-101B-9397-08002B2CF9AE}" pid="52" name="GlobalUID">
    <vt:lpwstr>{9B96C985-3FEE-4B5F-87AC-AF261BD4C55C}</vt:lpwstr>
  </property>
  <property fmtid="{D5CDD505-2E9C-101B-9397-08002B2CF9AE}" pid="53" name="Överföringar">
    <vt:i4>0</vt:i4>
  </property>
  <property fmtid="{D5CDD505-2E9C-101B-9397-08002B2CF9AE}" pid="54" name="Checksum">
    <vt:lpwstr>*0000704760217*</vt:lpwstr>
  </property>
  <property fmtid="{D5CDD505-2E9C-101B-9397-08002B2CF9AE}" pid="55" name="skuggnummer">
    <vt:lpwstr>2407</vt:lpwstr>
  </property>
  <property fmtid="{D5CDD505-2E9C-101B-9397-08002B2CF9AE}" pid="56" name="urixVersion">
    <vt:lpwstr>3.1.4.1</vt:lpwstr>
  </property>
  <property fmtid="{D5CDD505-2E9C-101B-9397-08002B2CF9AE}" pid="57" name="urixOrigin">
    <vt:lpwstr>070312 11:03:03.038</vt:lpwstr>
  </property>
  <property fmtid="{D5CDD505-2E9C-101B-9397-08002B2CF9AE}" pid="58" name="urixGuid">
    <vt:lpwstr>{34A28FC2-97A7-4EE1-9D27-35EA1BAA53EF}</vt:lpwstr>
  </property>
</Properties>
</file>