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1211" w:rsidRPr="004A4525" w:rsidRDefault="00D01211">
      <w:pPr>
        <w:pStyle w:val="Frslagsrubrik"/>
      </w:pPr>
      <w:r w:rsidRPr="004A4525">
        <w:t>Förslag till riksdagsbeslut</w:t>
      </w:r>
    </w:p>
    <w:p w:rsidR="00D01211" w:rsidRPr="004A4525" w:rsidRDefault="00D01211">
      <w:pPr>
        <w:pStyle w:val="Hemstlatt"/>
        <w:numPr>
          <w:ilvl w:val="0"/>
          <w:numId w:val="0"/>
        </w:numPr>
      </w:pPr>
      <w:r w:rsidRPr="004A4525">
        <w:t>Riksdagen anvisar till utgiftsområde 4 Rättsväsendet 1 798 000 000 kr utöver vad regeringen föreslagit för budgetåret 2012 eller således 39 669 000 000 kr enligt uppställning:</w:t>
      </w:r>
    </w:p>
    <w:tbl>
      <w:tblPr>
        <w:tblW w:w="5954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4008"/>
        <w:gridCol w:w="1501"/>
      </w:tblGrid>
      <w:tr w:rsidR="00000000" w:rsidRPr="004A4525"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01211" w:rsidRPr="004A4525" w:rsidRDefault="00D01211">
            <w:pPr>
              <w:spacing w:before="60" w:line="200" w:lineRule="exact"/>
              <w:rPr>
                <w:sz w:val="16"/>
                <w:szCs w:val="16"/>
              </w:rPr>
            </w:pPr>
            <w:r w:rsidRPr="004A4525">
              <w:rPr>
                <w:sz w:val="16"/>
                <w:szCs w:val="16"/>
              </w:rPr>
              <w:t> </w:t>
            </w:r>
          </w:p>
        </w:tc>
        <w:tc>
          <w:tcPr>
            <w:tcW w:w="4008" w:type="dxa"/>
            <w:tcBorders>
              <w:top w:val="single" w:sz="4" w:space="0" w:color="auto"/>
              <w:bottom w:val="single" w:sz="4" w:space="0" w:color="auto"/>
            </w:tcBorders>
          </w:tcPr>
          <w:p w:rsidR="00D01211" w:rsidRPr="004A4525" w:rsidRDefault="00D01211">
            <w:pPr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4A4525">
              <w:rPr>
                <w:b/>
                <w:bCs/>
                <w:sz w:val="16"/>
                <w:szCs w:val="16"/>
              </w:rPr>
              <w:t>Anslag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01211" w:rsidRPr="004A4525" w:rsidRDefault="00D01211">
            <w:pPr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4A4525">
              <w:rPr>
                <w:b/>
                <w:sz w:val="16"/>
                <w:szCs w:val="16"/>
              </w:rPr>
              <w:t>Anslagsförändring </w:t>
            </w:r>
          </w:p>
        </w:tc>
      </w:tr>
      <w:tr w:rsidR="00000000" w:rsidRPr="004A4525">
        <w:tc>
          <w:tcPr>
            <w:tcW w:w="445" w:type="dxa"/>
            <w:tcBorders>
              <w:top w:val="single" w:sz="4" w:space="0" w:color="auto"/>
            </w:tcBorders>
            <w:noWrap/>
          </w:tcPr>
          <w:p w:rsidR="00D01211" w:rsidRPr="004A4525" w:rsidRDefault="00D01211">
            <w:pPr>
              <w:spacing w:before="60" w:line="200" w:lineRule="exact"/>
              <w:rPr>
                <w:sz w:val="16"/>
                <w:szCs w:val="16"/>
              </w:rPr>
            </w:pPr>
            <w:r w:rsidRPr="004A4525">
              <w:rPr>
                <w:sz w:val="16"/>
                <w:szCs w:val="16"/>
              </w:rPr>
              <w:t>1:1</w:t>
            </w:r>
          </w:p>
        </w:tc>
        <w:tc>
          <w:tcPr>
            <w:tcW w:w="4008" w:type="dxa"/>
            <w:tcBorders>
              <w:top w:val="single" w:sz="4" w:space="0" w:color="auto"/>
            </w:tcBorders>
          </w:tcPr>
          <w:p w:rsidR="00D01211" w:rsidRPr="004A4525" w:rsidRDefault="00D01211">
            <w:pPr>
              <w:spacing w:before="60" w:line="200" w:lineRule="exact"/>
              <w:rPr>
                <w:sz w:val="16"/>
                <w:szCs w:val="16"/>
              </w:rPr>
            </w:pPr>
            <w:r w:rsidRPr="004A4525">
              <w:rPr>
                <w:sz w:val="16"/>
                <w:szCs w:val="16"/>
              </w:rPr>
              <w:t>Polisorganisationen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noWrap/>
          </w:tcPr>
          <w:p w:rsidR="00D01211" w:rsidRPr="004A4525" w:rsidRDefault="00D01211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4A4525">
              <w:rPr>
                <w:sz w:val="16"/>
                <w:szCs w:val="16"/>
              </w:rPr>
              <w:t>+140</w:t>
            </w:r>
          </w:p>
        </w:tc>
      </w:tr>
      <w:tr w:rsidR="00000000" w:rsidRPr="004A4525">
        <w:tc>
          <w:tcPr>
            <w:tcW w:w="445" w:type="dxa"/>
            <w:noWrap/>
          </w:tcPr>
          <w:p w:rsidR="00D01211" w:rsidRPr="004A4525" w:rsidRDefault="00D01211">
            <w:pPr>
              <w:spacing w:before="60" w:line="200" w:lineRule="exact"/>
              <w:rPr>
                <w:sz w:val="16"/>
                <w:szCs w:val="16"/>
              </w:rPr>
            </w:pPr>
            <w:r w:rsidRPr="004A4525">
              <w:rPr>
                <w:sz w:val="16"/>
                <w:szCs w:val="16"/>
              </w:rPr>
              <w:t>1:3</w:t>
            </w:r>
          </w:p>
        </w:tc>
        <w:tc>
          <w:tcPr>
            <w:tcW w:w="4008" w:type="dxa"/>
          </w:tcPr>
          <w:p w:rsidR="00D01211" w:rsidRPr="004A4525" w:rsidRDefault="00D01211">
            <w:pPr>
              <w:spacing w:before="60" w:line="200" w:lineRule="exact"/>
              <w:rPr>
                <w:sz w:val="16"/>
                <w:szCs w:val="16"/>
              </w:rPr>
            </w:pPr>
            <w:r w:rsidRPr="004A4525">
              <w:rPr>
                <w:sz w:val="16"/>
                <w:szCs w:val="16"/>
              </w:rPr>
              <w:t>Åklagarmyndigheten</w:t>
            </w:r>
          </w:p>
        </w:tc>
        <w:tc>
          <w:tcPr>
            <w:tcW w:w="1501" w:type="dxa"/>
            <w:noWrap/>
          </w:tcPr>
          <w:p w:rsidR="00D01211" w:rsidRPr="004A4525" w:rsidRDefault="00D01211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4A4525">
              <w:rPr>
                <w:sz w:val="16"/>
                <w:szCs w:val="16"/>
              </w:rPr>
              <w:t>+255</w:t>
            </w:r>
          </w:p>
        </w:tc>
      </w:tr>
      <w:tr w:rsidR="00000000" w:rsidRPr="004A4525">
        <w:tc>
          <w:tcPr>
            <w:tcW w:w="445" w:type="dxa"/>
            <w:noWrap/>
          </w:tcPr>
          <w:p w:rsidR="00D01211" w:rsidRPr="004A4525" w:rsidRDefault="00D01211">
            <w:pPr>
              <w:spacing w:before="60" w:line="200" w:lineRule="exact"/>
              <w:rPr>
                <w:sz w:val="16"/>
                <w:szCs w:val="16"/>
              </w:rPr>
            </w:pPr>
            <w:r w:rsidRPr="004A4525">
              <w:rPr>
                <w:sz w:val="16"/>
                <w:szCs w:val="16"/>
              </w:rPr>
              <w:t>1:5</w:t>
            </w:r>
          </w:p>
        </w:tc>
        <w:tc>
          <w:tcPr>
            <w:tcW w:w="4008" w:type="dxa"/>
          </w:tcPr>
          <w:p w:rsidR="00D01211" w:rsidRPr="004A4525" w:rsidRDefault="00D01211">
            <w:pPr>
              <w:spacing w:before="60" w:line="200" w:lineRule="exact"/>
              <w:rPr>
                <w:sz w:val="16"/>
                <w:szCs w:val="16"/>
              </w:rPr>
            </w:pPr>
            <w:r w:rsidRPr="004A4525">
              <w:rPr>
                <w:sz w:val="16"/>
                <w:szCs w:val="16"/>
              </w:rPr>
              <w:t>Sveriges Domstolar</w:t>
            </w:r>
          </w:p>
        </w:tc>
        <w:tc>
          <w:tcPr>
            <w:tcW w:w="1501" w:type="dxa"/>
            <w:noWrap/>
          </w:tcPr>
          <w:p w:rsidR="00D01211" w:rsidRPr="004A4525" w:rsidRDefault="00D01211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4A4525">
              <w:rPr>
                <w:sz w:val="16"/>
                <w:szCs w:val="16"/>
              </w:rPr>
              <w:t>+468</w:t>
            </w:r>
          </w:p>
        </w:tc>
      </w:tr>
      <w:tr w:rsidR="00000000" w:rsidRPr="004A4525">
        <w:tc>
          <w:tcPr>
            <w:tcW w:w="445" w:type="dxa"/>
            <w:noWrap/>
          </w:tcPr>
          <w:p w:rsidR="00D01211" w:rsidRPr="004A4525" w:rsidRDefault="00D01211">
            <w:pPr>
              <w:spacing w:before="60" w:line="200" w:lineRule="exact"/>
              <w:rPr>
                <w:sz w:val="16"/>
                <w:szCs w:val="16"/>
              </w:rPr>
            </w:pPr>
            <w:r w:rsidRPr="004A4525">
              <w:rPr>
                <w:sz w:val="16"/>
                <w:szCs w:val="16"/>
              </w:rPr>
              <w:t>1:6</w:t>
            </w:r>
          </w:p>
        </w:tc>
        <w:tc>
          <w:tcPr>
            <w:tcW w:w="4008" w:type="dxa"/>
          </w:tcPr>
          <w:p w:rsidR="00D01211" w:rsidRPr="004A4525" w:rsidRDefault="00D01211">
            <w:pPr>
              <w:spacing w:before="60" w:line="200" w:lineRule="exact"/>
              <w:rPr>
                <w:sz w:val="16"/>
                <w:szCs w:val="16"/>
              </w:rPr>
            </w:pPr>
            <w:r w:rsidRPr="004A4525">
              <w:rPr>
                <w:sz w:val="16"/>
                <w:szCs w:val="16"/>
              </w:rPr>
              <w:t>Kriminalvården</w:t>
            </w:r>
          </w:p>
        </w:tc>
        <w:tc>
          <w:tcPr>
            <w:tcW w:w="1501" w:type="dxa"/>
            <w:noWrap/>
          </w:tcPr>
          <w:p w:rsidR="00D01211" w:rsidRPr="004A4525" w:rsidRDefault="00D01211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4A4525">
              <w:rPr>
                <w:sz w:val="16"/>
                <w:szCs w:val="16"/>
              </w:rPr>
              <w:t>+819</w:t>
            </w:r>
          </w:p>
        </w:tc>
      </w:tr>
      <w:tr w:rsidR="00000000" w:rsidRPr="004A4525">
        <w:tc>
          <w:tcPr>
            <w:tcW w:w="445" w:type="dxa"/>
            <w:noWrap/>
          </w:tcPr>
          <w:p w:rsidR="00D01211" w:rsidRPr="004A4525" w:rsidRDefault="00D01211">
            <w:pPr>
              <w:spacing w:before="60" w:line="200" w:lineRule="exact"/>
              <w:rPr>
                <w:sz w:val="16"/>
                <w:szCs w:val="16"/>
              </w:rPr>
            </w:pPr>
            <w:r w:rsidRPr="004A4525">
              <w:rPr>
                <w:sz w:val="16"/>
                <w:szCs w:val="16"/>
              </w:rPr>
              <w:t>1:9</w:t>
            </w:r>
          </w:p>
        </w:tc>
        <w:tc>
          <w:tcPr>
            <w:tcW w:w="4008" w:type="dxa"/>
          </w:tcPr>
          <w:p w:rsidR="00D01211" w:rsidRPr="004A4525" w:rsidRDefault="00D01211">
            <w:pPr>
              <w:spacing w:before="60" w:line="200" w:lineRule="exact"/>
              <w:rPr>
                <w:sz w:val="16"/>
                <w:szCs w:val="16"/>
              </w:rPr>
            </w:pPr>
            <w:r w:rsidRPr="004A4525">
              <w:rPr>
                <w:sz w:val="16"/>
                <w:szCs w:val="16"/>
              </w:rPr>
              <w:t>Gentekniknämnden</w:t>
            </w:r>
          </w:p>
        </w:tc>
        <w:tc>
          <w:tcPr>
            <w:tcW w:w="1501" w:type="dxa"/>
            <w:noWrap/>
          </w:tcPr>
          <w:p w:rsidR="00D01211" w:rsidRPr="004A4525" w:rsidRDefault="00D01211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4A4525">
              <w:rPr>
                <w:sz w:val="16"/>
                <w:szCs w:val="16"/>
              </w:rPr>
              <w:t>+1</w:t>
            </w:r>
          </w:p>
        </w:tc>
      </w:tr>
      <w:tr w:rsidR="00000000" w:rsidRPr="004A4525">
        <w:tc>
          <w:tcPr>
            <w:tcW w:w="445" w:type="dxa"/>
            <w:noWrap/>
          </w:tcPr>
          <w:p w:rsidR="00D01211" w:rsidRPr="004A4525" w:rsidRDefault="00D01211">
            <w:pPr>
              <w:spacing w:before="60" w:line="200" w:lineRule="exact"/>
              <w:rPr>
                <w:sz w:val="16"/>
                <w:szCs w:val="16"/>
              </w:rPr>
            </w:pPr>
            <w:r w:rsidRPr="004A4525">
              <w:rPr>
                <w:sz w:val="16"/>
                <w:szCs w:val="16"/>
              </w:rPr>
              <w:t>1:10</w:t>
            </w:r>
          </w:p>
        </w:tc>
        <w:tc>
          <w:tcPr>
            <w:tcW w:w="4008" w:type="dxa"/>
          </w:tcPr>
          <w:p w:rsidR="00D01211" w:rsidRPr="004A4525" w:rsidRDefault="00D01211">
            <w:pPr>
              <w:spacing w:before="60" w:line="200" w:lineRule="exact"/>
              <w:rPr>
                <w:sz w:val="16"/>
                <w:szCs w:val="16"/>
              </w:rPr>
            </w:pPr>
            <w:r w:rsidRPr="004A4525">
              <w:rPr>
                <w:sz w:val="16"/>
                <w:szCs w:val="16"/>
              </w:rPr>
              <w:t>Brottsoffermyndigheten</w:t>
            </w:r>
          </w:p>
        </w:tc>
        <w:tc>
          <w:tcPr>
            <w:tcW w:w="1501" w:type="dxa"/>
            <w:noWrap/>
          </w:tcPr>
          <w:p w:rsidR="00D01211" w:rsidRPr="004A4525" w:rsidRDefault="00D01211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4A4525">
              <w:rPr>
                <w:sz w:val="16"/>
                <w:szCs w:val="16"/>
              </w:rPr>
              <w:t>+115</w:t>
            </w:r>
          </w:p>
        </w:tc>
      </w:tr>
      <w:tr w:rsidR="00000000" w:rsidRPr="004A4525">
        <w:tc>
          <w:tcPr>
            <w:tcW w:w="445" w:type="dxa"/>
            <w:noWrap/>
          </w:tcPr>
          <w:p w:rsidR="00D01211" w:rsidRPr="004A4525" w:rsidRDefault="00D01211">
            <w:pPr>
              <w:spacing w:before="60" w:line="200" w:lineRule="exact"/>
              <w:rPr>
                <w:sz w:val="16"/>
                <w:szCs w:val="16"/>
              </w:rPr>
            </w:pPr>
            <w:r w:rsidRPr="004A4525">
              <w:rPr>
                <w:sz w:val="16"/>
                <w:szCs w:val="16"/>
              </w:rPr>
              <w:t> </w:t>
            </w:r>
          </w:p>
        </w:tc>
        <w:tc>
          <w:tcPr>
            <w:tcW w:w="4008" w:type="dxa"/>
          </w:tcPr>
          <w:p w:rsidR="00D01211" w:rsidRPr="004A4525" w:rsidRDefault="00D01211">
            <w:pPr>
              <w:spacing w:before="60" w:line="200" w:lineRule="exact"/>
              <w:rPr>
                <w:b/>
                <w:bCs/>
                <w:i/>
                <w:iCs/>
                <w:sz w:val="16"/>
                <w:szCs w:val="16"/>
              </w:rPr>
            </w:pPr>
            <w:r w:rsidRPr="004A4525">
              <w:rPr>
                <w:b/>
                <w:bCs/>
                <w:i/>
                <w:iCs/>
                <w:sz w:val="16"/>
                <w:szCs w:val="16"/>
              </w:rPr>
              <w:t>Summa</w:t>
            </w:r>
          </w:p>
        </w:tc>
        <w:tc>
          <w:tcPr>
            <w:tcW w:w="1501" w:type="dxa"/>
            <w:noWrap/>
          </w:tcPr>
          <w:p w:rsidR="00D01211" w:rsidRPr="004A4525" w:rsidRDefault="00D01211">
            <w:pPr>
              <w:spacing w:before="60" w:line="200" w:lineRule="exact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4A4525">
              <w:rPr>
                <w:b/>
                <w:bCs/>
                <w:i/>
                <w:iCs/>
                <w:sz w:val="16"/>
                <w:szCs w:val="16"/>
              </w:rPr>
              <w:t>+1 798</w:t>
            </w:r>
          </w:p>
        </w:tc>
      </w:tr>
    </w:tbl>
    <w:p w:rsidR="00D01211" w:rsidRPr="004A4525" w:rsidRDefault="00D01211">
      <w:pPr>
        <w:pStyle w:val="Rubrik1"/>
      </w:pPr>
      <w:r w:rsidRPr="004A4525">
        <w:t>Motivering</w:t>
      </w:r>
    </w:p>
    <w:p w:rsidR="00D01211" w:rsidRPr="004A4525" w:rsidRDefault="00D01211">
      <w:r w:rsidRPr="004A4525">
        <w:t>Vi ökar anslagen till rättsväsendet med totalt 1,769 miljarder kronor med fokus på Kriminalvården för att ga</w:t>
      </w:r>
      <w:r w:rsidRPr="004A4525">
        <w:t>r</w:t>
      </w:r>
      <w:r w:rsidRPr="004A4525">
        <w:t>dera för ökad belastning med de hårdare straff partiet förespråkar samt för ett större ansvar för förvar av bl.a. av- och utvisade invandrare samt invandrare som u</w:t>
      </w:r>
      <w:r w:rsidRPr="004A4525">
        <w:t>p</w:t>
      </w:r>
      <w:r w:rsidRPr="004A4525">
        <w:t>pehåller sig illegalt i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A4525">
        <w:trPr>
          <w:cantSplit/>
        </w:trPr>
        <w:tc>
          <w:tcPr>
            <w:tcW w:w="3046" w:type="dxa"/>
          </w:tcPr>
          <w:p w:rsidR="00D01211" w:rsidRPr="004A4525" w:rsidRDefault="00D01211">
            <w:pPr>
              <w:pStyle w:val="UnderskriftDatum"/>
              <w:spacing w:before="240"/>
            </w:pPr>
            <w:r w:rsidRPr="004A4525">
              <w:t>Stockholm den 3 oktober 2011</w:t>
            </w:r>
          </w:p>
        </w:tc>
        <w:tc>
          <w:tcPr>
            <w:tcW w:w="3047" w:type="dxa"/>
          </w:tcPr>
          <w:p w:rsidR="00D01211" w:rsidRPr="004A4525" w:rsidRDefault="00D01211">
            <w:pPr>
              <w:pStyle w:val="Underskrifter"/>
              <w:spacing w:before="240"/>
            </w:pPr>
          </w:p>
        </w:tc>
      </w:tr>
      <w:tr w:rsidR="00000000" w:rsidRPr="004A4525">
        <w:trPr>
          <w:cantSplit/>
        </w:trPr>
        <w:tc>
          <w:tcPr>
            <w:tcW w:w="3046" w:type="dxa"/>
          </w:tcPr>
          <w:p w:rsidR="00D01211" w:rsidRPr="004A4525" w:rsidRDefault="00D01211">
            <w:pPr>
              <w:pStyle w:val="Underskrifter"/>
            </w:pPr>
            <w:r w:rsidRPr="004A4525">
              <w:t>Kent Ekeroth (SD)</w:t>
            </w:r>
          </w:p>
        </w:tc>
        <w:tc>
          <w:tcPr>
            <w:tcW w:w="3046" w:type="dxa"/>
          </w:tcPr>
          <w:p w:rsidR="00D01211" w:rsidRPr="004A4525" w:rsidRDefault="00D01211">
            <w:pPr>
              <w:pStyle w:val="Underskrifter"/>
            </w:pPr>
          </w:p>
        </w:tc>
      </w:tr>
      <w:tr w:rsidR="00000000" w:rsidRPr="004A4525">
        <w:trPr>
          <w:cantSplit/>
        </w:trPr>
        <w:tc>
          <w:tcPr>
            <w:tcW w:w="3046" w:type="dxa"/>
          </w:tcPr>
          <w:p w:rsidR="00D01211" w:rsidRPr="004A4525" w:rsidRDefault="00D01211">
            <w:pPr>
              <w:pStyle w:val="Underskrifter"/>
            </w:pPr>
            <w:r w:rsidRPr="004A4525">
              <w:t>Lars Isovaara (SD)</w:t>
            </w:r>
          </w:p>
        </w:tc>
        <w:tc>
          <w:tcPr>
            <w:tcW w:w="3046" w:type="dxa"/>
          </w:tcPr>
          <w:p w:rsidR="00D01211" w:rsidRPr="004A4525" w:rsidRDefault="00D01211">
            <w:pPr>
              <w:pStyle w:val="Underskrifter"/>
            </w:pPr>
            <w:r w:rsidRPr="004A4525">
              <w:t>Thoralf Alfsson (SD)</w:t>
            </w:r>
          </w:p>
        </w:tc>
      </w:tr>
    </w:tbl>
    <w:p w:rsidR="00D01211" w:rsidRPr="004A4525" w:rsidRDefault="00D01211">
      <w:pPr>
        <w:pStyle w:val="Normaltindrag"/>
      </w:pPr>
    </w:p>
    <w:sectPr w:rsidR="00D01211" w:rsidRPr="004A45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1211" w:rsidRPr="004A4525" w:rsidRDefault="00D01211">
      <w:r w:rsidRPr="004A4525">
        <w:separator/>
      </w:r>
    </w:p>
  </w:endnote>
  <w:endnote w:type="continuationSeparator" w:id="0">
    <w:p w:rsidR="00D01211" w:rsidRPr="004A4525" w:rsidRDefault="00D01211">
      <w:r w:rsidRPr="004A45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211" w:rsidRPr="004A4525" w:rsidRDefault="004A4525">
    <w:pPr>
      <w:pStyle w:val="Sidfot"/>
    </w:pPr>
    <w:r w:rsidRPr="004A45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342073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211" w:rsidRDefault="00D0121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01211" w:rsidRDefault="00D0121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211" w:rsidRPr="004A4525" w:rsidRDefault="004A4525">
    <w:pPr>
      <w:pStyle w:val="Sidfot"/>
    </w:pPr>
    <w:r w:rsidRPr="004A45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445180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211" w:rsidRDefault="00D012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1211" w:rsidRDefault="00D012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211" w:rsidRPr="004A4525" w:rsidRDefault="004A4525">
    <w:pPr>
      <w:pStyle w:val="Sidfot"/>
    </w:pPr>
    <w:r w:rsidRPr="004A45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836532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211" w:rsidRDefault="00D012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1211" w:rsidRDefault="00D012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1211" w:rsidRPr="004A4525" w:rsidRDefault="00D01211">
      <w:r w:rsidRPr="004A4525">
        <w:separator/>
      </w:r>
    </w:p>
  </w:footnote>
  <w:footnote w:type="continuationSeparator" w:id="0">
    <w:p w:rsidR="00D01211" w:rsidRPr="004A4525" w:rsidRDefault="00D01211">
      <w:r w:rsidRPr="004A45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211" w:rsidRPr="004A4525" w:rsidRDefault="004A4525">
    <w:pPr>
      <w:pStyle w:val="Sidhuvud"/>
    </w:pPr>
    <w:r w:rsidRPr="004A45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042975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211" w:rsidRDefault="00D0121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01211" w:rsidRDefault="00D0121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211" w:rsidRPr="004A4525" w:rsidRDefault="004A4525">
    <w:pPr>
      <w:pStyle w:val="Sidhuvud"/>
    </w:pPr>
    <w:r w:rsidRPr="004A45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533332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211" w:rsidRDefault="00D0121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01211" w:rsidRDefault="00D0121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211" w:rsidRPr="004A4525" w:rsidRDefault="00D01211">
    <w:pPr>
      <w:pStyle w:val="FSHNormal"/>
      <w:tabs>
        <w:tab w:val="right" w:pos="5840"/>
      </w:tabs>
    </w:pPr>
    <w:r w:rsidRPr="004A4525">
      <w:br/>
    </w:r>
    <w:r w:rsidRPr="004A4525">
      <w:fldChar w:fldCharType="begin" w:fldLock="1"/>
    </w:r>
    <w:r w:rsidRPr="004A4525">
      <w:instrText xml:space="preserve"> DOCPROPERTY</w:instrText>
    </w:r>
    <w:r w:rsidRPr="004A4525">
      <w:rPr>
        <w:sz w:val="18"/>
      </w:rPr>
      <w:instrText xml:space="preserve"> "YearUser" *\charformat </w:instrText>
    </w:r>
    <w:r w:rsidRPr="004A4525">
      <w:fldChar w:fldCharType="separate"/>
    </w:r>
    <w:r w:rsidRPr="004A4525">
      <w:t>2011/12</w:t>
    </w:r>
    <w:r w:rsidRPr="004A4525">
      <w:fldChar w:fldCharType="end"/>
    </w:r>
    <w:r w:rsidRPr="004A4525">
      <w:t xml:space="preserve"> </w:t>
    </w:r>
    <w:r w:rsidRPr="004A4525">
      <w:tab/>
      <w:t xml:space="preserve">mnr: </w:t>
    </w:r>
    <w:r w:rsidRPr="004A4525">
      <w:fldChar w:fldCharType="begin" w:fldLock="1"/>
    </w:r>
    <w:r w:rsidRPr="004A4525">
      <w:instrText xml:space="preserve"> DOCPROPERTY</w:instrText>
    </w:r>
    <w:r w:rsidRPr="004A4525">
      <w:rPr>
        <w:sz w:val="18"/>
      </w:rPr>
      <w:instrText xml:space="preserve"> "Motionsnummer" *\charformat </w:instrText>
    </w:r>
    <w:r w:rsidRPr="004A4525">
      <w:fldChar w:fldCharType="separate"/>
    </w:r>
    <w:r w:rsidRPr="004A4525">
      <w:t>Ju415</w:t>
    </w:r>
    <w:r w:rsidRPr="004A4525">
      <w:fldChar w:fldCharType="end"/>
    </w:r>
    <w:r w:rsidRPr="004A4525">
      <w:br/>
    </w:r>
    <w:r w:rsidRPr="004A4525">
      <w:fldChar w:fldCharType="begin" w:fldLock="1"/>
    </w:r>
    <w:r w:rsidRPr="004A4525">
      <w:instrText xml:space="preserve"> DOCPROPERTY</w:instrText>
    </w:r>
    <w:r w:rsidRPr="004A4525">
      <w:rPr>
        <w:sz w:val="18"/>
      </w:rPr>
      <w:instrText xml:space="preserve"> "Samling" *\charformat </w:instrText>
    </w:r>
    <w:r w:rsidRPr="004A4525">
      <w:fldChar w:fldCharType="end"/>
    </w:r>
    <w:r w:rsidRPr="004A4525">
      <w:tab/>
      <w:t xml:space="preserve">pnr: </w:t>
    </w:r>
    <w:r w:rsidRPr="004A4525">
      <w:fldChar w:fldCharType="begin" w:fldLock="1"/>
    </w:r>
    <w:r w:rsidRPr="004A4525">
      <w:instrText xml:space="preserve"> DOCPROPERTY</w:instrText>
    </w:r>
    <w:r w:rsidRPr="004A4525">
      <w:rPr>
        <w:sz w:val="18"/>
      </w:rPr>
      <w:instrText xml:space="preserve"> "Partinummer" *\charformat </w:instrText>
    </w:r>
    <w:r w:rsidRPr="004A4525">
      <w:fldChar w:fldCharType="separate"/>
    </w:r>
    <w:r w:rsidRPr="004A4525">
      <w:t>SD254</w:t>
    </w:r>
    <w:r w:rsidRPr="004A4525">
      <w:fldChar w:fldCharType="end"/>
    </w:r>
  </w:p>
  <w:p w:rsidR="00D01211" w:rsidRPr="004A4525" w:rsidRDefault="00D01211">
    <w:pPr>
      <w:pStyle w:val="FSHRub1"/>
    </w:pPr>
    <w:r w:rsidRPr="004A4525">
      <w:t>Motion till riksdagen</w:t>
    </w:r>
    <w:r w:rsidRPr="004A4525">
      <w:br/>
    </w:r>
    <w:r w:rsidRPr="004A4525">
      <w:fldChar w:fldCharType="begin" w:fldLock="1"/>
    </w:r>
    <w:r w:rsidRPr="004A4525">
      <w:instrText xml:space="preserve"> DOCPROPERTY "YearUser" *\charformat </w:instrText>
    </w:r>
    <w:r w:rsidRPr="004A4525">
      <w:fldChar w:fldCharType="separate"/>
    </w:r>
    <w:r w:rsidRPr="004A4525">
      <w:t>2011/12</w:t>
    </w:r>
    <w:r w:rsidRPr="004A4525">
      <w:fldChar w:fldCharType="end"/>
    </w:r>
    <w:r w:rsidRPr="004A4525">
      <w:t>:</w:t>
    </w:r>
    <w:r w:rsidRPr="004A4525">
      <w:fldChar w:fldCharType="begin" w:fldLock="1"/>
    </w:r>
    <w:r w:rsidRPr="004A4525">
      <w:instrText xml:space="preserve"> DOCPROPERTY "Motionsnummer" *\charformat </w:instrText>
    </w:r>
    <w:r w:rsidRPr="004A4525">
      <w:fldChar w:fldCharType="separate"/>
    </w:r>
    <w:r w:rsidRPr="004A4525">
      <w:t>Ju415</w:t>
    </w:r>
    <w:r w:rsidRPr="004A4525">
      <w:fldChar w:fldCharType="end"/>
    </w:r>
  </w:p>
  <w:p w:rsidR="00D01211" w:rsidRPr="004A4525" w:rsidRDefault="00D01211">
    <w:pPr>
      <w:pStyle w:val="FSHNormalS5"/>
    </w:pPr>
    <w:r w:rsidRPr="004A4525">
      <w:fldChar w:fldCharType="begin" w:fldLock="1"/>
    </w:r>
    <w:r w:rsidRPr="004A4525">
      <w:instrText xml:space="preserve"> DOCPROPERTY "MotionarText" *\charformat </w:instrText>
    </w:r>
    <w:r w:rsidRPr="004A4525">
      <w:fldChar w:fldCharType="separate"/>
    </w:r>
    <w:r w:rsidRPr="004A4525">
      <w:t>av Kent Ekeroth m.fl. (SD)</w:t>
    </w:r>
    <w:r w:rsidRPr="004A4525">
      <w:fldChar w:fldCharType="end"/>
    </w:r>
    <w:r w:rsidRPr="004A4525">
      <w:br/>
    </w:r>
    <w:r w:rsidRPr="004A4525">
      <w:fldChar w:fldCharType="begin" w:fldLock="1"/>
    </w:r>
    <w:r w:rsidRPr="004A4525">
      <w:instrText xml:space="preserve"> DOCPROPERTY "SvarFrasKort" *\charformat </w:instrText>
    </w:r>
    <w:r w:rsidRPr="004A4525">
      <w:fldChar w:fldCharType="end"/>
    </w:r>
  </w:p>
  <w:p w:rsidR="00D01211" w:rsidRPr="004A4525" w:rsidRDefault="00D01211">
    <w:pPr>
      <w:pStyle w:val="FSHTitel"/>
    </w:pPr>
    <w:r w:rsidRPr="004A4525">
      <w:fldChar w:fldCharType="begin" w:fldLock="1"/>
    </w:r>
    <w:r w:rsidRPr="004A4525">
      <w:instrText xml:space="preserve"> DOCPROPERTY</w:instrText>
    </w:r>
    <w:r w:rsidRPr="004A4525">
      <w:rPr>
        <w:sz w:val="18"/>
      </w:rPr>
      <w:instrText xml:space="preserve"> "RubrikSvar" *\charformat </w:instrText>
    </w:r>
    <w:r w:rsidRPr="004A4525">
      <w:fldChar w:fldCharType="separate"/>
    </w:r>
    <w:r w:rsidRPr="004A4525">
      <w:t>Utgiftsområde 4 Rättsväsendet</w:t>
    </w:r>
    <w:r w:rsidRPr="004A4525">
      <w:fldChar w:fldCharType="end"/>
    </w:r>
  </w:p>
  <w:p w:rsidR="00D01211" w:rsidRPr="004A4525" w:rsidRDefault="00D01211">
    <w:pPr>
      <w:pStyle w:val="Normal00"/>
    </w:pPr>
  </w:p>
  <w:p w:rsidR="00D01211" w:rsidRPr="004A4525" w:rsidRDefault="00D012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E7881"/>
    <w:multiLevelType w:val="hybridMultilevel"/>
    <w:tmpl w:val="168A1C16"/>
    <w:lvl w:ilvl="0" w:tplc="835852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5880402"/>
    <w:multiLevelType w:val="hybridMultilevel"/>
    <w:tmpl w:val="6F00DAF4"/>
    <w:lvl w:ilvl="0" w:tplc="73560E2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93293276">
    <w:abstractNumId w:val="3"/>
  </w:num>
  <w:num w:numId="2" w16cid:durableId="1357190682">
    <w:abstractNumId w:val="2"/>
  </w:num>
  <w:num w:numId="3" w16cid:durableId="396977882">
    <w:abstractNumId w:val="1"/>
  </w:num>
  <w:num w:numId="4" w16cid:durableId="2010525316">
    <w:abstractNumId w:val="0"/>
  </w:num>
  <w:num w:numId="5" w16cid:durableId="1151562029">
    <w:abstractNumId w:val="7"/>
  </w:num>
  <w:num w:numId="6" w16cid:durableId="770466211">
    <w:abstractNumId w:val="6"/>
  </w:num>
  <w:num w:numId="7" w16cid:durableId="92945412">
    <w:abstractNumId w:val="5"/>
  </w:num>
  <w:num w:numId="8" w16cid:durableId="934291267">
    <w:abstractNumId w:val="4"/>
  </w:num>
  <w:num w:numId="9" w16cid:durableId="1918319108">
    <w:abstractNumId w:val="8"/>
  </w:num>
  <w:num w:numId="10" w16cid:durableId="2091342085">
    <w:abstractNumId w:val="9"/>
  </w:num>
  <w:num w:numId="11" w16cid:durableId="1393577497">
    <w:abstractNumId w:val="11"/>
  </w:num>
  <w:num w:numId="12" w16cid:durableId="1563524056">
    <w:abstractNumId w:val="14"/>
  </w:num>
  <w:num w:numId="13" w16cid:durableId="1727295563">
    <w:abstractNumId w:val="16"/>
  </w:num>
  <w:num w:numId="14" w16cid:durableId="1151680522">
    <w:abstractNumId w:val="18"/>
  </w:num>
  <w:num w:numId="15" w16cid:durableId="249239374">
    <w:abstractNumId w:val="12"/>
  </w:num>
  <w:num w:numId="16" w16cid:durableId="1231698612">
    <w:abstractNumId w:val="20"/>
  </w:num>
  <w:num w:numId="17" w16cid:durableId="942147591">
    <w:abstractNumId w:val="19"/>
  </w:num>
  <w:num w:numId="18" w16cid:durableId="479927431">
    <w:abstractNumId w:val="15"/>
  </w:num>
  <w:num w:numId="19" w16cid:durableId="662660723">
    <w:abstractNumId w:val="13"/>
  </w:num>
  <w:num w:numId="20" w16cid:durableId="664556749">
    <w:abstractNumId w:val="10"/>
  </w:num>
  <w:num w:numId="21" w16cid:durableId="1567009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832D3DBE-A180-4988-9880-AE30D81C3DDE},{95DDB3BA-A119-4A92-9CB9-EA7395B3CD64},{E777D43E-410F-4BC9-BB70-4814C6DA875C}"/>
  </w:docVars>
  <w:rsids>
    <w:rsidRoot w:val="004828FD"/>
    <w:rsid w:val="004828FD"/>
    <w:rsid w:val="004A4525"/>
    <w:rsid w:val="00D0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1155118-F2BF-4CE5-B367-DA14D72C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  <w:style w:type="numbering" w:customStyle="1" w:styleId="1111110">
    <w:name w:val="111111"/>
  </w:style>
  <w:style w:type="numbering" w:customStyle="1" w:styleId="Artikelsektion0">
    <w:name w:val="Artikelsektion"/>
  </w:style>
  <w:style w:type="numbering" w:customStyle="1" w:styleId="1ai0">
    <w:name w:val="1ai"/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styleId="Normalwebb">
    <w:name w:val="Normal (Web)"/>
    <w:basedOn w:val="Normal"/>
    <w:semiHidden/>
    <w:rPr>
      <w:szCs w:val="24"/>
    </w:r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character" w:styleId="Stark">
    <w:name w:val="Strong"/>
    <w:basedOn w:val="Standardstycketeckensnitt"/>
    <w:qFormat/>
    <w:locked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712</Characters>
  <Application>Microsoft Office Word</Application>
  <DocSecurity>4</DocSecurity>
  <Lines>41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SD254</vt:lpstr>
    </vt:vector>
  </TitlesOfParts>
  <Company>Riksdagen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SD254</dc:title>
  <dc:subject>SD254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2011-11-04T10:53:00Z</cp:lastPrinted>
  <dcterms:created xsi:type="dcterms:W3CDTF">2025-12-17T18:58:00Z</dcterms:created>
  <dcterms:modified xsi:type="dcterms:W3CDTF">2025-12-17T18:58:00Z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OS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Utgiftsområde 4 Rättsväsendet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4 Rättsväsendet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SD254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Kent Ekeroth m.fl. (SD)</vt:lpwstr>
  </property>
  <property fmtid="{D5CDD505-2E9C-101B-9397-08002B2CF9AE}" pid="26" name="MotionarLista">
    <vt:lpwstr>Ekeroth, Kent (SD)\Isovaara, Lars (SD)\Alfsson, Thoralf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Ekeroth (SD), Lars Isovaara (SD), Thoralf Alfsson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20112012000000830068000002540075</vt:lpwstr>
  </property>
  <property fmtid="{D5CDD505-2E9C-101B-9397-08002B2CF9AE}" pid="47" name="datum">
    <vt:lpwstr>111003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20112012000000830068000002540075</vt:lpwstr>
  </property>
  <property fmtid="{D5CDD505-2E9C-101B-9397-08002B2CF9AE}" pid="50" name="nummer">
    <vt:lpwstr>415</vt:lpwstr>
  </property>
  <property fmtid="{D5CDD505-2E9C-101B-9397-08002B2CF9AE}" pid="51" name="utskottsbeteckning">
    <vt:lpwstr>Ju</vt:lpwstr>
  </property>
  <property fmtid="{D5CDD505-2E9C-101B-9397-08002B2CF9AE}" pid="52" name="GlobalUID">
    <vt:lpwstr>{16A51117-45C2-413A-A11A-9A618074AFE8}</vt:lpwstr>
  </property>
  <property fmtid="{D5CDD505-2E9C-101B-9397-08002B2CF9AE}" pid="53" name="Överföringar">
    <vt:i4>0</vt:i4>
  </property>
  <property fmtid="{D5CDD505-2E9C-101B-9397-08002B2CF9AE}" pid="54" name="Checksum">
    <vt:lpwstr>*1003392801391*</vt:lpwstr>
  </property>
  <property fmtid="{D5CDD505-2E9C-101B-9397-08002B2CF9AE}" pid="55" name="skuggnummer">
    <vt:lpwstr>3185</vt:lpwstr>
  </property>
  <property fmtid="{D5CDD505-2E9C-101B-9397-08002B2CF9AE}" pid="56" name="urixVersion">
    <vt:lpwstr>4.5.0.25</vt:lpwstr>
  </property>
  <property fmtid="{D5CDD505-2E9C-101B-9397-08002B2CF9AE}" pid="57" name="urixOrigin">
    <vt:lpwstr>120424 15:21:27.898</vt:lpwstr>
  </property>
  <property fmtid="{D5CDD505-2E9C-101B-9397-08002B2CF9AE}" pid="58" name="urixGuid">
    <vt:lpwstr>{BA87D34F-9019-4C2F-81CF-5F1DCFCFC424}</vt:lpwstr>
  </property>
</Properties>
</file>