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F71A52">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2178B587" w:rsidR="000B7DD3" w:rsidRDefault="000B7DD3" w:rsidP="002F3121">
            <w:pPr>
              <w:rPr>
                <w:b/>
              </w:rPr>
            </w:pPr>
            <w:r>
              <w:rPr>
                <w:b/>
              </w:rPr>
              <w:t>UTSKOTTSSAMMANTRÄDE 202</w:t>
            </w:r>
            <w:r w:rsidR="00496C91">
              <w:rPr>
                <w:b/>
              </w:rPr>
              <w:t>5</w:t>
            </w:r>
            <w:r>
              <w:rPr>
                <w:b/>
              </w:rPr>
              <w:t>/2</w:t>
            </w:r>
            <w:r w:rsidR="00496C91">
              <w:rPr>
                <w:b/>
              </w:rPr>
              <w:t>6</w:t>
            </w:r>
            <w:r>
              <w:rPr>
                <w:b/>
              </w:rPr>
              <w:t>:</w:t>
            </w:r>
            <w:r w:rsidR="00EB5651">
              <w:rPr>
                <w:b/>
              </w:rPr>
              <w:t>2</w:t>
            </w:r>
            <w:r w:rsidR="00C83578">
              <w:rPr>
                <w:b/>
              </w:rPr>
              <w:t>8</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4A876AD7" w:rsidR="000B7DD3" w:rsidRDefault="000B7DD3" w:rsidP="002F3121">
            <w:r>
              <w:t>202</w:t>
            </w:r>
            <w:r w:rsidR="00302714">
              <w:t>6</w:t>
            </w:r>
            <w:r>
              <w:t>-</w:t>
            </w:r>
            <w:r w:rsidR="00302714">
              <w:t>0</w:t>
            </w:r>
            <w:r w:rsidR="00442DA1">
              <w:t>2</w:t>
            </w:r>
            <w:r>
              <w:t>-</w:t>
            </w:r>
            <w:r w:rsidR="00F26EBE">
              <w:t>2</w:t>
            </w:r>
            <w:r w:rsidR="00C83578">
              <w:t>6</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75BC1C09" w:rsidR="00631CFE" w:rsidRPr="00EB5651" w:rsidRDefault="000D5599" w:rsidP="002F3121">
            <w:pPr>
              <w:rPr>
                <w:szCs w:val="24"/>
              </w:rPr>
            </w:pPr>
            <w:r>
              <w:t>1</w:t>
            </w:r>
            <w:r w:rsidR="00C83578">
              <w:t>0</w:t>
            </w:r>
            <w:r w:rsidR="000B7DD3">
              <w:t>.</w:t>
            </w:r>
            <w:r>
              <w:t>0</w:t>
            </w:r>
            <w:r w:rsidR="00956F60">
              <w:t>0</w:t>
            </w:r>
            <w:r w:rsidR="000B7DD3" w:rsidRPr="005874BB">
              <w:rPr>
                <w:szCs w:val="24"/>
              </w:rPr>
              <w:t>–</w:t>
            </w:r>
            <w:r>
              <w:rPr>
                <w:szCs w:val="24"/>
              </w:rPr>
              <w:t>1</w:t>
            </w:r>
            <w:r w:rsidR="00C83578">
              <w:rPr>
                <w:szCs w:val="24"/>
              </w:rPr>
              <w:t>0</w:t>
            </w:r>
            <w:r w:rsidR="00D20EB8" w:rsidRPr="00003487">
              <w:rPr>
                <w:szCs w:val="24"/>
              </w:rPr>
              <w:t>.</w:t>
            </w:r>
            <w:r w:rsidR="00C000CF" w:rsidRPr="00C000CF">
              <w:rPr>
                <w:szCs w:val="24"/>
              </w:rPr>
              <w:t>30</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7031F621" w:rsidR="000B7DD3" w:rsidRDefault="000B7DD3" w:rsidP="002F3121">
            <w:r>
              <w:t>Se bilaga</w:t>
            </w:r>
            <w:r w:rsidR="00C000CF">
              <w:t xml:space="preserve"> 1</w:t>
            </w:r>
          </w:p>
          <w:p w14:paraId="3F79C9A0" w14:textId="77777777" w:rsidR="000B7DD3" w:rsidRDefault="000B7DD3" w:rsidP="002F3121"/>
        </w:tc>
      </w:tr>
    </w:tbl>
    <w:p w14:paraId="2299C63F" w14:textId="77777777" w:rsidR="00E17709" w:rsidRDefault="00E17709" w:rsidP="000B7DD3">
      <w:pPr>
        <w:tabs>
          <w:tab w:val="left" w:pos="1701"/>
        </w:tabs>
        <w:rPr>
          <w:snapToGrid w:val="0"/>
          <w:color w:val="000000"/>
        </w:rPr>
      </w:pPr>
    </w:p>
    <w:p w14:paraId="3B8FE240" w14:textId="77777777" w:rsidR="00022654" w:rsidRPr="007C7EB8" w:rsidRDefault="00022654" w:rsidP="000B7DD3">
      <w:pPr>
        <w:tabs>
          <w:tab w:val="left" w:pos="1701"/>
        </w:tabs>
        <w:rPr>
          <w:snapToGrid w:val="0"/>
          <w:color w:val="000000"/>
        </w:rPr>
      </w:pPr>
    </w:p>
    <w:tbl>
      <w:tblPr>
        <w:tblW w:w="9001" w:type="dxa"/>
        <w:tblLayout w:type="fixed"/>
        <w:tblCellMar>
          <w:left w:w="70" w:type="dxa"/>
          <w:right w:w="70" w:type="dxa"/>
        </w:tblCellMar>
        <w:tblLook w:val="00A0" w:firstRow="1" w:lastRow="0" w:firstColumn="1" w:lastColumn="0" w:noHBand="0" w:noVBand="0"/>
      </w:tblPr>
      <w:tblGrid>
        <w:gridCol w:w="1488"/>
        <w:gridCol w:w="283"/>
        <w:gridCol w:w="284"/>
        <w:gridCol w:w="1365"/>
        <w:gridCol w:w="540"/>
        <w:gridCol w:w="435"/>
        <w:gridCol w:w="425"/>
        <w:gridCol w:w="425"/>
        <w:gridCol w:w="425"/>
        <w:gridCol w:w="426"/>
        <w:gridCol w:w="425"/>
        <w:gridCol w:w="425"/>
        <w:gridCol w:w="254"/>
        <w:gridCol w:w="171"/>
        <w:gridCol w:w="426"/>
        <w:gridCol w:w="425"/>
        <w:gridCol w:w="425"/>
        <w:gridCol w:w="354"/>
      </w:tblGrid>
      <w:tr w:rsidR="00862296" w:rsidRPr="00213B15" w14:paraId="637F6E36" w14:textId="77777777" w:rsidTr="00B36D79">
        <w:trPr>
          <w:gridBefore w:val="1"/>
          <w:wBefore w:w="1488" w:type="dxa"/>
        </w:trPr>
        <w:tc>
          <w:tcPr>
            <w:tcW w:w="567" w:type="dxa"/>
            <w:gridSpan w:val="2"/>
          </w:tcPr>
          <w:p w14:paraId="6F1A001B" w14:textId="4F2545C3" w:rsidR="00862296" w:rsidRDefault="00862296" w:rsidP="00862296">
            <w:pPr>
              <w:tabs>
                <w:tab w:val="left" w:pos="1701"/>
              </w:tabs>
              <w:spacing w:line="276" w:lineRule="auto"/>
              <w:rPr>
                <w:b/>
                <w:snapToGrid w:val="0"/>
              </w:rPr>
            </w:pPr>
            <w:r>
              <w:rPr>
                <w:b/>
                <w:snapToGrid w:val="0"/>
              </w:rPr>
              <w:t>§ 1</w:t>
            </w:r>
          </w:p>
        </w:tc>
        <w:tc>
          <w:tcPr>
            <w:tcW w:w="6946" w:type="dxa"/>
            <w:gridSpan w:val="15"/>
          </w:tcPr>
          <w:p w14:paraId="56434C6C" w14:textId="63A046B3" w:rsidR="0036456E" w:rsidRDefault="00C83578" w:rsidP="0036456E">
            <w:pPr>
              <w:tabs>
                <w:tab w:val="left" w:pos="1701"/>
              </w:tabs>
              <w:spacing w:line="276" w:lineRule="auto"/>
              <w:rPr>
                <w:b/>
                <w:snapToGrid w:val="0"/>
              </w:rPr>
            </w:pPr>
            <w:r>
              <w:rPr>
                <w:b/>
                <w:snapToGrid w:val="0"/>
              </w:rPr>
              <w:t>Medgivande att närvara</w:t>
            </w:r>
          </w:p>
          <w:p w14:paraId="6ED7A9A4" w14:textId="77777777" w:rsidR="0036456E" w:rsidRPr="00BC1BCA" w:rsidRDefault="0036456E" w:rsidP="0036456E">
            <w:pPr>
              <w:tabs>
                <w:tab w:val="left" w:pos="1701"/>
              </w:tabs>
              <w:spacing w:line="276" w:lineRule="auto"/>
              <w:rPr>
                <w:bCs/>
                <w:snapToGrid w:val="0"/>
              </w:rPr>
            </w:pPr>
          </w:p>
          <w:p w14:paraId="6293F3AF" w14:textId="5129DE25" w:rsidR="0036456E" w:rsidRDefault="0036456E" w:rsidP="0036456E">
            <w:pPr>
              <w:tabs>
                <w:tab w:val="left" w:pos="1701"/>
              </w:tabs>
              <w:spacing w:line="276" w:lineRule="auto"/>
              <w:rPr>
                <w:bCs/>
                <w:snapToGrid w:val="0"/>
              </w:rPr>
            </w:pPr>
            <w:r w:rsidRPr="001021E0">
              <w:rPr>
                <w:bCs/>
                <w:snapToGrid w:val="0"/>
              </w:rPr>
              <w:t>Ut</w:t>
            </w:r>
            <w:r w:rsidR="00B36D79">
              <w:rPr>
                <w:bCs/>
                <w:snapToGrid w:val="0"/>
              </w:rPr>
              <w:t xml:space="preserve">skottet </w:t>
            </w:r>
            <w:r w:rsidR="00C83578">
              <w:rPr>
                <w:bCs/>
                <w:snapToGrid w:val="0"/>
              </w:rPr>
              <w:t>medgav att en praoelev närvarade under sammanträdet</w:t>
            </w:r>
            <w:r>
              <w:rPr>
                <w:bCs/>
                <w:snapToGrid w:val="0"/>
              </w:rPr>
              <w:t xml:space="preserve">. </w:t>
            </w:r>
          </w:p>
          <w:p w14:paraId="5382FF0D" w14:textId="6B7EA38B" w:rsidR="00862296" w:rsidRPr="00213B15" w:rsidRDefault="00862296" w:rsidP="00862296">
            <w:pPr>
              <w:tabs>
                <w:tab w:val="left" w:pos="1701"/>
              </w:tabs>
              <w:spacing w:line="276" w:lineRule="auto"/>
              <w:rPr>
                <w:b/>
                <w:snapToGrid w:val="0"/>
              </w:rPr>
            </w:pPr>
          </w:p>
        </w:tc>
      </w:tr>
      <w:tr w:rsidR="00B36D79" w:rsidRPr="00213B15" w14:paraId="3BB962FE" w14:textId="77777777" w:rsidTr="00B36D79">
        <w:trPr>
          <w:gridBefore w:val="1"/>
          <w:wBefore w:w="1488" w:type="dxa"/>
        </w:trPr>
        <w:tc>
          <w:tcPr>
            <w:tcW w:w="567" w:type="dxa"/>
            <w:gridSpan w:val="2"/>
          </w:tcPr>
          <w:p w14:paraId="205CAE38" w14:textId="6EF0DE08" w:rsidR="00B36D79" w:rsidRDefault="00B36D79" w:rsidP="00862296">
            <w:pPr>
              <w:tabs>
                <w:tab w:val="left" w:pos="1701"/>
              </w:tabs>
              <w:spacing w:line="276" w:lineRule="auto"/>
              <w:rPr>
                <w:b/>
                <w:snapToGrid w:val="0"/>
              </w:rPr>
            </w:pPr>
            <w:r>
              <w:rPr>
                <w:b/>
                <w:snapToGrid w:val="0"/>
              </w:rPr>
              <w:t>§ 2</w:t>
            </w:r>
          </w:p>
        </w:tc>
        <w:tc>
          <w:tcPr>
            <w:tcW w:w="6946" w:type="dxa"/>
            <w:gridSpan w:val="15"/>
          </w:tcPr>
          <w:p w14:paraId="7B8FDC1C" w14:textId="77777777" w:rsidR="00B36D79" w:rsidRDefault="00B36D79" w:rsidP="00B36D79">
            <w:pPr>
              <w:tabs>
                <w:tab w:val="left" w:pos="1701"/>
              </w:tabs>
              <w:spacing w:line="276" w:lineRule="auto"/>
              <w:rPr>
                <w:b/>
                <w:snapToGrid w:val="0"/>
              </w:rPr>
            </w:pPr>
            <w:r>
              <w:rPr>
                <w:b/>
                <w:snapToGrid w:val="0"/>
              </w:rPr>
              <w:t>Justering av protokoll</w:t>
            </w:r>
          </w:p>
          <w:p w14:paraId="58FC0F50" w14:textId="77777777" w:rsidR="00B36D79" w:rsidRPr="00BC1BCA" w:rsidRDefault="00B36D79" w:rsidP="00B36D79">
            <w:pPr>
              <w:tabs>
                <w:tab w:val="left" w:pos="1701"/>
              </w:tabs>
              <w:spacing w:line="276" w:lineRule="auto"/>
              <w:rPr>
                <w:bCs/>
                <w:snapToGrid w:val="0"/>
              </w:rPr>
            </w:pPr>
          </w:p>
          <w:p w14:paraId="58E454B1" w14:textId="043F59EF" w:rsidR="00B36D79" w:rsidRDefault="00B36D79" w:rsidP="00B36D79">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2</w:t>
            </w:r>
            <w:r w:rsidR="00C83578">
              <w:rPr>
                <w:bCs/>
                <w:snapToGrid w:val="0"/>
              </w:rPr>
              <w:t>7</w:t>
            </w:r>
            <w:r>
              <w:rPr>
                <w:bCs/>
                <w:snapToGrid w:val="0"/>
              </w:rPr>
              <w:t xml:space="preserve">. </w:t>
            </w:r>
          </w:p>
          <w:p w14:paraId="1E945624" w14:textId="77777777" w:rsidR="00B36D79" w:rsidRDefault="00B36D79" w:rsidP="0036456E">
            <w:pPr>
              <w:tabs>
                <w:tab w:val="left" w:pos="1701"/>
              </w:tabs>
              <w:spacing w:line="276" w:lineRule="auto"/>
              <w:rPr>
                <w:b/>
                <w:snapToGrid w:val="0"/>
              </w:rPr>
            </w:pPr>
          </w:p>
        </w:tc>
      </w:tr>
      <w:tr w:rsidR="00862296" w:rsidRPr="00213B15" w14:paraId="3260B1F9" w14:textId="77777777" w:rsidTr="00B36D79">
        <w:trPr>
          <w:gridBefore w:val="1"/>
          <w:wBefore w:w="1488" w:type="dxa"/>
        </w:trPr>
        <w:tc>
          <w:tcPr>
            <w:tcW w:w="567" w:type="dxa"/>
            <w:gridSpan w:val="2"/>
          </w:tcPr>
          <w:p w14:paraId="4DB3D2DB" w14:textId="5996AE80" w:rsidR="00862296" w:rsidRDefault="00862296" w:rsidP="00862296">
            <w:pPr>
              <w:tabs>
                <w:tab w:val="left" w:pos="1701"/>
              </w:tabs>
              <w:spacing w:line="276" w:lineRule="auto"/>
              <w:rPr>
                <w:b/>
                <w:snapToGrid w:val="0"/>
              </w:rPr>
            </w:pPr>
            <w:r>
              <w:rPr>
                <w:b/>
                <w:snapToGrid w:val="0"/>
              </w:rPr>
              <w:t xml:space="preserve">§ </w:t>
            </w:r>
            <w:r w:rsidR="00B36D79">
              <w:rPr>
                <w:b/>
                <w:snapToGrid w:val="0"/>
              </w:rPr>
              <w:t>3</w:t>
            </w:r>
          </w:p>
        </w:tc>
        <w:tc>
          <w:tcPr>
            <w:tcW w:w="6946" w:type="dxa"/>
            <w:gridSpan w:val="15"/>
          </w:tcPr>
          <w:p w14:paraId="295D807E" w14:textId="77777777" w:rsidR="00C83578" w:rsidRPr="00C83578" w:rsidRDefault="00C83578" w:rsidP="00C83578">
            <w:pPr>
              <w:spacing w:line="276" w:lineRule="auto"/>
              <w:rPr>
                <w:b/>
                <w:bCs/>
                <w:szCs w:val="23"/>
              </w:rPr>
            </w:pPr>
            <w:r w:rsidRPr="00C83578">
              <w:rPr>
                <w:b/>
                <w:bCs/>
                <w:szCs w:val="23"/>
              </w:rPr>
              <w:t>Genomförande av direktivet om skydd för personer som deltar i den offentliga debatten samt införande av en ny tredskodomssanktion (JuU23)</w:t>
            </w:r>
          </w:p>
          <w:p w14:paraId="5F1F0CF3" w14:textId="77777777" w:rsidR="00862296" w:rsidRPr="00BC1BCA" w:rsidRDefault="00862296" w:rsidP="00862296">
            <w:pPr>
              <w:tabs>
                <w:tab w:val="left" w:pos="1701"/>
              </w:tabs>
              <w:spacing w:line="276" w:lineRule="auto"/>
              <w:rPr>
                <w:bCs/>
                <w:snapToGrid w:val="0"/>
              </w:rPr>
            </w:pPr>
          </w:p>
          <w:p w14:paraId="4540A36A" w14:textId="22126F2A" w:rsidR="00862296" w:rsidRDefault="00C83578" w:rsidP="00862296">
            <w:pPr>
              <w:tabs>
                <w:tab w:val="left" w:pos="1701"/>
              </w:tabs>
              <w:spacing w:line="276" w:lineRule="auto"/>
              <w:rPr>
                <w:bCs/>
                <w:snapToGrid w:val="0"/>
              </w:rPr>
            </w:pPr>
            <w:r>
              <w:rPr>
                <w:bCs/>
                <w:snapToGrid w:val="0"/>
              </w:rPr>
              <w:t>Utskottet fortsatte beredningen av proposition 2025/26:64.</w:t>
            </w:r>
          </w:p>
          <w:p w14:paraId="72F28B27" w14:textId="77777777" w:rsidR="00C83578" w:rsidRDefault="00C83578" w:rsidP="00862296">
            <w:pPr>
              <w:tabs>
                <w:tab w:val="left" w:pos="1701"/>
              </w:tabs>
              <w:spacing w:line="276" w:lineRule="auto"/>
              <w:rPr>
                <w:bCs/>
                <w:snapToGrid w:val="0"/>
              </w:rPr>
            </w:pPr>
          </w:p>
          <w:p w14:paraId="7317A44F" w14:textId="35A49362" w:rsidR="00C83578" w:rsidRDefault="00C83578" w:rsidP="00862296">
            <w:pPr>
              <w:tabs>
                <w:tab w:val="left" w:pos="1701"/>
              </w:tabs>
              <w:spacing w:line="276" w:lineRule="auto"/>
              <w:rPr>
                <w:bCs/>
                <w:snapToGrid w:val="0"/>
              </w:rPr>
            </w:pPr>
            <w:r>
              <w:rPr>
                <w:bCs/>
                <w:snapToGrid w:val="0"/>
              </w:rPr>
              <w:t>Utskottet justerade betänkande 2025/26:JuU23.</w:t>
            </w:r>
          </w:p>
          <w:p w14:paraId="06ACE884" w14:textId="77777777" w:rsidR="00862296" w:rsidRDefault="00862296" w:rsidP="00862296">
            <w:pPr>
              <w:tabs>
                <w:tab w:val="left" w:pos="1701"/>
              </w:tabs>
              <w:spacing w:line="276" w:lineRule="auto"/>
              <w:rPr>
                <w:b/>
                <w:snapToGrid w:val="0"/>
              </w:rPr>
            </w:pPr>
          </w:p>
        </w:tc>
      </w:tr>
      <w:tr w:rsidR="00C83578" w:rsidRPr="00213B15" w14:paraId="07F6D379" w14:textId="77777777" w:rsidTr="00B36D79">
        <w:trPr>
          <w:gridBefore w:val="1"/>
          <w:wBefore w:w="1488" w:type="dxa"/>
        </w:trPr>
        <w:tc>
          <w:tcPr>
            <w:tcW w:w="567" w:type="dxa"/>
            <w:gridSpan w:val="2"/>
          </w:tcPr>
          <w:p w14:paraId="151A14F3" w14:textId="24CEF254" w:rsidR="00C83578" w:rsidRDefault="00C83578" w:rsidP="00862296">
            <w:pPr>
              <w:tabs>
                <w:tab w:val="left" w:pos="1701"/>
              </w:tabs>
              <w:spacing w:line="276" w:lineRule="auto"/>
              <w:rPr>
                <w:b/>
                <w:snapToGrid w:val="0"/>
              </w:rPr>
            </w:pPr>
            <w:r>
              <w:rPr>
                <w:b/>
                <w:snapToGrid w:val="0"/>
              </w:rPr>
              <w:t>§ 4</w:t>
            </w:r>
          </w:p>
        </w:tc>
        <w:tc>
          <w:tcPr>
            <w:tcW w:w="6946" w:type="dxa"/>
            <w:gridSpan w:val="15"/>
          </w:tcPr>
          <w:p w14:paraId="7621321C" w14:textId="77777777" w:rsidR="00C83578" w:rsidRDefault="00C83578" w:rsidP="00C83578">
            <w:pPr>
              <w:spacing w:line="276" w:lineRule="auto"/>
              <w:rPr>
                <w:b/>
                <w:bCs/>
                <w:szCs w:val="23"/>
              </w:rPr>
            </w:pPr>
            <w:r w:rsidRPr="00C83578">
              <w:rPr>
                <w:b/>
                <w:bCs/>
                <w:szCs w:val="23"/>
              </w:rPr>
              <w:t>Kommande revidering av Europolförordningen</w:t>
            </w:r>
          </w:p>
          <w:p w14:paraId="68721D51" w14:textId="77777777" w:rsidR="00C83578" w:rsidRDefault="00C83578" w:rsidP="00C83578">
            <w:pPr>
              <w:spacing w:line="276" w:lineRule="auto"/>
              <w:rPr>
                <w:b/>
                <w:bCs/>
                <w:szCs w:val="23"/>
              </w:rPr>
            </w:pPr>
          </w:p>
          <w:p w14:paraId="11245D8E" w14:textId="59322E6A" w:rsidR="00C83578" w:rsidRDefault="00F05223" w:rsidP="00C83578">
            <w:pPr>
              <w:spacing w:line="276" w:lineRule="auto"/>
              <w:rPr>
                <w:szCs w:val="23"/>
              </w:rPr>
            </w:pPr>
            <w:r>
              <w:rPr>
                <w:szCs w:val="23"/>
              </w:rPr>
              <w:t>Utskottet överlade med statssekreterare Mikael Kullberg, biträdd av medarbetare från Justitiedepartementet.</w:t>
            </w:r>
          </w:p>
          <w:p w14:paraId="21FEED47" w14:textId="77777777" w:rsidR="00F05223" w:rsidRDefault="00F05223" w:rsidP="00C83578">
            <w:pPr>
              <w:spacing w:line="276" w:lineRule="auto"/>
              <w:rPr>
                <w:szCs w:val="23"/>
              </w:rPr>
            </w:pPr>
          </w:p>
          <w:p w14:paraId="6817073B" w14:textId="6DD550C5" w:rsidR="00F05223" w:rsidRDefault="00F05223" w:rsidP="00C83578">
            <w:pPr>
              <w:spacing w:line="276" w:lineRule="auto"/>
              <w:rPr>
                <w:szCs w:val="23"/>
              </w:rPr>
            </w:pPr>
            <w:r>
              <w:rPr>
                <w:szCs w:val="23"/>
              </w:rPr>
              <w:t xml:space="preserve">Underlaget utgjordes av Regeringskansliets överläggningspromemoria (dnr </w:t>
            </w:r>
            <w:proofErr w:type="gramStart"/>
            <w:r w:rsidRPr="00F05223">
              <w:rPr>
                <w:szCs w:val="23"/>
              </w:rPr>
              <w:t>1367-2025</w:t>
            </w:r>
            <w:proofErr w:type="gramEnd"/>
            <w:r w:rsidRPr="00F05223">
              <w:rPr>
                <w:szCs w:val="23"/>
              </w:rPr>
              <w:t>/26</w:t>
            </w:r>
            <w:r>
              <w:rPr>
                <w:szCs w:val="23"/>
              </w:rPr>
              <w:t>).</w:t>
            </w:r>
          </w:p>
          <w:p w14:paraId="2DB648A1" w14:textId="77777777" w:rsidR="00F05223" w:rsidRDefault="00F05223" w:rsidP="00C83578">
            <w:pPr>
              <w:spacing w:line="276" w:lineRule="auto"/>
              <w:rPr>
                <w:szCs w:val="23"/>
              </w:rPr>
            </w:pPr>
          </w:p>
          <w:p w14:paraId="46029878" w14:textId="244C14D3" w:rsidR="00F05223" w:rsidRPr="00C000CF" w:rsidRDefault="00F05223" w:rsidP="00C83578">
            <w:pPr>
              <w:spacing w:line="276" w:lineRule="auto"/>
              <w:rPr>
                <w:szCs w:val="23"/>
              </w:rPr>
            </w:pPr>
            <w:r>
              <w:rPr>
                <w:szCs w:val="23"/>
              </w:rPr>
              <w:t>Statssekreterare Mikael Kullberg redogjorde för regeringens ståndpunkt i enlighet med överläggningspromemorian</w:t>
            </w:r>
            <w:r w:rsidR="00C000CF">
              <w:rPr>
                <w:szCs w:val="23"/>
              </w:rPr>
              <w:t xml:space="preserve"> (bilaga 2).</w:t>
            </w:r>
          </w:p>
          <w:p w14:paraId="1890075C" w14:textId="77777777" w:rsidR="00F05223" w:rsidRDefault="00F05223" w:rsidP="00C83578">
            <w:pPr>
              <w:spacing w:line="276" w:lineRule="auto"/>
              <w:rPr>
                <w:szCs w:val="23"/>
              </w:rPr>
            </w:pPr>
          </w:p>
          <w:p w14:paraId="11DB4127" w14:textId="15C79FA6" w:rsidR="002B7561" w:rsidRPr="00C000CF" w:rsidRDefault="00F05223" w:rsidP="00C83578">
            <w:pPr>
              <w:spacing w:line="276" w:lineRule="auto"/>
              <w:rPr>
                <w:szCs w:val="23"/>
              </w:rPr>
            </w:pPr>
            <w:r>
              <w:rPr>
                <w:szCs w:val="23"/>
              </w:rPr>
              <w:t xml:space="preserve">Ordföranden konstaterade att det fanns stöd för regeringens ståndpunkt. </w:t>
            </w:r>
          </w:p>
          <w:p w14:paraId="24A27889" w14:textId="77777777" w:rsidR="002B7561" w:rsidRPr="00C83578" w:rsidRDefault="002B7561" w:rsidP="00C83578">
            <w:pPr>
              <w:spacing w:line="276" w:lineRule="auto"/>
              <w:rPr>
                <w:b/>
                <w:bCs/>
                <w:szCs w:val="23"/>
              </w:rPr>
            </w:pPr>
          </w:p>
        </w:tc>
      </w:tr>
      <w:tr w:rsidR="00F05223" w:rsidRPr="00213B15" w14:paraId="44A816FE" w14:textId="77777777" w:rsidTr="00B36D79">
        <w:trPr>
          <w:gridBefore w:val="1"/>
          <w:wBefore w:w="1488" w:type="dxa"/>
        </w:trPr>
        <w:tc>
          <w:tcPr>
            <w:tcW w:w="567" w:type="dxa"/>
            <w:gridSpan w:val="2"/>
          </w:tcPr>
          <w:p w14:paraId="4A233429" w14:textId="23D1955A" w:rsidR="00F05223" w:rsidRDefault="00F05223" w:rsidP="00862296">
            <w:pPr>
              <w:tabs>
                <w:tab w:val="left" w:pos="1701"/>
              </w:tabs>
              <w:spacing w:line="276" w:lineRule="auto"/>
              <w:rPr>
                <w:b/>
                <w:snapToGrid w:val="0"/>
              </w:rPr>
            </w:pPr>
            <w:r>
              <w:rPr>
                <w:b/>
                <w:snapToGrid w:val="0"/>
              </w:rPr>
              <w:t>§ 5</w:t>
            </w:r>
          </w:p>
        </w:tc>
        <w:tc>
          <w:tcPr>
            <w:tcW w:w="6946" w:type="dxa"/>
            <w:gridSpan w:val="15"/>
          </w:tcPr>
          <w:p w14:paraId="1306465E" w14:textId="72C64D47" w:rsidR="002B7561" w:rsidRDefault="00F05223" w:rsidP="00C83578">
            <w:pPr>
              <w:spacing w:line="276" w:lineRule="auto"/>
              <w:rPr>
                <w:b/>
                <w:bCs/>
                <w:szCs w:val="23"/>
              </w:rPr>
            </w:pPr>
            <w:r>
              <w:rPr>
                <w:b/>
                <w:bCs/>
                <w:szCs w:val="23"/>
              </w:rPr>
              <w:t>Inf</w:t>
            </w:r>
            <w:r w:rsidR="002B7561">
              <w:rPr>
                <w:b/>
                <w:bCs/>
                <w:szCs w:val="23"/>
              </w:rPr>
              <w:t>ormation inför RIF-råd</w:t>
            </w:r>
          </w:p>
          <w:p w14:paraId="4262A3DA" w14:textId="77777777" w:rsidR="002B7561" w:rsidRDefault="002B7561" w:rsidP="00C83578">
            <w:pPr>
              <w:spacing w:line="276" w:lineRule="auto"/>
              <w:rPr>
                <w:b/>
                <w:bCs/>
                <w:szCs w:val="23"/>
              </w:rPr>
            </w:pPr>
          </w:p>
          <w:p w14:paraId="0511D981" w14:textId="0594AC6D" w:rsidR="002B7561" w:rsidRPr="002B7561" w:rsidRDefault="002B7561" w:rsidP="00C83578">
            <w:pPr>
              <w:spacing w:line="276" w:lineRule="auto"/>
              <w:rPr>
                <w:szCs w:val="23"/>
              </w:rPr>
            </w:pPr>
            <w:r>
              <w:rPr>
                <w:szCs w:val="23"/>
              </w:rPr>
              <w:t>Statssekreterare Mikael Kullberg, biträdd av medarbetare från Justitiedepartementet, informerade inför RIF-rådet den 5–6 mars 2026.</w:t>
            </w:r>
          </w:p>
          <w:p w14:paraId="4394F5D7" w14:textId="0833D7D7" w:rsidR="002B7561" w:rsidRPr="00C83578" w:rsidRDefault="002B7561" w:rsidP="00C83578">
            <w:pPr>
              <w:spacing w:line="276" w:lineRule="auto"/>
              <w:rPr>
                <w:b/>
                <w:bCs/>
                <w:szCs w:val="23"/>
              </w:rPr>
            </w:pPr>
          </w:p>
        </w:tc>
      </w:tr>
      <w:tr w:rsidR="002B7561" w:rsidRPr="00213B15" w14:paraId="21516E62" w14:textId="77777777" w:rsidTr="00B36D79">
        <w:trPr>
          <w:gridBefore w:val="1"/>
          <w:wBefore w:w="1488" w:type="dxa"/>
        </w:trPr>
        <w:tc>
          <w:tcPr>
            <w:tcW w:w="567" w:type="dxa"/>
            <w:gridSpan w:val="2"/>
          </w:tcPr>
          <w:p w14:paraId="03E6645B" w14:textId="59AE715E" w:rsidR="002B7561" w:rsidRDefault="002B7561" w:rsidP="00862296">
            <w:pPr>
              <w:tabs>
                <w:tab w:val="left" w:pos="1701"/>
              </w:tabs>
              <w:spacing w:line="276" w:lineRule="auto"/>
              <w:rPr>
                <w:b/>
                <w:snapToGrid w:val="0"/>
              </w:rPr>
            </w:pPr>
            <w:r>
              <w:rPr>
                <w:b/>
                <w:snapToGrid w:val="0"/>
              </w:rPr>
              <w:lastRenderedPageBreak/>
              <w:t>§ 6</w:t>
            </w:r>
          </w:p>
        </w:tc>
        <w:tc>
          <w:tcPr>
            <w:tcW w:w="6946" w:type="dxa"/>
            <w:gridSpan w:val="15"/>
          </w:tcPr>
          <w:p w14:paraId="4D8E4657" w14:textId="77777777" w:rsidR="002B7561" w:rsidRDefault="002B7561" w:rsidP="002B7561">
            <w:pPr>
              <w:spacing w:line="276" w:lineRule="auto"/>
              <w:rPr>
                <w:b/>
                <w:bCs/>
                <w:szCs w:val="23"/>
              </w:rPr>
            </w:pPr>
            <w:r w:rsidRPr="002B7561">
              <w:rPr>
                <w:b/>
                <w:bCs/>
                <w:szCs w:val="23"/>
              </w:rPr>
              <w:t>2025 års redogörelse för tillämpningen av lagen om särskild kontroll av vissa utlänningar (JuU24)</w:t>
            </w:r>
          </w:p>
          <w:p w14:paraId="2B8DE76E" w14:textId="77777777" w:rsidR="002B7561" w:rsidRDefault="002B7561" w:rsidP="002B7561">
            <w:pPr>
              <w:spacing w:line="276" w:lineRule="auto"/>
              <w:rPr>
                <w:b/>
                <w:bCs/>
                <w:szCs w:val="23"/>
              </w:rPr>
            </w:pPr>
          </w:p>
          <w:p w14:paraId="19CC3F2C" w14:textId="73A4213E" w:rsidR="002B7561" w:rsidRDefault="002B7561" w:rsidP="002B7561">
            <w:pPr>
              <w:spacing w:line="276" w:lineRule="auto"/>
              <w:rPr>
                <w:szCs w:val="23"/>
              </w:rPr>
            </w:pPr>
            <w:r w:rsidRPr="002B7561">
              <w:rPr>
                <w:szCs w:val="23"/>
              </w:rPr>
              <w:t>Utskottet fortsatte beredningen av skrivelse 2025/26:74.</w:t>
            </w:r>
          </w:p>
          <w:p w14:paraId="568CF25B" w14:textId="77777777" w:rsidR="002B7561" w:rsidRDefault="002B7561" w:rsidP="002B7561">
            <w:pPr>
              <w:spacing w:line="276" w:lineRule="auto"/>
              <w:rPr>
                <w:szCs w:val="23"/>
              </w:rPr>
            </w:pPr>
          </w:p>
          <w:p w14:paraId="759B3F6D" w14:textId="2DE555B8" w:rsidR="002B7561" w:rsidRPr="002B7561" w:rsidRDefault="002B7561" w:rsidP="002B7561">
            <w:pPr>
              <w:spacing w:line="276" w:lineRule="auto"/>
              <w:rPr>
                <w:szCs w:val="23"/>
              </w:rPr>
            </w:pPr>
            <w:r>
              <w:rPr>
                <w:szCs w:val="23"/>
              </w:rPr>
              <w:t xml:space="preserve">Ärendet bordlades. </w:t>
            </w:r>
          </w:p>
          <w:p w14:paraId="38A4B21A" w14:textId="77777777" w:rsidR="002B7561" w:rsidRDefault="002B7561" w:rsidP="00C83578">
            <w:pPr>
              <w:spacing w:line="276" w:lineRule="auto"/>
              <w:rPr>
                <w:b/>
                <w:bCs/>
                <w:szCs w:val="23"/>
              </w:rPr>
            </w:pPr>
          </w:p>
        </w:tc>
      </w:tr>
      <w:tr w:rsidR="002B7561" w:rsidRPr="00213B15" w14:paraId="179801EF" w14:textId="77777777" w:rsidTr="00B36D79">
        <w:trPr>
          <w:gridBefore w:val="1"/>
          <w:wBefore w:w="1488" w:type="dxa"/>
        </w:trPr>
        <w:tc>
          <w:tcPr>
            <w:tcW w:w="567" w:type="dxa"/>
            <w:gridSpan w:val="2"/>
          </w:tcPr>
          <w:p w14:paraId="23C533E0" w14:textId="1194DBEA" w:rsidR="002B7561" w:rsidRDefault="002B7561" w:rsidP="00862296">
            <w:pPr>
              <w:tabs>
                <w:tab w:val="left" w:pos="1701"/>
              </w:tabs>
              <w:spacing w:line="276" w:lineRule="auto"/>
              <w:rPr>
                <w:b/>
                <w:snapToGrid w:val="0"/>
              </w:rPr>
            </w:pPr>
            <w:r>
              <w:rPr>
                <w:b/>
                <w:snapToGrid w:val="0"/>
              </w:rPr>
              <w:t xml:space="preserve">§ 7 </w:t>
            </w:r>
          </w:p>
        </w:tc>
        <w:tc>
          <w:tcPr>
            <w:tcW w:w="6946" w:type="dxa"/>
            <w:gridSpan w:val="15"/>
          </w:tcPr>
          <w:p w14:paraId="3B8C305D" w14:textId="7FA7703D" w:rsidR="002B7561" w:rsidRDefault="002B7561" w:rsidP="002B7561">
            <w:pPr>
              <w:spacing w:line="276" w:lineRule="auto"/>
              <w:rPr>
                <w:b/>
                <w:bCs/>
                <w:szCs w:val="23"/>
              </w:rPr>
            </w:pPr>
            <w:r w:rsidRPr="002B7561">
              <w:rPr>
                <w:b/>
                <w:bCs/>
                <w:szCs w:val="23"/>
              </w:rPr>
              <w:t>Redovisning av användningen av hemliga tvångsmedel under 2024 (JuU25)</w:t>
            </w:r>
          </w:p>
          <w:p w14:paraId="250375C2" w14:textId="77777777" w:rsidR="002B7561" w:rsidRDefault="002B7561" w:rsidP="002B7561">
            <w:pPr>
              <w:spacing w:line="276" w:lineRule="auto"/>
              <w:rPr>
                <w:b/>
                <w:bCs/>
                <w:szCs w:val="23"/>
              </w:rPr>
            </w:pPr>
          </w:p>
          <w:p w14:paraId="3AD474CF" w14:textId="0DF1D493" w:rsidR="002B7561" w:rsidRDefault="002B7561" w:rsidP="002B7561">
            <w:pPr>
              <w:spacing w:line="276" w:lineRule="auto"/>
              <w:rPr>
                <w:szCs w:val="23"/>
              </w:rPr>
            </w:pPr>
            <w:r w:rsidRPr="002B7561">
              <w:rPr>
                <w:szCs w:val="23"/>
              </w:rPr>
              <w:t>Utskottet fortsatte beredningen av skrivels</w:t>
            </w:r>
            <w:r>
              <w:rPr>
                <w:szCs w:val="23"/>
              </w:rPr>
              <w:t>e</w:t>
            </w:r>
            <w:r w:rsidRPr="002B7561">
              <w:rPr>
                <w:szCs w:val="23"/>
              </w:rPr>
              <w:t xml:space="preserve"> 2025/26:</w:t>
            </w:r>
            <w:r>
              <w:rPr>
                <w:szCs w:val="23"/>
              </w:rPr>
              <w:t>82 och motion</w:t>
            </w:r>
            <w:r w:rsidRPr="002B7561">
              <w:rPr>
                <w:szCs w:val="23"/>
              </w:rPr>
              <w:t>.</w:t>
            </w:r>
          </w:p>
          <w:p w14:paraId="0391FB2D" w14:textId="77777777" w:rsidR="002B7561" w:rsidRDefault="002B7561" w:rsidP="002B7561">
            <w:pPr>
              <w:spacing w:line="276" w:lineRule="auto"/>
              <w:rPr>
                <w:szCs w:val="23"/>
              </w:rPr>
            </w:pPr>
          </w:p>
          <w:p w14:paraId="1512AC0C" w14:textId="2B4BE335" w:rsidR="002B7561" w:rsidRPr="002B7561" w:rsidRDefault="002B7561" w:rsidP="002B7561">
            <w:pPr>
              <w:spacing w:line="276" w:lineRule="auto"/>
              <w:rPr>
                <w:szCs w:val="23"/>
              </w:rPr>
            </w:pPr>
            <w:r>
              <w:rPr>
                <w:szCs w:val="23"/>
              </w:rPr>
              <w:t xml:space="preserve">Ärendet bordlades. </w:t>
            </w:r>
          </w:p>
          <w:p w14:paraId="5F63ED6B" w14:textId="77777777" w:rsidR="002B7561" w:rsidRPr="002B7561" w:rsidRDefault="002B7561" w:rsidP="002B7561">
            <w:pPr>
              <w:spacing w:line="276" w:lineRule="auto"/>
              <w:rPr>
                <w:b/>
                <w:bCs/>
                <w:szCs w:val="23"/>
              </w:rPr>
            </w:pPr>
          </w:p>
        </w:tc>
      </w:tr>
      <w:tr w:rsidR="002B7561" w:rsidRPr="00213B15" w14:paraId="2BF152E4" w14:textId="77777777" w:rsidTr="00B36D79">
        <w:trPr>
          <w:gridBefore w:val="1"/>
          <w:wBefore w:w="1488" w:type="dxa"/>
        </w:trPr>
        <w:tc>
          <w:tcPr>
            <w:tcW w:w="567" w:type="dxa"/>
            <w:gridSpan w:val="2"/>
          </w:tcPr>
          <w:p w14:paraId="2F46417F" w14:textId="6DF0F440" w:rsidR="002B7561" w:rsidRDefault="002B7561" w:rsidP="00862296">
            <w:pPr>
              <w:tabs>
                <w:tab w:val="left" w:pos="1701"/>
              </w:tabs>
              <w:spacing w:line="276" w:lineRule="auto"/>
              <w:rPr>
                <w:b/>
                <w:snapToGrid w:val="0"/>
              </w:rPr>
            </w:pPr>
            <w:r>
              <w:rPr>
                <w:b/>
                <w:snapToGrid w:val="0"/>
              </w:rPr>
              <w:t>§ 8</w:t>
            </w:r>
          </w:p>
        </w:tc>
        <w:tc>
          <w:tcPr>
            <w:tcW w:w="6946" w:type="dxa"/>
            <w:gridSpan w:val="15"/>
          </w:tcPr>
          <w:p w14:paraId="7E3B74AA" w14:textId="77777777" w:rsidR="002B7561" w:rsidRDefault="002B7561" w:rsidP="002B7561">
            <w:pPr>
              <w:spacing w:line="276" w:lineRule="auto"/>
              <w:rPr>
                <w:b/>
                <w:bCs/>
                <w:szCs w:val="23"/>
              </w:rPr>
            </w:pPr>
            <w:r>
              <w:rPr>
                <w:b/>
                <w:bCs/>
                <w:szCs w:val="23"/>
              </w:rPr>
              <w:t>Terrorism (JuU14)</w:t>
            </w:r>
          </w:p>
          <w:p w14:paraId="3CD54848" w14:textId="77777777" w:rsidR="002B7561" w:rsidRDefault="002B7561" w:rsidP="002B7561">
            <w:pPr>
              <w:spacing w:line="276" w:lineRule="auto"/>
              <w:rPr>
                <w:b/>
                <w:bCs/>
                <w:szCs w:val="23"/>
              </w:rPr>
            </w:pPr>
          </w:p>
          <w:p w14:paraId="3CB0A270" w14:textId="09581206" w:rsidR="002B7561" w:rsidRDefault="002B7561" w:rsidP="002B7561">
            <w:pPr>
              <w:spacing w:line="276" w:lineRule="auto"/>
              <w:rPr>
                <w:szCs w:val="23"/>
              </w:rPr>
            </w:pPr>
            <w:r w:rsidRPr="002B7561">
              <w:rPr>
                <w:szCs w:val="23"/>
              </w:rPr>
              <w:t xml:space="preserve">Utskottet </w:t>
            </w:r>
            <w:r>
              <w:rPr>
                <w:szCs w:val="23"/>
              </w:rPr>
              <w:t xml:space="preserve">inledde </w:t>
            </w:r>
            <w:r w:rsidRPr="002B7561">
              <w:rPr>
                <w:szCs w:val="23"/>
              </w:rPr>
              <w:t xml:space="preserve">beredningen av </w:t>
            </w:r>
            <w:r>
              <w:rPr>
                <w:szCs w:val="23"/>
              </w:rPr>
              <w:t>motioner</w:t>
            </w:r>
            <w:r w:rsidRPr="002B7561">
              <w:rPr>
                <w:szCs w:val="23"/>
              </w:rPr>
              <w:t>.</w:t>
            </w:r>
          </w:p>
          <w:p w14:paraId="5F546F1D" w14:textId="77777777" w:rsidR="002B7561" w:rsidRDefault="002B7561" w:rsidP="002B7561">
            <w:pPr>
              <w:spacing w:line="276" w:lineRule="auto"/>
              <w:rPr>
                <w:szCs w:val="23"/>
              </w:rPr>
            </w:pPr>
          </w:p>
          <w:p w14:paraId="61EC2E14" w14:textId="7F96F370" w:rsidR="002B7561" w:rsidRPr="002B7561" w:rsidRDefault="002B7561" w:rsidP="002B7561">
            <w:pPr>
              <w:spacing w:line="276" w:lineRule="auto"/>
              <w:rPr>
                <w:szCs w:val="23"/>
              </w:rPr>
            </w:pPr>
            <w:r>
              <w:rPr>
                <w:szCs w:val="23"/>
              </w:rPr>
              <w:t xml:space="preserve">Ärendet bordlades. </w:t>
            </w:r>
          </w:p>
          <w:p w14:paraId="354B7C6E" w14:textId="4A0C5158" w:rsidR="002B7561" w:rsidRPr="002B7561" w:rsidRDefault="002B7561" w:rsidP="002B7561">
            <w:pPr>
              <w:spacing w:line="276" w:lineRule="auto"/>
              <w:rPr>
                <w:b/>
                <w:bCs/>
                <w:szCs w:val="23"/>
              </w:rPr>
            </w:pPr>
          </w:p>
        </w:tc>
      </w:tr>
      <w:tr w:rsidR="00862296" w14:paraId="336A19AF" w14:textId="77777777" w:rsidTr="00B36D79">
        <w:trPr>
          <w:gridBefore w:val="1"/>
          <w:wBefore w:w="1488" w:type="dxa"/>
        </w:trPr>
        <w:tc>
          <w:tcPr>
            <w:tcW w:w="567" w:type="dxa"/>
            <w:gridSpan w:val="2"/>
          </w:tcPr>
          <w:p w14:paraId="12A0CD89" w14:textId="65917AA2" w:rsidR="00862296" w:rsidRDefault="00862296" w:rsidP="00862296">
            <w:pPr>
              <w:tabs>
                <w:tab w:val="left" w:pos="1701"/>
              </w:tabs>
              <w:spacing w:line="276" w:lineRule="auto"/>
              <w:rPr>
                <w:b/>
                <w:snapToGrid w:val="0"/>
              </w:rPr>
            </w:pPr>
            <w:r>
              <w:rPr>
                <w:b/>
                <w:snapToGrid w:val="0"/>
              </w:rPr>
              <w:t xml:space="preserve">§ </w:t>
            </w:r>
            <w:r w:rsidR="00976ABD">
              <w:rPr>
                <w:b/>
                <w:snapToGrid w:val="0"/>
              </w:rPr>
              <w:t>9</w:t>
            </w:r>
          </w:p>
        </w:tc>
        <w:tc>
          <w:tcPr>
            <w:tcW w:w="6946" w:type="dxa"/>
            <w:gridSpan w:val="15"/>
          </w:tcPr>
          <w:p w14:paraId="4F91F428" w14:textId="77777777" w:rsidR="00862296" w:rsidRDefault="00862296" w:rsidP="00862296">
            <w:pPr>
              <w:tabs>
                <w:tab w:val="left" w:pos="1701"/>
              </w:tabs>
              <w:spacing w:line="276" w:lineRule="auto"/>
              <w:rPr>
                <w:b/>
                <w:snapToGrid w:val="0"/>
              </w:rPr>
            </w:pPr>
            <w:r>
              <w:rPr>
                <w:b/>
                <w:snapToGrid w:val="0"/>
              </w:rPr>
              <w:t>Nästa sammanträde</w:t>
            </w:r>
          </w:p>
          <w:p w14:paraId="2D5084FD" w14:textId="77777777" w:rsidR="00862296" w:rsidRDefault="00862296" w:rsidP="00862296">
            <w:pPr>
              <w:spacing w:line="276" w:lineRule="auto"/>
              <w:rPr>
                <w:b/>
                <w:snapToGrid w:val="0"/>
              </w:rPr>
            </w:pPr>
          </w:p>
          <w:p w14:paraId="3DF9CE3F" w14:textId="0A0BBC55" w:rsidR="00862296" w:rsidRPr="00F71A52" w:rsidRDefault="0036456E" w:rsidP="00862296">
            <w:pPr>
              <w:widowControl/>
              <w:spacing w:line="276" w:lineRule="auto"/>
              <w:rPr>
                <w:bCs/>
              </w:rPr>
            </w:pPr>
            <w:r>
              <w:rPr>
                <w:snapToGrid w:val="0"/>
              </w:rPr>
              <w:t xml:space="preserve">Nästa sammanträde äger rum </w:t>
            </w:r>
            <w:r>
              <w:rPr>
                <w:bCs/>
              </w:rPr>
              <w:t>t</w:t>
            </w:r>
            <w:r w:rsidR="002B7561">
              <w:rPr>
                <w:bCs/>
              </w:rPr>
              <w:t>i</w:t>
            </w:r>
            <w:r>
              <w:rPr>
                <w:bCs/>
              </w:rPr>
              <w:t>s</w:t>
            </w:r>
            <w:r w:rsidRPr="00B8368B">
              <w:rPr>
                <w:bCs/>
              </w:rPr>
              <w:t xml:space="preserve">dagen den </w:t>
            </w:r>
            <w:r w:rsidR="002B7561">
              <w:rPr>
                <w:bCs/>
              </w:rPr>
              <w:t>3</w:t>
            </w:r>
            <w:r w:rsidRPr="00B8368B">
              <w:rPr>
                <w:bCs/>
              </w:rPr>
              <w:t xml:space="preserve"> </w:t>
            </w:r>
            <w:r w:rsidR="002B7561">
              <w:rPr>
                <w:bCs/>
              </w:rPr>
              <w:t>mars</w:t>
            </w:r>
            <w:r w:rsidRPr="00B8368B">
              <w:rPr>
                <w:bCs/>
              </w:rPr>
              <w:t xml:space="preserve"> 202</w:t>
            </w:r>
            <w:r>
              <w:rPr>
                <w:bCs/>
              </w:rPr>
              <w:t>6</w:t>
            </w:r>
            <w:r w:rsidRPr="00B8368B">
              <w:rPr>
                <w:bCs/>
              </w:rPr>
              <w:t xml:space="preserve"> kl. </w:t>
            </w:r>
            <w:r>
              <w:rPr>
                <w:bCs/>
              </w:rPr>
              <w:t>1</w:t>
            </w:r>
            <w:r w:rsidR="002B7561">
              <w:rPr>
                <w:bCs/>
              </w:rPr>
              <w:t>1</w:t>
            </w:r>
            <w:r w:rsidRPr="00B8368B">
              <w:rPr>
                <w:bCs/>
              </w:rPr>
              <w:t>.</w:t>
            </w:r>
            <w:r>
              <w:rPr>
                <w:bCs/>
              </w:rPr>
              <w:t>0</w:t>
            </w:r>
            <w:r w:rsidRPr="00B8368B">
              <w:rPr>
                <w:bCs/>
              </w:rPr>
              <w:t>0</w:t>
            </w:r>
            <w:r>
              <w:rPr>
                <w:bCs/>
              </w:rPr>
              <w:t>.</w:t>
            </w:r>
          </w:p>
        </w:tc>
      </w:tr>
      <w:tr w:rsidR="00862296" w14:paraId="15967061" w14:textId="77777777" w:rsidTr="00B36D79">
        <w:trPr>
          <w:gridBefore w:val="1"/>
          <w:wBefore w:w="1488" w:type="dxa"/>
        </w:trPr>
        <w:tc>
          <w:tcPr>
            <w:tcW w:w="567" w:type="dxa"/>
            <w:gridSpan w:val="2"/>
          </w:tcPr>
          <w:p w14:paraId="35D2AD10" w14:textId="77777777" w:rsidR="00862296" w:rsidRDefault="00862296" w:rsidP="00862296">
            <w:pPr>
              <w:tabs>
                <w:tab w:val="left" w:pos="1701"/>
              </w:tabs>
              <w:spacing w:line="276" w:lineRule="auto"/>
              <w:rPr>
                <w:b/>
                <w:snapToGrid w:val="0"/>
              </w:rPr>
            </w:pPr>
          </w:p>
          <w:p w14:paraId="0595DFAC" w14:textId="5554FAC9" w:rsidR="00862296" w:rsidRDefault="00862296" w:rsidP="00862296">
            <w:pPr>
              <w:tabs>
                <w:tab w:val="left" w:pos="1701"/>
              </w:tabs>
              <w:spacing w:line="276" w:lineRule="auto"/>
              <w:rPr>
                <w:b/>
                <w:snapToGrid w:val="0"/>
              </w:rPr>
            </w:pPr>
          </w:p>
        </w:tc>
        <w:tc>
          <w:tcPr>
            <w:tcW w:w="6946" w:type="dxa"/>
            <w:gridSpan w:val="15"/>
          </w:tcPr>
          <w:p w14:paraId="2A82903C" w14:textId="77777777" w:rsidR="00862296" w:rsidRDefault="00862296" w:rsidP="00862296">
            <w:pPr>
              <w:spacing w:line="276" w:lineRule="auto"/>
              <w:rPr>
                <w:bCs/>
                <w:snapToGrid w:val="0"/>
              </w:rPr>
            </w:pPr>
          </w:p>
          <w:p w14:paraId="605C3D3A" w14:textId="77777777" w:rsidR="00D30CEA" w:rsidRDefault="00D30CEA" w:rsidP="00862296">
            <w:pPr>
              <w:spacing w:line="276" w:lineRule="auto"/>
              <w:rPr>
                <w:bCs/>
                <w:snapToGrid w:val="0"/>
              </w:rPr>
            </w:pPr>
          </w:p>
          <w:p w14:paraId="61B27098" w14:textId="7318FA44" w:rsidR="00D30CEA" w:rsidRPr="00ED2E15" w:rsidRDefault="00D30CEA" w:rsidP="00862296">
            <w:pPr>
              <w:spacing w:line="276" w:lineRule="auto"/>
              <w:rPr>
                <w:bCs/>
                <w:snapToGrid w:val="0"/>
              </w:rPr>
            </w:pPr>
          </w:p>
        </w:tc>
      </w:tr>
      <w:tr w:rsidR="000B7DD3" w14:paraId="5C2D9E56" w14:textId="77777777" w:rsidTr="00B36D79">
        <w:trPr>
          <w:gridBefore w:val="1"/>
          <w:gridAfter w:val="1"/>
          <w:wBefore w:w="1488" w:type="dxa"/>
          <w:wAfter w:w="354" w:type="dxa"/>
        </w:trPr>
        <w:tc>
          <w:tcPr>
            <w:tcW w:w="7159" w:type="dxa"/>
            <w:gridSpan w:val="16"/>
          </w:tcPr>
          <w:p w14:paraId="7CE90CE9" w14:textId="380FD9DC"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54E72734" w14:textId="6063217C" w:rsidR="000B7DD3" w:rsidRDefault="000B7DD3" w:rsidP="002F3121">
            <w:pPr>
              <w:tabs>
                <w:tab w:val="left" w:pos="1701"/>
              </w:tabs>
            </w:pPr>
            <w:r>
              <w:t>Justeras den</w:t>
            </w:r>
            <w:r w:rsidR="00714173" w:rsidRPr="00387D9E">
              <w:t xml:space="preserve"> </w:t>
            </w:r>
            <w:r w:rsidR="002B7561">
              <w:t>3</w:t>
            </w:r>
            <w:r w:rsidR="0046391A" w:rsidRPr="00387D9E">
              <w:rPr>
                <w:snapToGrid w:val="0"/>
              </w:rPr>
              <w:t xml:space="preserve"> </w:t>
            </w:r>
            <w:r w:rsidR="002B7561">
              <w:rPr>
                <w:snapToGrid w:val="0"/>
              </w:rPr>
              <w:t>mars</w:t>
            </w:r>
            <w:r w:rsidR="0082554F">
              <w:rPr>
                <w:snapToGrid w:val="0"/>
              </w:rPr>
              <w:t xml:space="preserve"> </w:t>
            </w:r>
            <w:r>
              <w:t>202</w:t>
            </w:r>
            <w:r w:rsidR="003E2224">
              <w:t>6</w:t>
            </w:r>
          </w:p>
          <w:p w14:paraId="42D7EAB4" w14:textId="22F6B0CE" w:rsidR="000B7DD3" w:rsidRDefault="000B7DD3" w:rsidP="002F3121">
            <w:pPr>
              <w:tabs>
                <w:tab w:val="left" w:pos="1701"/>
              </w:tabs>
            </w:pPr>
          </w:p>
          <w:p w14:paraId="6CE981C9" w14:textId="77777777" w:rsidR="007B1F2C" w:rsidRDefault="007B1F2C" w:rsidP="002F3121">
            <w:pPr>
              <w:tabs>
                <w:tab w:val="left" w:pos="1701"/>
              </w:tabs>
            </w:pPr>
          </w:p>
          <w:p w14:paraId="492C4394" w14:textId="77777777" w:rsidR="002B7561" w:rsidRDefault="002B7561" w:rsidP="002F3121">
            <w:pPr>
              <w:tabs>
                <w:tab w:val="left" w:pos="1701"/>
              </w:tabs>
            </w:pPr>
          </w:p>
          <w:p w14:paraId="08B05B1E" w14:textId="77777777" w:rsidR="00D30CEA" w:rsidRDefault="00EE1DBA" w:rsidP="004E6B2E">
            <w:pPr>
              <w:tabs>
                <w:tab w:val="left" w:pos="1701"/>
              </w:tabs>
              <w:spacing w:line="276" w:lineRule="auto"/>
              <w:rPr>
                <w:szCs w:val="24"/>
              </w:rPr>
            </w:pPr>
            <w:r>
              <w:rPr>
                <w:szCs w:val="24"/>
              </w:rPr>
              <w:t>Henrik Vinge</w:t>
            </w:r>
          </w:p>
          <w:p w14:paraId="36E35583" w14:textId="77777777" w:rsidR="000031AD" w:rsidRDefault="000031AD" w:rsidP="004E6B2E">
            <w:pPr>
              <w:tabs>
                <w:tab w:val="left" w:pos="1701"/>
              </w:tabs>
              <w:spacing w:line="276" w:lineRule="auto"/>
              <w:rPr>
                <w:szCs w:val="24"/>
              </w:rPr>
            </w:pPr>
          </w:p>
          <w:p w14:paraId="20E95F74" w14:textId="77777777" w:rsidR="000031AD" w:rsidRDefault="000031AD" w:rsidP="004E6B2E">
            <w:pPr>
              <w:tabs>
                <w:tab w:val="left" w:pos="1701"/>
              </w:tabs>
              <w:spacing w:line="276" w:lineRule="auto"/>
              <w:rPr>
                <w:szCs w:val="24"/>
              </w:rPr>
            </w:pPr>
          </w:p>
          <w:p w14:paraId="7448E09F" w14:textId="77777777" w:rsidR="000031AD" w:rsidRDefault="000031AD" w:rsidP="004E6B2E">
            <w:pPr>
              <w:tabs>
                <w:tab w:val="left" w:pos="1701"/>
              </w:tabs>
              <w:spacing w:line="276" w:lineRule="auto"/>
              <w:rPr>
                <w:szCs w:val="24"/>
              </w:rPr>
            </w:pPr>
          </w:p>
          <w:p w14:paraId="67E2D7C1" w14:textId="77777777" w:rsidR="002B7561" w:rsidRDefault="002B7561" w:rsidP="004E6B2E">
            <w:pPr>
              <w:tabs>
                <w:tab w:val="left" w:pos="1701"/>
              </w:tabs>
              <w:spacing w:line="276" w:lineRule="auto"/>
              <w:rPr>
                <w:szCs w:val="24"/>
              </w:rPr>
            </w:pPr>
          </w:p>
          <w:p w14:paraId="2C4361B3" w14:textId="77777777" w:rsidR="002B7561" w:rsidRDefault="002B7561" w:rsidP="004E6B2E">
            <w:pPr>
              <w:tabs>
                <w:tab w:val="left" w:pos="1701"/>
              </w:tabs>
              <w:spacing w:line="276" w:lineRule="auto"/>
              <w:rPr>
                <w:szCs w:val="24"/>
              </w:rPr>
            </w:pPr>
          </w:p>
          <w:p w14:paraId="385675D5" w14:textId="77777777" w:rsidR="00976ABD" w:rsidRDefault="00976ABD" w:rsidP="004E6B2E">
            <w:pPr>
              <w:tabs>
                <w:tab w:val="left" w:pos="1701"/>
              </w:tabs>
              <w:spacing w:line="276" w:lineRule="auto"/>
              <w:rPr>
                <w:szCs w:val="24"/>
              </w:rPr>
            </w:pPr>
          </w:p>
          <w:p w14:paraId="7AE8035E" w14:textId="77777777" w:rsidR="00976ABD" w:rsidRDefault="00976ABD" w:rsidP="004E6B2E">
            <w:pPr>
              <w:tabs>
                <w:tab w:val="left" w:pos="1701"/>
              </w:tabs>
              <w:spacing w:line="276" w:lineRule="auto"/>
              <w:rPr>
                <w:szCs w:val="24"/>
              </w:rPr>
            </w:pPr>
          </w:p>
          <w:p w14:paraId="7D6EEBDB" w14:textId="77777777" w:rsidR="00976ABD" w:rsidRDefault="00976ABD" w:rsidP="004E6B2E">
            <w:pPr>
              <w:tabs>
                <w:tab w:val="left" w:pos="1701"/>
              </w:tabs>
              <w:spacing w:line="276" w:lineRule="auto"/>
              <w:rPr>
                <w:szCs w:val="24"/>
              </w:rPr>
            </w:pPr>
          </w:p>
          <w:p w14:paraId="79C1394F" w14:textId="77777777" w:rsidR="00976ABD" w:rsidRDefault="00976ABD" w:rsidP="004E6B2E">
            <w:pPr>
              <w:tabs>
                <w:tab w:val="left" w:pos="1701"/>
              </w:tabs>
              <w:spacing w:line="276" w:lineRule="auto"/>
              <w:rPr>
                <w:szCs w:val="24"/>
              </w:rPr>
            </w:pPr>
          </w:p>
          <w:p w14:paraId="68AD1B48" w14:textId="77777777" w:rsidR="00976ABD" w:rsidRDefault="00976ABD" w:rsidP="004E6B2E">
            <w:pPr>
              <w:tabs>
                <w:tab w:val="left" w:pos="1701"/>
              </w:tabs>
              <w:spacing w:line="276" w:lineRule="auto"/>
              <w:rPr>
                <w:szCs w:val="24"/>
              </w:rPr>
            </w:pPr>
          </w:p>
          <w:p w14:paraId="7053DC0C" w14:textId="4DA5CC56" w:rsidR="00976ABD" w:rsidRPr="00ED345C" w:rsidRDefault="00976ABD" w:rsidP="004E6B2E">
            <w:pPr>
              <w:tabs>
                <w:tab w:val="left" w:pos="1701"/>
              </w:tabs>
              <w:spacing w:line="276" w:lineRule="auto"/>
              <w:rPr>
                <w:szCs w:val="24"/>
              </w:rPr>
            </w:pPr>
          </w:p>
        </w:tc>
      </w:tr>
      <w:tr w:rsidR="000B7DD3" w14:paraId="10A2D6BF" w14:textId="77777777" w:rsidTr="00B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4" w:type="dxa"/>
        </w:trPr>
        <w:tc>
          <w:tcPr>
            <w:tcW w:w="3420" w:type="dxa"/>
            <w:gridSpan w:val="4"/>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sidRPr="00C02B64">
              <w:rPr>
                <w:b/>
              </w:rPr>
              <w:t>NÄRVAROFÖRTECKNING</w:t>
            </w:r>
          </w:p>
        </w:tc>
        <w:tc>
          <w:tcPr>
            <w:tcW w:w="1447" w:type="dxa"/>
            <w:gridSpan w:val="4"/>
            <w:tcBorders>
              <w:top w:val="nil"/>
              <w:left w:val="nil"/>
              <w:bottom w:val="nil"/>
              <w:right w:val="nil"/>
            </w:tcBorders>
          </w:tcPr>
          <w:p w14:paraId="53EAF06E" w14:textId="717DA786" w:rsidR="000B7DD3" w:rsidRDefault="000B7DD3" w:rsidP="002F3121">
            <w:pPr>
              <w:tabs>
                <w:tab w:val="left" w:pos="1701"/>
              </w:tabs>
              <w:rPr>
                <w:b/>
              </w:rPr>
            </w:pPr>
            <w:r>
              <w:rPr>
                <w:b/>
              </w:rPr>
              <w:t>Bilaga</w:t>
            </w:r>
            <w:r w:rsidR="00976ABD">
              <w:rPr>
                <w:b/>
              </w:rPr>
              <w:t xml:space="preserve"> 1</w:t>
            </w:r>
          </w:p>
          <w:p w14:paraId="77169B27" w14:textId="77777777" w:rsidR="000B7DD3" w:rsidRDefault="000B7DD3" w:rsidP="002F3121">
            <w:pPr>
              <w:tabs>
                <w:tab w:val="left" w:pos="1701"/>
              </w:tabs>
            </w:pPr>
            <w:r>
              <w:t>till protokoll</w:t>
            </w:r>
          </w:p>
          <w:p w14:paraId="394B164A" w14:textId="31DB8390" w:rsidR="000B7DD3" w:rsidRDefault="000B7DD3" w:rsidP="002F3121">
            <w:pPr>
              <w:tabs>
                <w:tab w:val="left" w:pos="1701"/>
              </w:tabs>
            </w:pPr>
            <w:r>
              <w:t>202</w:t>
            </w:r>
            <w:r w:rsidR="00FC051A">
              <w:t>5</w:t>
            </w:r>
            <w:r>
              <w:t>/2</w:t>
            </w:r>
            <w:r w:rsidR="00FC051A">
              <w:t>6</w:t>
            </w:r>
            <w:r>
              <w:t>:</w:t>
            </w:r>
            <w:r w:rsidR="002C1EA1">
              <w:t>2</w:t>
            </w:r>
            <w:r w:rsidR="00C83578">
              <w:t>8</w:t>
            </w:r>
          </w:p>
        </w:tc>
      </w:tr>
      <w:tr w:rsidR="00125C12" w14:paraId="365E24E1" w14:textId="77777777" w:rsidTr="00A73B45">
        <w:tblPrEx>
          <w:tblLook w:val="0000" w:firstRow="0" w:lastRow="0" w:firstColumn="0" w:lastColumn="0" w:noHBand="0" w:noVBand="0"/>
        </w:tblPrEx>
        <w:trPr>
          <w:gridAfter w:val="1"/>
          <w:wAfter w:w="354" w:type="dxa"/>
          <w:cantSplit/>
        </w:trPr>
        <w:tc>
          <w:tcPr>
            <w:tcW w:w="3420" w:type="dxa"/>
            <w:gridSpan w:val="4"/>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1B43DF3A"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AD2A3B">
              <w:rPr>
                <w:sz w:val="22"/>
              </w:rPr>
              <w:t>–</w:t>
            </w:r>
            <w:r w:rsidR="00976ABD">
              <w:rPr>
                <w:sz w:val="22"/>
              </w:rPr>
              <w:t>9</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453F18A2"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Borders>
              <w:top w:val="single" w:sz="6" w:space="0" w:color="auto"/>
              <w:left w:val="single" w:sz="6" w:space="0" w:color="auto"/>
              <w:bottom w:val="single" w:sz="6" w:space="0" w:color="auto"/>
              <w:right w:val="single" w:sz="6" w:space="0" w:color="auto"/>
            </w:tcBorders>
          </w:tcPr>
          <w:p w14:paraId="05F86CA9" w14:textId="34FEE758"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02BAE2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20A0EB20" w:rsidR="00D82362" w:rsidRPr="00F72CCB" w:rsidRDefault="00976AB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50A2E2E5"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31FDD963"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0031AD" w14:paraId="2220A53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2E96F46D"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768C89AF"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72896A34"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4AB586D0"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 xml:space="preserve">Mikael </w:t>
            </w:r>
            <w:proofErr w:type="spellStart"/>
            <w:r>
              <w:t>Damsgaard</w:t>
            </w:r>
            <w:proofErr w:type="spellEnd"/>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088B08E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1CBC326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1EDACB4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A33883F" w:rsidR="00D82362" w:rsidRDefault="004604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58E0F8A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7AE7118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w:t>
            </w:r>
            <w:proofErr w:type="spellStart"/>
            <w:r>
              <w:t>Garpvall</w:t>
            </w:r>
            <w:proofErr w:type="spellEnd"/>
            <w:r>
              <w:t xml:space="preserve">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3AC83783" w:rsidR="00D82362" w:rsidRDefault="009D120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49B0191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0D976B8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6603121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 xml:space="preserve">Petter </w:t>
            </w:r>
            <w:proofErr w:type="spellStart"/>
            <w:r>
              <w:t>Löberg</w:t>
            </w:r>
            <w:proofErr w:type="spellEnd"/>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1646E2B4" w:rsidR="00D82362" w:rsidRDefault="00AD2A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03BFCCA5" w:rsidR="006C00D6" w:rsidRDefault="006C00D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7914597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4234288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7D30F0E3" w:rsidR="00D82362" w:rsidRDefault="00B36D7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701A93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05045EE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6F58F17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 xml:space="preserve">Anna </w:t>
            </w:r>
            <w:proofErr w:type="spellStart"/>
            <w:r w:rsidRPr="00F85329">
              <w:t>Wallentheim</w:t>
            </w:r>
            <w:proofErr w:type="spellEnd"/>
            <w:r w:rsidRPr="00F85329">
              <w:t xml:space="preserve"> (S)</w:t>
            </w:r>
          </w:p>
        </w:tc>
        <w:tc>
          <w:tcPr>
            <w:tcW w:w="540" w:type="dxa"/>
            <w:tcBorders>
              <w:top w:val="single" w:sz="6" w:space="0" w:color="auto"/>
              <w:left w:val="single" w:sz="6" w:space="0" w:color="auto"/>
              <w:bottom w:val="single" w:sz="6" w:space="0" w:color="auto"/>
              <w:right w:val="single" w:sz="6" w:space="0" w:color="auto"/>
            </w:tcBorders>
          </w:tcPr>
          <w:p w14:paraId="3D743439" w14:textId="3FE70D87" w:rsidR="00D82362" w:rsidRDefault="0086229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1E51AF8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13BA77E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1FF0AE3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1EB5D61B" w:rsidR="00D82362" w:rsidRDefault="0000348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1DFEDA0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739594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1B6C2C6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249F866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54FED3D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4C75BBE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 xml:space="preserve">Fredrik </w:t>
            </w:r>
            <w:proofErr w:type="spellStart"/>
            <w:r>
              <w:t>Kärrholm</w:t>
            </w:r>
            <w:proofErr w:type="spellEnd"/>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6B01DE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2396F0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29A5A29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25AD744" w:rsidR="00D82362" w:rsidRDefault="00B6360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4F110F9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5BB6DE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0D88AD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5C9091D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1188233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1AE2E57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44C3F4C8" w:rsidR="00D82362" w:rsidRDefault="0061098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31389BF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2EBC464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7ACCB90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ADCA4F5" w14:textId="6C5C6752" w:rsidR="00D82362" w:rsidRPr="00A74BA5" w:rsidRDefault="00D82362" w:rsidP="00D82362">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61D27F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6377D9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07DBEC9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6F390DA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16DBB9A3" w:rsidR="00D82362" w:rsidRDefault="00067EC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63C4DE1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07E011D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7FB21E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12885C57"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3A184F79"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 xml:space="preserve">Mats </w:t>
            </w:r>
            <w:proofErr w:type="spellStart"/>
            <w:r>
              <w:t>Hellhoff</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23965CB4" w:rsidR="00D82362" w:rsidRPr="0078232D" w:rsidRDefault="00AD2A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144B3C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 xml:space="preserve">Sanna </w:t>
            </w:r>
            <w:proofErr w:type="spellStart"/>
            <w:r w:rsidRPr="00775568">
              <w:t>Backeskog</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08C80ACB" w14:textId="4CD21DF3" w:rsidR="00D82362" w:rsidRPr="0078232D" w:rsidRDefault="00976AB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255C5AC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51ADB8E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2B3DDF7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 xml:space="preserve">Ludvig </w:t>
            </w:r>
            <w:proofErr w:type="spellStart"/>
            <w:r w:rsidRPr="004A394D">
              <w:t>Ceimertz</w:t>
            </w:r>
            <w:proofErr w:type="spellEnd"/>
            <w:r w:rsidRPr="004A394D">
              <w:t xml:space="preserve"> (M)</w:t>
            </w:r>
          </w:p>
        </w:tc>
        <w:tc>
          <w:tcPr>
            <w:tcW w:w="540" w:type="dxa"/>
            <w:tcBorders>
              <w:top w:val="single" w:sz="6" w:space="0" w:color="auto"/>
              <w:left w:val="single" w:sz="6" w:space="0" w:color="auto"/>
              <w:bottom w:val="single" w:sz="6" w:space="0" w:color="auto"/>
              <w:right w:val="single" w:sz="6" w:space="0" w:color="auto"/>
            </w:tcBorders>
          </w:tcPr>
          <w:p w14:paraId="066A04E1" w14:textId="193FE6F4" w:rsidR="00D82362" w:rsidRPr="0078232D" w:rsidRDefault="0000348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2241958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109BA853"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52AF543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33D3D0F0" w:rsidR="00D82362" w:rsidRPr="0078232D" w:rsidRDefault="00976AB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4912306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3E953E4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577F88C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46B1BBB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97FAC7D" w14:textId="11208863" w:rsidR="003A012B" w:rsidRPr="00775568" w:rsidRDefault="003A012B"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420923D5" w14:textId="600362F9"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3B075D9"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ED02" w14:textId="1542D046"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24437"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7FA754"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4327F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02E0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1B3F5"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17E7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C96F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9048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7FBE3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604B14F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5FD2094" w14:textId="692CD21B" w:rsidR="00D82362" w:rsidRDefault="003A012B" w:rsidP="00D82362">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D7B6AA" w14:textId="0E04D50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6A6E2BC3"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E8350F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 xml:space="preserve">Lotta Johnsson </w:t>
            </w:r>
            <w:proofErr w:type="spellStart"/>
            <w:r w:rsidRPr="00775568">
              <w:t>Fornarve</w:t>
            </w:r>
            <w:proofErr w:type="spellEnd"/>
            <w:r w:rsidRPr="00775568">
              <w:t xml:space="preserve"> (V)</w:t>
            </w:r>
          </w:p>
        </w:tc>
        <w:tc>
          <w:tcPr>
            <w:tcW w:w="540" w:type="dxa"/>
            <w:tcBorders>
              <w:top w:val="single" w:sz="6" w:space="0" w:color="auto"/>
              <w:left w:val="single" w:sz="6" w:space="0" w:color="auto"/>
              <w:bottom w:val="single" w:sz="6" w:space="0" w:color="auto"/>
              <w:right w:val="single" w:sz="6" w:space="0" w:color="auto"/>
            </w:tcBorders>
          </w:tcPr>
          <w:p w14:paraId="40E3E037" w14:textId="59B3024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B2D6C5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A286E23"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5722498" w14:textId="77777777" w:rsidR="00D82362" w:rsidRDefault="00D82362" w:rsidP="00D82362">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 xml:space="preserve">Nils </w:t>
            </w:r>
            <w:proofErr w:type="spellStart"/>
            <w:r>
              <w:t>Seye</w:t>
            </w:r>
            <w:proofErr w:type="spellEnd"/>
            <w:r>
              <w:t xml:space="preserv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4B4C858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34D087F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0EC5AA1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35CFB59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C751A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1BF5468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5A31B50" w14:textId="01A32E5F" w:rsidR="003A012B" w:rsidRPr="00775568" w:rsidRDefault="003A012B" w:rsidP="00D82362">
            <w:r>
              <w:t xml:space="preserve">Pia </w:t>
            </w:r>
            <w:proofErr w:type="spellStart"/>
            <w:r>
              <w:t>Trollehjelm</w:t>
            </w:r>
            <w:proofErr w:type="spellEnd"/>
            <w:r>
              <w:t xml:space="preserve"> (SD)</w:t>
            </w:r>
          </w:p>
        </w:tc>
        <w:tc>
          <w:tcPr>
            <w:tcW w:w="540" w:type="dxa"/>
            <w:tcBorders>
              <w:top w:val="single" w:sz="6" w:space="0" w:color="auto"/>
              <w:left w:val="single" w:sz="6" w:space="0" w:color="auto"/>
              <w:bottom w:val="single" w:sz="6" w:space="0" w:color="auto"/>
              <w:right w:val="single" w:sz="6" w:space="0" w:color="auto"/>
            </w:tcBorders>
          </w:tcPr>
          <w:p w14:paraId="2D5B96B1" w14:textId="77777777"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DB0DAD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C86270" w14:textId="77777777"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557F3"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E975"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F801BA"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66F657"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05432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EEA11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A79CDF"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39C77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A6F44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627C766" w14:textId="107F0371" w:rsidR="00D82362" w:rsidRPr="00775568" w:rsidRDefault="00C02B64" w:rsidP="00D82362">
            <w:r>
              <w:t>Samuel Gonzalez Westling</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6709D050" w:rsidR="00D82362" w:rsidRPr="0078232D" w:rsidRDefault="0086229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3388406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5019E06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66A5EF0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 xml:space="preserve">Rebecka Le </w:t>
            </w:r>
            <w:proofErr w:type="spellStart"/>
            <w:r>
              <w:t>Moine</w:t>
            </w:r>
            <w:proofErr w:type="spellEnd"/>
            <w:r>
              <w:t xml:space="preserv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lastRenderedPageBreak/>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216B4C2" w14:textId="13A1912E" w:rsidR="0096189F" w:rsidRPr="0024100F" w:rsidRDefault="00003487" w:rsidP="00D82362">
            <w:r>
              <w:t xml:space="preserve">Lars </w:t>
            </w:r>
            <w:proofErr w:type="spellStart"/>
            <w:r>
              <w:t>Jilmstad</w:t>
            </w:r>
            <w:proofErr w:type="spellEnd"/>
            <w:r w:rsidR="0096189F">
              <w:t xml:space="preserve"> (</w:t>
            </w:r>
            <w:r>
              <w:t>M</w:t>
            </w:r>
            <w:r w:rsidR="0096189F">
              <w:t>)</w:t>
            </w:r>
          </w:p>
        </w:tc>
        <w:tc>
          <w:tcPr>
            <w:tcW w:w="540" w:type="dxa"/>
            <w:tcBorders>
              <w:top w:val="single" w:sz="6" w:space="0" w:color="auto"/>
              <w:left w:val="single" w:sz="6" w:space="0" w:color="auto"/>
              <w:bottom w:val="single" w:sz="6" w:space="0" w:color="auto"/>
              <w:right w:val="single" w:sz="6" w:space="0" w:color="auto"/>
            </w:tcBorders>
          </w:tcPr>
          <w:p w14:paraId="4C216658" w14:textId="793CF915" w:rsidR="0096189F" w:rsidRDefault="00B36D7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3297078F"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F5D9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B36D79">
        <w:tblPrEx>
          <w:tblLook w:val="0000" w:firstRow="0" w:lastRow="0" w:firstColumn="0" w:lastColumn="0" w:noHBand="0" w:noVBand="0"/>
        </w:tblPrEx>
        <w:trPr>
          <w:gridAfter w:val="1"/>
          <w:wAfter w:w="354" w:type="dxa"/>
          <w:trHeight w:val="263"/>
        </w:trPr>
        <w:tc>
          <w:tcPr>
            <w:tcW w:w="1771" w:type="dxa"/>
            <w:gridSpan w:val="2"/>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5"/>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B36D79">
        <w:tblPrEx>
          <w:tblLook w:val="0000" w:firstRow="0" w:lastRow="0" w:firstColumn="0" w:lastColumn="0" w:noHBand="0" w:noVBand="0"/>
        </w:tblPrEx>
        <w:trPr>
          <w:gridAfter w:val="1"/>
          <w:wAfter w:w="354" w:type="dxa"/>
          <w:trHeight w:val="262"/>
        </w:trPr>
        <w:tc>
          <w:tcPr>
            <w:tcW w:w="1771" w:type="dxa"/>
            <w:gridSpan w:val="2"/>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5"/>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7A303E4D" w14:textId="77777777" w:rsidR="00B97BF5" w:rsidRDefault="00B97BF5" w:rsidP="000B7DD3">
      <w:pPr>
        <w:tabs>
          <w:tab w:val="left" w:pos="1620"/>
        </w:tabs>
      </w:pPr>
    </w:p>
    <w:p w14:paraId="66CA23F9" w14:textId="77777777" w:rsidR="00B97BF5" w:rsidRDefault="00B97BF5" w:rsidP="000B7DD3">
      <w:pPr>
        <w:tabs>
          <w:tab w:val="left" w:pos="1620"/>
        </w:tabs>
      </w:pPr>
    </w:p>
    <w:p w14:paraId="7E5BB849" w14:textId="77777777" w:rsidR="00B97BF5" w:rsidRDefault="00B97BF5" w:rsidP="000B7DD3">
      <w:pPr>
        <w:tabs>
          <w:tab w:val="left" w:pos="1620"/>
        </w:tabs>
      </w:pPr>
    </w:p>
    <w:p w14:paraId="31E0DACA" w14:textId="77777777" w:rsidR="00B97BF5" w:rsidRDefault="00B97BF5" w:rsidP="000B7DD3">
      <w:pPr>
        <w:tabs>
          <w:tab w:val="left" w:pos="1620"/>
        </w:tabs>
      </w:pPr>
    </w:p>
    <w:p w14:paraId="2C8F9AA7" w14:textId="77777777" w:rsidR="00B97BF5" w:rsidRDefault="00B97BF5" w:rsidP="000B7DD3">
      <w:pPr>
        <w:tabs>
          <w:tab w:val="left" w:pos="1620"/>
        </w:tabs>
      </w:pPr>
    </w:p>
    <w:p w14:paraId="7E18FC75" w14:textId="77777777" w:rsidR="00B97BF5" w:rsidRDefault="00B97BF5" w:rsidP="000B7DD3">
      <w:pPr>
        <w:tabs>
          <w:tab w:val="left" w:pos="1620"/>
        </w:tabs>
      </w:pPr>
    </w:p>
    <w:p w14:paraId="72D76F91" w14:textId="77777777" w:rsidR="00B97BF5" w:rsidRDefault="00B97BF5" w:rsidP="000B7DD3">
      <w:pPr>
        <w:tabs>
          <w:tab w:val="left" w:pos="1620"/>
        </w:tabs>
      </w:pPr>
    </w:p>
    <w:p w14:paraId="272DE650" w14:textId="77777777" w:rsidR="00B97BF5" w:rsidRDefault="00B97BF5" w:rsidP="000B7DD3">
      <w:pPr>
        <w:tabs>
          <w:tab w:val="left" w:pos="1620"/>
        </w:tabs>
      </w:pPr>
    </w:p>
    <w:p w14:paraId="5FC006E5" w14:textId="77777777" w:rsidR="00B97BF5" w:rsidRDefault="00B97BF5" w:rsidP="000B7DD3">
      <w:pPr>
        <w:tabs>
          <w:tab w:val="left" w:pos="1620"/>
        </w:tabs>
      </w:pPr>
    </w:p>
    <w:p w14:paraId="699424C1" w14:textId="77777777" w:rsidR="00B97BF5" w:rsidRDefault="00B97BF5" w:rsidP="000B7DD3">
      <w:pPr>
        <w:tabs>
          <w:tab w:val="left" w:pos="1620"/>
        </w:tabs>
      </w:pPr>
    </w:p>
    <w:p w14:paraId="507CA967" w14:textId="77777777" w:rsidR="00B97BF5" w:rsidRDefault="00B97BF5" w:rsidP="000B7DD3">
      <w:pPr>
        <w:tabs>
          <w:tab w:val="left" w:pos="1620"/>
        </w:tabs>
      </w:pPr>
    </w:p>
    <w:p w14:paraId="78043537" w14:textId="77777777" w:rsidR="00B97BF5" w:rsidRDefault="00B97BF5" w:rsidP="000B7DD3">
      <w:pPr>
        <w:tabs>
          <w:tab w:val="left" w:pos="1620"/>
        </w:tabs>
      </w:pPr>
    </w:p>
    <w:p w14:paraId="7A1203F5" w14:textId="77777777" w:rsidR="00B97BF5" w:rsidRDefault="00B97BF5" w:rsidP="000B7DD3">
      <w:pPr>
        <w:tabs>
          <w:tab w:val="left" w:pos="1620"/>
        </w:tabs>
      </w:pPr>
    </w:p>
    <w:p w14:paraId="3C67D312" w14:textId="77777777" w:rsidR="00B97BF5" w:rsidRDefault="00B97BF5" w:rsidP="000B7DD3">
      <w:pPr>
        <w:tabs>
          <w:tab w:val="left" w:pos="1620"/>
        </w:tabs>
      </w:pPr>
    </w:p>
    <w:p w14:paraId="3F8185A9" w14:textId="77777777" w:rsidR="00B97BF5" w:rsidRDefault="00B97BF5" w:rsidP="000B7DD3">
      <w:pPr>
        <w:tabs>
          <w:tab w:val="left" w:pos="1620"/>
        </w:tabs>
      </w:pPr>
    </w:p>
    <w:p w14:paraId="5A1FCE7C" w14:textId="77777777" w:rsidR="00B97BF5" w:rsidRDefault="00B97BF5" w:rsidP="000B7DD3">
      <w:pPr>
        <w:tabs>
          <w:tab w:val="left" w:pos="1620"/>
        </w:tabs>
      </w:pPr>
    </w:p>
    <w:p w14:paraId="11107DB9" w14:textId="77777777" w:rsidR="00B97BF5" w:rsidRDefault="00B97BF5" w:rsidP="000B7DD3">
      <w:pPr>
        <w:tabs>
          <w:tab w:val="left" w:pos="1620"/>
        </w:tabs>
      </w:pPr>
    </w:p>
    <w:p w14:paraId="51FBFF80" w14:textId="77777777" w:rsidR="00B97BF5" w:rsidRDefault="00B97BF5" w:rsidP="000B7DD3">
      <w:pPr>
        <w:tabs>
          <w:tab w:val="left" w:pos="1620"/>
        </w:tabs>
      </w:pPr>
    </w:p>
    <w:p w14:paraId="6102862C" w14:textId="77777777" w:rsidR="00B97BF5" w:rsidRDefault="00B97BF5" w:rsidP="000B7DD3">
      <w:pPr>
        <w:tabs>
          <w:tab w:val="left" w:pos="1620"/>
        </w:tabs>
      </w:pPr>
    </w:p>
    <w:p w14:paraId="5AEDB9A5" w14:textId="77777777" w:rsidR="00B97BF5" w:rsidRDefault="00B97BF5" w:rsidP="000B7DD3">
      <w:pPr>
        <w:tabs>
          <w:tab w:val="left" w:pos="1620"/>
        </w:tabs>
      </w:pPr>
    </w:p>
    <w:p w14:paraId="79516D27" w14:textId="77777777" w:rsidR="00B97BF5" w:rsidRDefault="00B97BF5" w:rsidP="000B7DD3">
      <w:pPr>
        <w:tabs>
          <w:tab w:val="left" w:pos="1620"/>
        </w:tabs>
      </w:pPr>
    </w:p>
    <w:p w14:paraId="6CAAAF6E" w14:textId="77777777" w:rsidR="00B97BF5" w:rsidRDefault="00B97BF5" w:rsidP="000B7DD3">
      <w:pPr>
        <w:tabs>
          <w:tab w:val="left" w:pos="1620"/>
        </w:tabs>
      </w:pPr>
    </w:p>
    <w:p w14:paraId="3AFD34DD" w14:textId="77777777" w:rsidR="00B97BF5" w:rsidRDefault="00B97BF5" w:rsidP="000B7DD3">
      <w:pPr>
        <w:tabs>
          <w:tab w:val="left" w:pos="1620"/>
        </w:tabs>
      </w:pPr>
    </w:p>
    <w:p w14:paraId="5BA97392" w14:textId="77777777" w:rsidR="00B97BF5" w:rsidRDefault="00B97BF5" w:rsidP="000B7DD3">
      <w:pPr>
        <w:tabs>
          <w:tab w:val="left" w:pos="1620"/>
        </w:tabs>
      </w:pPr>
    </w:p>
    <w:p w14:paraId="7D042A49" w14:textId="77777777" w:rsidR="00B97BF5" w:rsidRDefault="00B97BF5" w:rsidP="000B7DD3">
      <w:pPr>
        <w:tabs>
          <w:tab w:val="left" w:pos="1620"/>
        </w:tabs>
      </w:pPr>
    </w:p>
    <w:p w14:paraId="12F826FD" w14:textId="77777777" w:rsidR="00B97BF5" w:rsidRDefault="00B97BF5" w:rsidP="000B7DD3">
      <w:pPr>
        <w:tabs>
          <w:tab w:val="left" w:pos="1620"/>
        </w:tabs>
      </w:pPr>
    </w:p>
    <w:p w14:paraId="1958D78B" w14:textId="77777777" w:rsidR="00B97BF5" w:rsidRDefault="00B97BF5" w:rsidP="000B7DD3">
      <w:pPr>
        <w:tabs>
          <w:tab w:val="left" w:pos="1620"/>
        </w:tabs>
      </w:pPr>
    </w:p>
    <w:p w14:paraId="5670216E" w14:textId="77777777" w:rsidR="00B97BF5" w:rsidRDefault="00B97BF5" w:rsidP="000B7DD3">
      <w:pPr>
        <w:tabs>
          <w:tab w:val="left" w:pos="1620"/>
        </w:tabs>
      </w:pPr>
    </w:p>
    <w:p w14:paraId="171A288A" w14:textId="77777777" w:rsidR="00B97BF5" w:rsidRDefault="00B97BF5" w:rsidP="000B7DD3">
      <w:pPr>
        <w:tabs>
          <w:tab w:val="left" w:pos="1620"/>
        </w:tabs>
      </w:pPr>
    </w:p>
    <w:p w14:paraId="374B655E" w14:textId="77777777" w:rsidR="00B97BF5" w:rsidRDefault="00B97BF5" w:rsidP="000B7DD3">
      <w:pPr>
        <w:tabs>
          <w:tab w:val="left" w:pos="1620"/>
        </w:tabs>
      </w:pPr>
    </w:p>
    <w:p w14:paraId="628C37D4" w14:textId="77777777" w:rsidR="00B97BF5" w:rsidRDefault="00B97BF5" w:rsidP="000B7DD3">
      <w:pPr>
        <w:tabs>
          <w:tab w:val="left" w:pos="1620"/>
        </w:tabs>
      </w:pPr>
    </w:p>
    <w:p w14:paraId="0C8E1E6D" w14:textId="77777777" w:rsidR="00B97BF5" w:rsidRDefault="00B97BF5" w:rsidP="000B7DD3">
      <w:pPr>
        <w:tabs>
          <w:tab w:val="left" w:pos="1620"/>
        </w:tabs>
      </w:pPr>
    </w:p>
    <w:p w14:paraId="6D825F83" w14:textId="77777777" w:rsidR="00B97BF5" w:rsidRDefault="00B97BF5" w:rsidP="000B7DD3">
      <w:pPr>
        <w:tabs>
          <w:tab w:val="left" w:pos="1620"/>
        </w:tabs>
      </w:pPr>
    </w:p>
    <w:p w14:paraId="681E0C14" w14:textId="77777777" w:rsidR="00B97BF5" w:rsidRDefault="00B97BF5" w:rsidP="000B7DD3">
      <w:pPr>
        <w:tabs>
          <w:tab w:val="left" w:pos="1620"/>
        </w:tabs>
      </w:pPr>
    </w:p>
    <w:p w14:paraId="2EA125C8" w14:textId="77777777" w:rsidR="00B97BF5" w:rsidRDefault="00B97BF5" w:rsidP="000B7DD3">
      <w:pPr>
        <w:tabs>
          <w:tab w:val="left" w:pos="1620"/>
        </w:tabs>
      </w:pPr>
    </w:p>
    <w:p w14:paraId="01A633DC" w14:textId="77777777" w:rsidR="00B97BF5" w:rsidRDefault="00B97BF5" w:rsidP="000B7DD3">
      <w:pPr>
        <w:tabs>
          <w:tab w:val="left" w:pos="1620"/>
        </w:tabs>
      </w:pPr>
    </w:p>
    <w:p w14:paraId="4ECFBE01" w14:textId="77777777" w:rsidR="00B97BF5" w:rsidRDefault="00B97BF5" w:rsidP="000B7DD3">
      <w:pPr>
        <w:tabs>
          <w:tab w:val="left" w:pos="1620"/>
        </w:tabs>
      </w:pPr>
    </w:p>
    <w:p w14:paraId="5D77FE59" w14:textId="77777777" w:rsidR="00B97BF5" w:rsidRDefault="00B97BF5" w:rsidP="000B7DD3">
      <w:pPr>
        <w:tabs>
          <w:tab w:val="left" w:pos="1620"/>
        </w:tabs>
      </w:pPr>
    </w:p>
    <w:p w14:paraId="54E30B97" w14:textId="77777777" w:rsidR="00B97BF5" w:rsidRDefault="00B97BF5" w:rsidP="000B7DD3">
      <w:pPr>
        <w:tabs>
          <w:tab w:val="left" w:pos="1620"/>
        </w:tabs>
      </w:pPr>
    </w:p>
    <w:p w14:paraId="396EE676" w14:textId="77777777" w:rsidR="00B97BF5" w:rsidRDefault="00B97BF5" w:rsidP="000B7DD3">
      <w:pPr>
        <w:tabs>
          <w:tab w:val="left" w:pos="1620"/>
        </w:tabs>
      </w:pPr>
    </w:p>
    <w:p w14:paraId="0DA96271" w14:textId="77777777" w:rsidR="00B97BF5" w:rsidRDefault="00B97BF5" w:rsidP="000B7DD3">
      <w:pPr>
        <w:tabs>
          <w:tab w:val="left" w:pos="1620"/>
        </w:tabs>
      </w:pPr>
    </w:p>
    <w:p w14:paraId="3F06E733" w14:textId="77777777" w:rsidR="00B97BF5" w:rsidRDefault="00B97BF5" w:rsidP="000B7DD3">
      <w:pPr>
        <w:tabs>
          <w:tab w:val="left" w:pos="1620"/>
        </w:tabs>
      </w:pPr>
    </w:p>
    <w:p w14:paraId="56799559" w14:textId="77777777" w:rsidR="00B97BF5" w:rsidRDefault="00B97BF5" w:rsidP="000B7DD3">
      <w:pPr>
        <w:tabs>
          <w:tab w:val="left" w:pos="1620"/>
        </w:tabs>
      </w:pPr>
    </w:p>
    <w:p w14:paraId="3B4C821E" w14:textId="1E3164F9" w:rsidR="004D4AA2" w:rsidRDefault="00320017" w:rsidP="00320017">
      <w:pPr>
        <w:tabs>
          <w:tab w:val="left" w:pos="1701"/>
        </w:tabs>
        <w:jc w:val="center"/>
        <w:rPr>
          <w:b/>
        </w:rPr>
      </w:pPr>
      <w:r>
        <w:rPr>
          <w:b/>
        </w:rPr>
        <w:lastRenderedPageBreak/>
        <w:t xml:space="preserve">                                                                                                   </w:t>
      </w:r>
      <w:r w:rsidR="004D4AA2">
        <w:rPr>
          <w:b/>
        </w:rPr>
        <w:t>Bilaga 2</w:t>
      </w:r>
    </w:p>
    <w:p w14:paraId="01288E65" w14:textId="77777777" w:rsidR="004D4AA2" w:rsidRDefault="004D4AA2" w:rsidP="004D4AA2">
      <w:pPr>
        <w:tabs>
          <w:tab w:val="left" w:pos="1701"/>
        </w:tabs>
        <w:jc w:val="right"/>
      </w:pPr>
      <w:r>
        <w:t>till protokoll</w:t>
      </w:r>
    </w:p>
    <w:p w14:paraId="558E7756" w14:textId="3F26FE53" w:rsidR="004D4AA2" w:rsidRDefault="00320017" w:rsidP="00320017">
      <w:pPr>
        <w:tabs>
          <w:tab w:val="left" w:pos="1620"/>
        </w:tabs>
        <w:jc w:val="center"/>
      </w:pPr>
      <w:r>
        <w:t xml:space="preserve">                                                                                                       </w:t>
      </w:r>
      <w:r w:rsidR="004D4AA2">
        <w:t>2025/26:28</w:t>
      </w:r>
    </w:p>
    <w:p w14:paraId="514A5769" w14:textId="77777777" w:rsidR="004D4AA2" w:rsidRDefault="004D4AA2" w:rsidP="004D4AA2">
      <w:pPr>
        <w:tabs>
          <w:tab w:val="left" w:pos="1620"/>
        </w:tabs>
        <w:jc w:val="right"/>
      </w:pPr>
    </w:p>
    <w:p w14:paraId="7D78CC25" w14:textId="77777777" w:rsidR="004D4AA2" w:rsidRPr="00131AF7" w:rsidRDefault="004D4AA2" w:rsidP="004D4AA2">
      <w:pPr>
        <w:spacing w:after="120" w:line="276" w:lineRule="auto"/>
        <w:rPr>
          <w:b/>
          <w:bCs/>
        </w:rPr>
      </w:pPr>
      <w:r w:rsidRPr="00131AF7">
        <w:rPr>
          <w:b/>
          <w:bCs/>
        </w:rPr>
        <w:t>Förslag till svensk ståndpunk</w:t>
      </w:r>
      <w:r>
        <w:rPr>
          <w:b/>
          <w:bCs/>
        </w:rPr>
        <w:t>t</w:t>
      </w:r>
    </w:p>
    <w:p w14:paraId="1E3CA732" w14:textId="77777777" w:rsidR="004D4AA2" w:rsidRDefault="004D4AA2" w:rsidP="004D4AA2">
      <w:pPr>
        <w:tabs>
          <w:tab w:val="left" w:pos="1701"/>
        </w:tabs>
        <w:spacing w:after="120" w:line="276" w:lineRule="auto"/>
      </w:pPr>
      <w:r w:rsidRPr="006E2971">
        <w:t xml:space="preserve">Regeringen anser att Sverige bör delta aktivt i diskussionerna om utformningen av det kommande förslaget till reviderad förordning och föreslår därför den preliminära och övergripande ståndpunkt som presenteras nedan. Europols budget bestäms inom ramen för pågående förhandlingar om EU:s fleråriga finansiella ramverk (MFF). Ståndpunkten föregriper inte svenska ställningstaganden inom förhandlingarna om det finansiella ramverket eller Europols budget och är förenlig med Sveriges budgetrestriktiva hållning. </w:t>
      </w:r>
    </w:p>
    <w:p w14:paraId="17E6F778" w14:textId="77777777" w:rsidR="004D4AA2" w:rsidRDefault="004D4AA2" w:rsidP="004D4AA2">
      <w:pPr>
        <w:tabs>
          <w:tab w:val="left" w:pos="1701"/>
        </w:tabs>
        <w:spacing w:line="276" w:lineRule="auto"/>
      </w:pPr>
      <w:r w:rsidRPr="006E2971">
        <w:t>En allt större del av den grova och organiserade brottsligheten har internationella kopplingar, vilket innebär att Europol får en allt viktigare roll</w:t>
      </w:r>
      <w:r>
        <w:t xml:space="preserve"> </w:t>
      </w:r>
      <w:r w:rsidRPr="006E2971">
        <w:t xml:space="preserve">när det gäller att stödja gränsöverskridande brottsbekämpning. Brottsbekämpningen i EU har haft stor nytta av informationsutbytet och de nya arbetsmetoder som Europol har utvecklat. Viktiga åtgärder har vidtagits under de senaste åren för att stärka Europols roll, men regeringen är av uppfattningen att mer behöver göras för att hålla jämna steg med utvecklingen av den gränsöverskridande brottsligheten, utan att det sker på bekostnad av medlemsstaternas befogenheter på området. Regeringen välkomnar därför en översyn av förordningen som styr Europols verksamhet och har för avsikt att verka för att följande fyra områden inkluderas och beaktas i den nya förordningen. </w:t>
      </w:r>
    </w:p>
    <w:p w14:paraId="12B062F4" w14:textId="77777777" w:rsidR="004D4AA2" w:rsidRDefault="004D4AA2" w:rsidP="004D4AA2">
      <w:pPr>
        <w:tabs>
          <w:tab w:val="left" w:pos="1701"/>
        </w:tabs>
        <w:spacing w:line="276" w:lineRule="auto"/>
      </w:pPr>
    </w:p>
    <w:p w14:paraId="13D0F280" w14:textId="77777777" w:rsidR="004D4AA2" w:rsidRPr="006E2971" w:rsidRDefault="004D4AA2" w:rsidP="004D4AA2">
      <w:pPr>
        <w:tabs>
          <w:tab w:val="left" w:pos="1701"/>
        </w:tabs>
        <w:spacing w:after="120" w:line="276" w:lineRule="auto"/>
        <w:rPr>
          <w:b/>
          <w:bCs/>
        </w:rPr>
      </w:pPr>
      <w:r w:rsidRPr="006E2971">
        <w:rPr>
          <w:b/>
          <w:bCs/>
        </w:rPr>
        <w:t>1. Stärka Europols roll som ett nav för utbyte av bearbetning av information</w:t>
      </w:r>
    </w:p>
    <w:p w14:paraId="51F3D365" w14:textId="77777777" w:rsidR="004D4AA2" w:rsidRDefault="004D4AA2" w:rsidP="004D4AA2">
      <w:pPr>
        <w:tabs>
          <w:tab w:val="left" w:pos="1701"/>
        </w:tabs>
        <w:spacing w:after="120" w:line="276" w:lineRule="auto"/>
      </w:pPr>
      <w:r w:rsidRPr="006E2971">
        <w:t xml:space="preserve">Tillgång till information och att rätt information når rätt aktör i tid är avgörande för det brottsbekämpande arbetet. Det finns ett antal åtgärder som bör vidtas för att öka och effektivisera Europols möjligheter att lagra, bearbeta och dela de stora mängder information som digitaliseringen av samhället fört med sig. Exempelvis bör möjligheten till fjärråtkomst till Europols uppgiftssamlingar för gemensam analys och behandling förbättras. Regeringen avser därtill verka för en mer ändamålsenlig tillsyn av Europols verksamhet som inte bygger upp obefogad byråkrati och praktiska hinder för en effektiv brottsbekämpning. Vidare behöver formerna för den </w:t>
      </w:r>
      <w:proofErr w:type="gramStart"/>
      <w:r w:rsidRPr="006E2971">
        <w:t>Europeiska</w:t>
      </w:r>
      <w:proofErr w:type="gramEnd"/>
      <w:r w:rsidRPr="006E2971">
        <w:t xml:space="preserve"> datatillsynsmannens (EDPS) tillsyn ses över och moderniseras för att vara ändamålsenliga för verksamheten. </w:t>
      </w:r>
    </w:p>
    <w:p w14:paraId="12019AB1" w14:textId="77777777" w:rsidR="004D4AA2" w:rsidRDefault="004D4AA2" w:rsidP="004D4AA2">
      <w:pPr>
        <w:tabs>
          <w:tab w:val="left" w:pos="1701"/>
        </w:tabs>
        <w:spacing w:after="120" w:line="276" w:lineRule="auto"/>
      </w:pPr>
      <w:r w:rsidRPr="006E2971">
        <w:t>Regeringen ser även att det finns ett mervärde med att ge Europol vissa utökade befogenheter för Europol att inhämta information online där den geografiska jurisdiktionen över brottsligheten kan vara svår att fastställa.</w:t>
      </w:r>
    </w:p>
    <w:p w14:paraId="62983956" w14:textId="77777777" w:rsidR="004D4AA2" w:rsidRDefault="004D4AA2" w:rsidP="004D4AA2">
      <w:pPr>
        <w:tabs>
          <w:tab w:val="left" w:pos="1701"/>
        </w:tabs>
        <w:spacing w:line="276" w:lineRule="auto"/>
      </w:pPr>
      <w:r w:rsidRPr="006E2971">
        <w:t xml:space="preserve">Samtliga åtgärder för att effektivisera Europols möjligheter att utföra sitt uppdrag innebär att avvägningar behöver göras mellan förordningens </w:t>
      </w:r>
      <w:r w:rsidRPr="006E2971">
        <w:lastRenderedPageBreak/>
        <w:t xml:space="preserve">nuvarande, relativt detaljerade, dataskyddsbestämmelser och brottsbekämpningens behov av mer effektiva processer för att behandla en exponentiellt ökande datamängd. Regeringen avser verka för att hitta lösningar som ökar effektiviteten men utan att göra avkall på behovet av ett fullgott skydd för personuppgifter. </w:t>
      </w:r>
    </w:p>
    <w:p w14:paraId="04DC8B90" w14:textId="77777777" w:rsidR="004D4AA2" w:rsidRDefault="004D4AA2" w:rsidP="004D4AA2">
      <w:pPr>
        <w:tabs>
          <w:tab w:val="left" w:pos="1701"/>
        </w:tabs>
        <w:spacing w:line="276" w:lineRule="auto"/>
      </w:pPr>
    </w:p>
    <w:p w14:paraId="1BE2B555" w14:textId="77777777" w:rsidR="004D4AA2" w:rsidRDefault="004D4AA2" w:rsidP="004D4AA2">
      <w:pPr>
        <w:tabs>
          <w:tab w:val="left" w:pos="1701"/>
        </w:tabs>
        <w:spacing w:after="120" w:line="276" w:lineRule="auto"/>
      </w:pPr>
      <w:r w:rsidRPr="006E2971">
        <w:rPr>
          <w:b/>
          <w:bCs/>
        </w:rPr>
        <w:t>2. Utvidga Europols brottskatalog</w:t>
      </w:r>
      <w:r w:rsidRPr="006E2971">
        <w:t xml:space="preserve"> </w:t>
      </w:r>
    </w:p>
    <w:p w14:paraId="63534330" w14:textId="72F8C02B" w:rsidR="004D4AA2" w:rsidRDefault="004D4AA2" w:rsidP="004D4AA2">
      <w:pPr>
        <w:tabs>
          <w:tab w:val="left" w:pos="1701"/>
        </w:tabs>
        <w:spacing w:line="276" w:lineRule="auto"/>
      </w:pPr>
      <w:r w:rsidRPr="006E2971">
        <w:t>Regeringen ser att det finns ett operativt mervärde med att utvidga Europols brottskatalog till att också omfatta vissa brott mot samhällsviktig verksamhet. Regeringen avser därför verka för att Europol ges befogenhet att inhämta information och stödja medlemsstaterna i att skapa en lägesbild rörande vissa brott som idag inte omfattas, i huvudsak sabotage och brott mot luftfartslagen. Eftersom denna typ av brottslighet kan utgöra en del av främmande makts hybridoperationer och därmed röra nationell säkerhet, är det dock viktigt att tydligt avgränsa såväl definitionen av brottet som Europols roll för att säkerställa respekten för nationell kompetens enligt EU</w:t>
      </w:r>
      <w:r w:rsidR="00051B2B">
        <w:t>-</w:t>
      </w:r>
      <w:r w:rsidRPr="006E2971">
        <w:t xml:space="preserve">fördragen. </w:t>
      </w:r>
    </w:p>
    <w:p w14:paraId="0C4562F4" w14:textId="77777777" w:rsidR="004D4AA2" w:rsidRDefault="004D4AA2" w:rsidP="004D4AA2">
      <w:pPr>
        <w:tabs>
          <w:tab w:val="left" w:pos="1701"/>
        </w:tabs>
        <w:spacing w:line="276" w:lineRule="auto"/>
      </w:pPr>
    </w:p>
    <w:p w14:paraId="5CF1EE4D" w14:textId="77777777" w:rsidR="004D4AA2" w:rsidRDefault="004D4AA2" w:rsidP="004D4AA2">
      <w:pPr>
        <w:tabs>
          <w:tab w:val="left" w:pos="1701"/>
        </w:tabs>
        <w:spacing w:after="120" w:line="276" w:lineRule="auto"/>
      </w:pPr>
      <w:r w:rsidRPr="006E2971">
        <w:rPr>
          <w:b/>
          <w:bCs/>
        </w:rPr>
        <w:t>3. Bättre förutsättningar att samla expertis och utveckla gemensamma</w:t>
      </w:r>
      <w:r w:rsidRPr="006E2971">
        <w:t xml:space="preserve"> </w:t>
      </w:r>
      <w:r w:rsidRPr="006E2971">
        <w:rPr>
          <w:b/>
          <w:bCs/>
        </w:rPr>
        <w:t>verktyg</w:t>
      </w:r>
      <w:r w:rsidRPr="006E2971">
        <w:t xml:space="preserve"> </w:t>
      </w:r>
    </w:p>
    <w:p w14:paraId="484FDAA3" w14:textId="77777777" w:rsidR="004D4AA2" w:rsidRDefault="004D4AA2" w:rsidP="004D4AA2">
      <w:pPr>
        <w:tabs>
          <w:tab w:val="left" w:pos="1701"/>
        </w:tabs>
        <w:spacing w:after="120" w:line="276" w:lineRule="auto"/>
      </w:pPr>
      <w:r w:rsidRPr="006E2971">
        <w:t xml:space="preserve">Regeringen anser att Europol behöver ges bättre förutsättningar att samla expertis och utveckla gemensamma verktyg inom områden som är kostsamma för medlemsstaterna att utveckla var för sig. Det kan handla om att utveckla den tekniska infrastruktur som behövs för det gränsöverskridande brottsbekämpande samarbetet, exempelvis för att gemensamt lagra stora mängder data för gemensam åtkomst och bearbetning och spåra kryptovalutor, vilket behövs för att bekämpa bland annat människohandel, cyberbrott och avancerad ekonomisk brottslighet. </w:t>
      </w:r>
    </w:p>
    <w:p w14:paraId="3A8370D0" w14:textId="77777777" w:rsidR="004D4AA2" w:rsidRDefault="004D4AA2" w:rsidP="004D4AA2">
      <w:pPr>
        <w:tabs>
          <w:tab w:val="left" w:pos="1701"/>
        </w:tabs>
        <w:spacing w:line="276" w:lineRule="auto"/>
      </w:pPr>
      <w:r w:rsidRPr="006E2971">
        <w:t>För att kunna fokusera på sitt ovan exemplifierade specialiststöd åt medlemsstaterna är det regeringens uppfattning att Europols resurser inte bör användas till att sända ut operativ personal till medlemsstaterna för att generellt stödja brottsbekämpningen. Sådan verksamhet är mycket kostnadsdrivande, riskerar att utarma medlemsstaternas personalresurser och tar fokus och resurser från det som regeringen anser bör vara Europols kärnverksamhet, dvs. informationsutbyte och utveckling av spetskompetens.</w:t>
      </w:r>
    </w:p>
    <w:p w14:paraId="5F8BADFB" w14:textId="77777777" w:rsidR="004D4AA2" w:rsidRDefault="004D4AA2" w:rsidP="004D4AA2">
      <w:pPr>
        <w:tabs>
          <w:tab w:val="left" w:pos="1701"/>
        </w:tabs>
        <w:spacing w:line="276" w:lineRule="auto"/>
      </w:pPr>
    </w:p>
    <w:p w14:paraId="0C9E6EE6" w14:textId="77777777" w:rsidR="004D4AA2" w:rsidRDefault="004D4AA2" w:rsidP="004D4AA2">
      <w:pPr>
        <w:tabs>
          <w:tab w:val="left" w:pos="1701"/>
        </w:tabs>
        <w:spacing w:after="120" w:line="276" w:lineRule="auto"/>
      </w:pPr>
      <w:r w:rsidRPr="006E2971">
        <w:rPr>
          <w:b/>
          <w:bCs/>
        </w:rPr>
        <w:t>4. Undvika överreglering</w:t>
      </w:r>
      <w:r w:rsidRPr="006E2971">
        <w:t xml:space="preserve"> </w:t>
      </w:r>
    </w:p>
    <w:p w14:paraId="006B8A5F" w14:textId="35111292" w:rsidR="00E0535B" w:rsidRPr="00B97BF5" w:rsidRDefault="004D4AA2" w:rsidP="004D4AA2">
      <w:pPr>
        <w:tabs>
          <w:tab w:val="left" w:pos="1701"/>
          <w:tab w:val="left" w:pos="7230"/>
        </w:tabs>
        <w:spacing w:line="276" w:lineRule="auto"/>
        <w:ind w:right="282"/>
        <w:rPr>
          <w:b/>
        </w:rPr>
      </w:pPr>
      <w:r w:rsidRPr="006E2971">
        <w:t>En för regeringen viktig fråga i förhandlingarna kommer att vara att inte överkodifiera Europols verksamhet. Om för mycket av Europols operativa arbete regleras i detalj på förordningsnivå försämras möjligheterna att på ett flexibelt sätt anpassa metoder och organisation över tid, vilket är nödvändigt att göra i takt med att brottsligheten förändras. Detsamma gäller för tekniska lösningar; förordningen bör förbli teknikneutral för att undvika att lagstiftningen blir föråldrad när tekniken utvecklas.</w:t>
      </w:r>
    </w:p>
    <w:sectPr w:rsidR="00E0535B" w:rsidRPr="00B97BF5" w:rsidSect="00876557">
      <w:headerReference w:type="even" r:id="rId8"/>
      <w:headerReference w:type="default" r:id="rId9"/>
      <w:headerReference w:type="first" r:id="rId10"/>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4F5" w14:textId="6E1DF0E9" w:rsidR="005012B1" w:rsidRDefault="005012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241" w14:textId="6D72F495" w:rsidR="005012B1" w:rsidRDefault="005012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6B86" w14:textId="4F50E521" w:rsidR="005012B1" w:rsidRDefault="00501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6354"/>
    <w:multiLevelType w:val="multilevel"/>
    <w:tmpl w:val="BDAAC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844C5"/>
    <w:multiLevelType w:val="hybridMultilevel"/>
    <w:tmpl w:val="5FCEF574"/>
    <w:lvl w:ilvl="0" w:tplc="59B85758">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0D5C24"/>
    <w:multiLevelType w:val="hybridMultilevel"/>
    <w:tmpl w:val="CE7E4E54"/>
    <w:lvl w:ilvl="0" w:tplc="53A8ECB0">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D814AD9"/>
    <w:multiLevelType w:val="hybridMultilevel"/>
    <w:tmpl w:val="47ECA682"/>
    <w:lvl w:ilvl="0" w:tplc="B1E07796">
      <w:start w:val="1"/>
      <w:numFmt w:val="decimal"/>
      <w:lvlText w:val="%1."/>
      <w:lvlJc w:val="left"/>
      <w:pPr>
        <w:ind w:left="1224" w:hanging="360"/>
      </w:pPr>
      <w:rPr>
        <w:rFonts w:hint="default"/>
      </w:rPr>
    </w:lvl>
    <w:lvl w:ilvl="1" w:tplc="041D0019" w:tentative="1">
      <w:start w:val="1"/>
      <w:numFmt w:val="lowerLetter"/>
      <w:lvlText w:val="%2."/>
      <w:lvlJc w:val="left"/>
      <w:pPr>
        <w:ind w:left="1944" w:hanging="360"/>
      </w:pPr>
    </w:lvl>
    <w:lvl w:ilvl="2" w:tplc="041D001B" w:tentative="1">
      <w:start w:val="1"/>
      <w:numFmt w:val="lowerRoman"/>
      <w:lvlText w:val="%3."/>
      <w:lvlJc w:val="right"/>
      <w:pPr>
        <w:ind w:left="2664" w:hanging="180"/>
      </w:pPr>
    </w:lvl>
    <w:lvl w:ilvl="3" w:tplc="041D000F" w:tentative="1">
      <w:start w:val="1"/>
      <w:numFmt w:val="decimal"/>
      <w:lvlText w:val="%4."/>
      <w:lvlJc w:val="left"/>
      <w:pPr>
        <w:ind w:left="3384" w:hanging="360"/>
      </w:pPr>
    </w:lvl>
    <w:lvl w:ilvl="4" w:tplc="041D0019" w:tentative="1">
      <w:start w:val="1"/>
      <w:numFmt w:val="lowerLetter"/>
      <w:lvlText w:val="%5."/>
      <w:lvlJc w:val="left"/>
      <w:pPr>
        <w:ind w:left="4104" w:hanging="360"/>
      </w:pPr>
    </w:lvl>
    <w:lvl w:ilvl="5" w:tplc="041D001B" w:tentative="1">
      <w:start w:val="1"/>
      <w:numFmt w:val="lowerRoman"/>
      <w:lvlText w:val="%6."/>
      <w:lvlJc w:val="right"/>
      <w:pPr>
        <w:ind w:left="4824" w:hanging="180"/>
      </w:pPr>
    </w:lvl>
    <w:lvl w:ilvl="6" w:tplc="041D000F" w:tentative="1">
      <w:start w:val="1"/>
      <w:numFmt w:val="decimal"/>
      <w:lvlText w:val="%7."/>
      <w:lvlJc w:val="left"/>
      <w:pPr>
        <w:ind w:left="5544" w:hanging="360"/>
      </w:pPr>
    </w:lvl>
    <w:lvl w:ilvl="7" w:tplc="041D0019" w:tentative="1">
      <w:start w:val="1"/>
      <w:numFmt w:val="lowerLetter"/>
      <w:lvlText w:val="%8."/>
      <w:lvlJc w:val="left"/>
      <w:pPr>
        <w:ind w:left="6264" w:hanging="360"/>
      </w:pPr>
    </w:lvl>
    <w:lvl w:ilvl="8" w:tplc="041D001B" w:tentative="1">
      <w:start w:val="1"/>
      <w:numFmt w:val="lowerRoman"/>
      <w:lvlText w:val="%9."/>
      <w:lvlJc w:val="right"/>
      <w:pPr>
        <w:ind w:left="6984" w:hanging="180"/>
      </w:pPr>
    </w:lvl>
  </w:abstractNum>
  <w:abstractNum w:abstractNumId="22"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16cid:durableId="335503809">
    <w:abstractNumId w:val="19"/>
  </w:num>
  <w:num w:numId="2" w16cid:durableId="578029451">
    <w:abstractNumId w:val="8"/>
  </w:num>
  <w:num w:numId="3" w16cid:durableId="1339962950">
    <w:abstractNumId w:val="3"/>
  </w:num>
  <w:num w:numId="4" w16cid:durableId="1233468614">
    <w:abstractNumId w:val="2"/>
  </w:num>
  <w:num w:numId="5" w16cid:durableId="1285769030">
    <w:abstractNumId w:val="1"/>
  </w:num>
  <w:num w:numId="6" w16cid:durableId="717315308">
    <w:abstractNumId w:val="0"/>
  </w:num>
  <w:num w:numId="7" w16cid:durableId="616105752">
    <w:abstractNumId w:val="9"/>
  </w:num>
  <w:num w:numId="8" w16cid:durableId="929702888">
    <w:abstractNumId w:val="7"/>
  </w:num>
  <w:num w:numId="9" w16cid:durableId="835464128">
    <w:abstractNumId w:val="6"/>
  </w:num>
  <w:num w:numId="10" w16cid:durableId="1253855615">
    <w:abstractNumId w:val="5"/>
  </w:num>
  <w:num w:numId="11" w16cid:durableId="225410914">
    <w:abstractNumId w:val="4"/>
  </w:num>
  <w:num w:numId="12" w16cid:durableId="1981956891">
    <w:abstractNumId w:val="16"/>
  </w:num>
  <w:num w:numId="13" w16cid:durableId="472989425">
    <w:abstractNumId w:val="14"/>
  </w:num>
  <w:num w:numId="14" w16cid:durableId="940141301">
    <w:abstractNumId w:val="15"/>
  </w:num>
  <w:num w:numId="15" w16cid:durableId="836308591">
    <w:abstractNumId w:val="11"/>
  </w:num>
  <w:num w:numId="16" w16cid:durableId="582178706">
    <w:abstractNumId w:val="18"/>
  </w:num>
  <w:num w:numId="17" w16cid:durableId="807628562">
    <w:abstractNumId w:val="20"/>
  </w:num>
  <w:num w:numId="18" w16cid:durableId="344285292">
    <w:abstractNumId w:val="13"/>
  </w:num>
  <w:num w:numId="19" w16cid:durableId="1658146499">
    <w:abstractNumId w:val="23"/>
  </w:num>
  <w:num w:numId="20" w16cid:durableId="1211846970">
    <w:abstractNumId w:val="22"/>
  </w:num>
  <w:num w:numId="21" w16cid:durableId="1378966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5378353">
    <w:abstractNumId w:val="21"/>
  </w:num>
  <w:num w:numId="23" w16cid:durableId="843596536">
    <w:abstractNumId w:val="12"/>
  </w:num>
  <w:num w:numId="24" w16cid:durableId="660815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031AD"/>
    <w:rsid w:val="00003487"/>
    <w:rsid w:val="00012B09"/>
    <w:rsid w:val="00012F6F"/>
    <w:rsid w:val="0001354B"/>
    <w:rsid w:val="00016AAD"/>
    <w:rsid w:val="00022654"/>
    <w:rsid w:val="00026C42"/>
    <w:rsid w:val="0003066B"/>
    <w:rsid w:val="0003128F"/>
    <w:rsid w:val="0003185D"/>
    <w:rsid w:val="00031D60"/>
    <w:rsid w:val="00042C95"/>
    <w:rsid w:val="00046D4E"/>
    <w:rsid w:val="00051B2B"/>
    <w:rsid w:val="00054F67"/>
    <w:rsid w:val="0006043F"/>
    <w:rsid w:val="00062A3D"/>
    <w:rsid w:val="000638AE"/>
    <w:rsid w:val="00064A5C"/>
    <w:rsid w:val="000665D9"/>
    <w:rsid w:val="000668FF"/>
    <w:rsid w:val="00067EC7"/>
    <w:rsid w:val="00072835"/>
    <w:rsid w:val="00074062"/>
    <w:rsid w:val="00077D20"/>
    <w:rsid w:val="0008055A"/>
    <w:rsid w:val="00081824"/>
    <w:rsid w:val="000827B8"/>
    <w:rsid w:val="00087748"/>
    <w:rsid w:val="00090EC9"/>
    <w:rsid w:val="00090EFB"/>
    <w:rsid w:val="000914FB"/>
    <w:rsid w:val="00092B94"/>
    <w:rsid w:val="00092DCB"/>
    <w:rsid w:val="0009441D"/>
    <w:rsid w:val="00094A50"/>
    <w:rsid w:val="000A06B0"/>
    <w:rsid w:val="000B1208"/>
    <w:rsid w:val="000B35AA"/>
    <w:rsid w:val="000B7DD3"/>
    <w:rsid w:val="000C20B7"/>
    <w:rsid w:val="000D1C7D"/>
    <w:rsid w:val="000D3A74"/>
    <w:rsid w:val="000D5599"/>
    <w:rsid w:val="000D7059"/>
    <w:rsid w:val="000E1A00"/>
    <w:rsid w:val="000E72AC"/>
    <w:rsid w:val="000F328E"/>
    <w:rsid w:val="000F6D76"/>
    <w:rsid w:val="000F7A59"/>
    <w:rsid w:val="00104FB7"/>
    <w:rsid w:val="00110223"/>
    <w:rsid w:val="00112470"/>
    <w:rsid w:val="00112EF0"/>
    <w:rsid w:val="0011723B"/>
    <w:rsid w:val="00120C12"/>
    <w:rsid w:val="0012215E"/>
    <w:rsid w:val="00125C12"/>
    <w:rsid w:val="00127E96"/>
    <w:rsid w:val="00131AF7"/>
    <w:rsid w:val="00140646"/>
    <w:rsid w:val="00152092"/>
    <w:rsid w:val="00152ADB"/>
    <w:rsid w:val="00157636"/>
    <w:rsid w:val="001619A2"/>
    <w:rsid w:val="00163D56"/>
    <w:rsid w:val="00166224"/>
    <w:rsid w:val="0016738D"/>
    <w:rsid w:val="00170479"/>
    <w:rsid w:val="0017748E"/>
    <w:rsid w:val="0018067D"/>
    <w:rsid w:val="00181D8B"/>
    <w:rsid w:val="00184017"/>
    <w:rsid w:val="001936CF"/>
    <w:rsid w:val="0019370B"/>
    <w:rsid w:val="001A38A2"/>
    <w:rsid w:val="001A5270"/>
    <w:rsid w:val="001B1E1F"/>
    <w:rsid w:val="001B31B0"/>
    <w:rsid w:val="001B564B"/>
    <w:rsid w:val="001B6C70"/>
    <w:rsid w:val="001C4673"/>
    <w:rsid w:val="001C6AEB"/>
    <w:rsid w:val="001C76B1"/>
    <w:rsid w:val="001D4265"/>
    <w:rsid w:val="001D470C"/>
    <w:rsid w:val="001D696F"/>
    <w:rsid w:val="001E2712"/>
    <w:rsid w:val="001E28A8"/>
    <w:rsid w:val="001E292F"/>
    <w:rsid w:val="001E6062"/>
    <w:rsid w:val="001E60AF"/>
    <w:rsid w:val="001E69FC"/>
    <w:rsid w:val="001E707C"/>
    <w:rsid w:val="001F2123"/>
    <w:rsid w:val="001F34F6"/>
    <w:rsid w:val="0020396B"/>
    <w:rsid w:val="00205E38"/>
    <w:rsid w:val="0021031B"/>
    <w:rsid w:val="002139F4"/>
    <w:rsid w:val="00213B15"/>
    <w:rsid w:val="002157A2"/>
    <w:rsid w:val="00217991"/>
    <w:rsid w:val="002212DB"/>
    <w:rsid w:val="0022246E"/>
    <w:rsid w:val="00224D4A"/>
    <w:rsid w:val="00231BEF"/>
    <w:rsid w:val="002333BF"/>
    <w:rsid w:val="002355DE"/>
    <w:rsid w:val="0023579D"/>
    <w:rsid w:val="002366F9"/>
    <w:rsid w:val="00237316"/>
    <w:rsid w:val="0023763A"/>
    <w:rsid w:val="00237A6A"/>
    <w:rsid w:val="0025160C"/>
    <w:rsid w:val="002523C3"/>
    <w:rsid w:val="002572AC"/>
    <w:rsid w:val="002646EE"/>
    <w:rsid w:val="002715E7"/>
    <w:rsid w:val="00272112"/>
    <w:rsid w:val="00272B28"/>
    <w:rsid w:val="00275FC8"/>
    <w:rsid w:val="0028015F"/>
    <w:rsid w:val="00280BC7"/>
    <w:rsid w:val="00280F15"/>
    <w:rsid w:val="0028352D"/>
    <w:rsid w:val="00287882"/>
    <w:rsid w:val="002911EB"/>
    <w:rsid w:val="00292E49"/>
    <w:rsid w:val="002A0E7A"/>
    <w:rsid w:val="002A4EF0"/>
    <w:rsid w:val="002B10F4"/>
    <w:rsid w:val="002B112C"/>
    <w:rsid w:val="002B6197"/>
    <w:rsid w:val="002B6EA1"/>
    <w:rsid w:val="002B6EAF"/>
    <w:rsid w:val="002B7046"/>
    <w:rsid w:val="002B7485"/>
    <w:rsid w:val="002B7561"/>
    <w:rsid w:val="002C1EA1"/>
    <w:rsid w:val="002C3E38"/>
    <w:rsid w:val="002C7C0F"/>
    <w:rsid w:val="002D0684"/>
    <w:rsid w:val="002D0716"/>
    <w:rsid w:val="002E5432"/>
    <w:rsid w:val="002E718E"/>
    <w:rsid w:val="002F16C2"/>
    <w:rsid w:val="002F514C"/>
    <w:rsid w:val="002F783C"/>
    <w:rsid w:val="002F7CF0"/>
    <w:rsid w:val="0030037C"/>
    <w:rsid w:val="00302714"/>
    <w:rsid w:val="0030663F"/>
    <w:rsid w:val="003103FC"/>
    <w:rsid w:val="00310620"/>
    <w:rsid w:val="0031064D"/>
    <w:rsid w:val="00310681"/>
    <w:rsid w:val="003116F2"/>
    <w:rsid w:val="00312DB3"/>
    <w:rsid w:val="00314F34"/>
    <w:rsid w:val="003176E6"/>
    <w:rsid w:val="00320017"/>
    <w:rsid w:val="003200B4"/>
    <w:rsid w:val="00320BA9"/>
    <w:rsid w:val="00323E48"/>
    <w:rsid w:val="00333E42"/>
    <w:rsid w:val="00337EA6"/>
    <w:rsid w:val="0034533C"/>
    <w:rsid w:val="003520AA"/>
    <w:rsid w:val="00356C7C"/>
    <w:rsid w:val="00360652"/>
    <w:rsid w:val="00361D20"/>
    <w:rsid w:val="00362203"/>
    <w:rsid w:val="0036456E"/>
    <w:rsid w:val="00380454"/>
    <w:rsid w:val="003804E0"/>
    <w:rsid w:val="003830EE"/>
    <w:rsid w:val="0038512B"/>
    <w:rsid w:val="00386CC5"/>
    <w:rsid w:val="00387A08"/>
    <w:rsid w:val="00387D9E"/>
    <w:rsid w:val="00395AEB"/>
    <w:rsid w:val="003A012B"/>
    <w:rsid w:val="003A0BF1"/>
    <w:rsid w:val="003A0CE6"/>
    <w:rsid w:val="003A2E9D"/>
    <w:rsid w:val="003A3C2B"/>
    <w:rsid w:val="003B2990"/>
    <w:rsid w:val="003C7B83"/>
    <w:rsid w:val="003D4B89"/>
    <w:rsid w:val="003D4BEF"/>
    <w:rsid w:val="003D5474"/>
    <w:rsid w:val="003E0388"/>
    <w:rsid w:val="003E2224"/>
    <w:rsid w:val="003E3940"/>
    <w:rsid w:val="003E43FE"/>
    <w:rsid w:val="003E5FC3"/>
    <w:rsid w:val="003F07DD"/>
    <w:rsid w:val="00403F46"/>
    <w:rsid w:val="0040613F"/>
    <w:rsid w:val="00421F4C"/>
    <w:rsid w:val="004258BC"/>
    <w:rsid w:val="00430C27"/>
    <w:rsid w:val="00435004"/>
    <w:rsid w:val="004355CA"/>
    <w:rsid w:val="00442DA1"/>
    <w:rsid w:val="00443162"/>
    <w:rsid w:val="00450175"/>
    <w:rsid w:val="00452A12"/>
    <w:rsid w:val="0046049F"/>
    <w:rsid w:val="00461E15"/>
    <w:rsid w:val="0046261F"/>
    <w:rsid w:val="00462A62"/>
    <w:rsid w:val="0046391A"/>
    <w:rsid w:val="0047167B"/>
    <w:rsid w:val="00472CE9"/>
    <w:rsid w:val="00475669"/>
    <w:rsid w:val="00476A90"/>
    <w:rsid w:val="0047710C"/>
    <w:rsid w:val="00481351"/>
    <w:rsid w:val="00484B5B"/>
    <w:rsid w:val="00491D82"/>
    <w:rsid w:val="00491E91"/>
    <w:rsid w:val="00491FEC"/>
    <w:rsid w:val="00493DC6"/>
    <w:rsid w:val="00496AC5"/>
    <w:rsid w:val="00496C91"/>
    <w:rsid w:val="004A1AD8"/>
    <w:rsid w:val="004A53F0"/>
    <w:rsid w:val="004A7C2F"/>
    <w:rsid w:val="004B0A3A"/>
    <w:rsid w:val="004B47AA"/>
    <w:rsid w:val="004B6C8F"/>
    <w:rsid w:val="004C367B"/>
    <w:rsid w:val="004C67B0"/>
    <w:rsid w:val="004D4AA2"/>
    <w:rsid w:val="004E3CF1"/>
    <w:rsid w:val="004E5EE0"/>
    <w:rsid w:val="004E6B2E"/>
    <w:rsid w:val="004E7F7B"/>
    <w:rsid w:val="004F2FA5"/>
    <w:rsid w:val="004F5F7B"/>
    <w:rsid w:val="005008E4"/>
    <w:rsid w:val="005012B1"/>
    <w:rsid w:val="005014B9"/>
    <w:rsid w:val="00502CC8"/>
    <w:rsid w:val="005044E4"/>
    <w:rsid w:val="0050636D"/>
    <w:rsid w:val="005128A0"/>
    <w:rsid w:val="00514E30"/>
    <w:rsid w:val="005208F2"/>
    <w:rsid w:val="00524D6B"/>
    <w:rsid w:val="00525BBE"/>
    <w:rsid w:val="0052672A"/>
    <w:rsid w:val="0052677D"/>
    <w:rsid w:val="005315D0"/>
    <w:rsid w:val="00541320"/>
    <w:rsid w:val="005556E5"/>
    <w:rsid w:val="005576BB"/>
    <w:rsid w:val="00561C06"/>
    <w:rsid w:val="0056254D"/>
    <w:rsid w:val="00574110"/>
    <w:rsid w:val="005744C4"/>
    <w:rsid w:val="005813BF"/>
    <w:rsid w:val="00582253"/>
    <w:rsid w:val="00585C22"/>
    <w:rsid w:val="005900E8"/>
    <w:rsid w:val="00592341"/>
    <w:rsid w:val="00592CAB"/>
    <w:rsid w:val="005A6E4F"/>
    <w:rsid w:val="005B3359"/>
    <w:rsid w:val="005B53F4"/>
    <w:rsid w:val="005C2B68"/>
    <w:rsid w:val="005C5D73"/>
    <w:rsid w:val="005C6A91"/>
    <w:rsid w:val="005D1620"/>
    <w:rsid w:val="005D4EB1"/>
    <w:rsid w:val="005D67A7"/>
    <w:rsid w:val="005E0903"/>
    <w:rsid w:val="005E7C57"/>
    <w:rsid w:val="005F1121"/>
    <w:rsid w:val="005F12A9"/>
    <w:rsid w:val="00602423"/>
    <w:rsid w:val="006048DE"/>
    <w:rsid w:val="0061098F"/>
    <w:rsid w:val="00610FF8"/>
    <w:rsid w:val="00613355"/>
    <w:rsid w:val="0061482E"/>
    <w:rsid w:val="00616642"/>
    <w:rsid w:val="00621C9D"/>
    <w:rsid w:val="00631CFE"/>
    <w:rsid w:val="00632C3D"/>
    <w:rsid w:val="0063596D"/>
    <w:rsid w:val="0064505D"/>
    <w:rsid w:val="006453DD"/>
    <w:rsid w:val="006477CA"/>
    <w:rsid w:val="00653792"/>
    <w:rsid w:val="0065419E"/>
    <w:rsid w:val="00654733"/>
    <w:rsid w:val="00661AF9"/>
    <w:rsid w:val="00662A01"/>
    <w:rsid w:val="0066307B"/>
    <w:rsid w:val="00665F18"/>
    <w:rsid w:val="00672DBC"/>
    <w:rsid w:val="0067415D"/>
    <w:rsid w:val="006756C3"/>
    <w:rsid w:val="00682E94"/>
    <w:rsid w:val="006833FD"/>
    <w:rsid w:val="006845BD"/>
    <w:rsid w:val="006849F1"/>
    <w:rsid w:val="00693DC4"/>
    <w:rsid w:val="00695A05"/>
    <w:rsid w:val="006965C9"/>
    <w:rsid w:val="006A5149"/>
    <w:rsid w:val="006A74D8"/>
    <w:rsid w:val="006B21D1"/>
    <w:rsid w:val="006C00D6"/>
    <w:rsid w:val="006C1674"/>
    <w:rsid w:val="006C3AA8"/>
    <w:rsid w:val="006C4D97"/>
    <w:rsid w:val="006C5D0A"/>
    <w:rsid w:val="006D2078"/>
    <w:rsid w:val="006D3AF9"/>
    <w:rsid w:val="006D646E"/>
    <w:rsid w:val="006E0D0C"/>
    <w:rsid w:val="006E1878"/>
    <w:rsid w:val="006E2971"/>
    <w:rsid w:val="006F03AB"/>
    <w:rsid w:val="006F49AE"/>
    <w:rsid w:val="006F5B38"/>
    <w:rsid w:val="006F60C6"/>
    <w:rsid w:val="007052FA"/>
    <w:rsid w:val="00705E9A"/>
    <w:rsid w:val="00712508"/>
    <w:rsid w:val="00712851"/>
    <w:rsid w:val="00712E1F"/>
    <w:rsid w:val="00714173"/>
    <w:rsid w:val="007149F6"/>
    <w:rsid w:val="007217B9"/>
    <w:rsid w:val="0072404A"/>
    <w:rsid w:val="00726897"/>
    <w:rsid w:val="00731E7D"/>
    <w:rsid w:val="0073276D"/>
    <w:rsid w:val="0073698F"/>
    <w:rsid w:val="0073797B"/>
    <w:rsid w:val="007414DB"/>
    <w:rsid w:val="00742996"/>
    <w:rsid w:val="00747DDA"/>
    <w:rsid w:val="007516A5"/>
    <w:rsid w:val="00752081"/>
    <w:rsid w:val="00753976"/>
    <w:rsid w:val="00753F31"/>
    <w:rsid w:val="00755EB8"/>
    <w:rsid w:val="00756EFD"/>
    <w:rsid w:val="007621B9"/>
    <w:rsid w:val="007659ED"/>
    <w:rsid w:val="0077771B"/>
    <w:rsid w:val="0078142A"/>
    <w:rsid w:val="00781CC8"/>
    <w:rsid w:val="0078442A"/>
    <w:rsid w:val="007A1FD3"/>
    <w:rsid w:val="007A3D9F"/>
    <w:rsid w:val="007A6F47"/>
    <w:rsid w:val="007B1C79"/>
    <w:rsid w:val="007B1F2C"/>
    <w:rsid w:val="007B5081"/>
    <w:rsid w:val="007B55DB"/>
    <w:rsid w:val="007B6145"/>
    <w:rsid w:val="007B66A4"/>
    <w:rsid w:val="007B6A85"/>
    <w:rsid w:val="007C1964"/>
    <w:rsid w:val="007C2FBF"/>
    <w:rsid w:val="007C3370"/>
    <w:rsid w:val="007C39E8"/>
    <w:rsid w:val="007C4961"/>
    <w:rsid w:val="007C4BA7"/>
    <w:rsid w:val="007C61E6"/>
    <w:rsid w:val="007C6B25"/>
    <w:rsid w:val="007D15F6"/>
    <w:rsid w:val="007D3323"/>
    <w:rsid w:val="007D4525"/>
    <w:rsid w:val="007E11BA"/>
    <w:rsid w:val="007E2A19"/>
    <w:rsid w:val="007E6798"/>
    <w:rsid w:val="007F15C7"/>
    <w:rsid w:val="00810F2C"/>
    <w:rsid w:val="00814A12"/>
    <w:rsid w:val="00815793"/>
    <w:rsid w:val="00817696"/>
    <w:rsid w:val="0082048B"/>
    <w:rsid w:val="0082554F"/>
    <w:rsid w:val="00827FE2"/>
    <w:rsid w:val="00832B26"/>
    <w:rsid w:val="00832FC4"/>
    <w:rsid w:val="0083750C"/>
    <w:rsid w:val="00852F57"/>
    <w:rsid w:val="0085349C"/>
    <w:rsid w:val="00862296"/>
    <w:rsid w:val="00862B75"/>
    <w:rsid w:val="00867956"/>
    <w:rsid w:val="008727E9"/>
    <w:rsid w:val="008732D3"/>
    <w:rsid w:val="00874A67"/>
    <w:rsid w:val="008752A1"/>
    <w:rsid w:val="00876557"/>
    <w:rsid w:val="00876B53"/>
    <w:rsid w:val="0088161C"/>
    <w:rsid w:val="00884A95"/>
    <w:rsid w:val="00885515"/>
    <w:rsid w:val="00886499"/>
    <w:rsid w:val="00894963"/>
    <w:rsid w:val="008A12CF"/>
    <w:rsid w:val="008A478F"/>
    <w:rsid w:val="008B06E2"/>
    <w:rsid w:val="008B301A"/>
    <w:rsid w:val="008B5393"/>
    <w:rsid w:val="008B7E86"/>
    <w:rsid w:val="008C6816"/>
    <w:rsid w:val="008D12A5"/>
    <w:rsid w:val="008D2E95"/>
    <w:rsid w:val="008D3BE8"/>
    <w:rsid w:val="008D6118"/>
    <w:rsid w:val="008F3668"/>
    <w:rsid w:val="008F5C48"/>
    <w:rsid w:val="008F7A58"/>
    <w:rsid w:val="008F7E88"/>
    <w:rsid w:val="009027D8"/>
    <w:rsid w:val="0090573C"/>
    <w:rsid w:val="009072DC"/>
    <w:rsid w:val="009108F4"/>
    <w:rsid w:val="0092109A"/>
    <w:rsid w:val="00921410"/>
    <w:rsid w:val="00925EF5"/>
    <w:rsid w:val="00930A84"/>
    <w:rsid w:val="00933EF1"/>
    <w:rsid w:val="00943F96"/>
    <w:rsid w:val="00953A8F"/>
    <w:rsid w:val="00953BEC"/>
    <w:rsid w:val="0095509D"/>
    <w:rsid w:val="00956F60"/>
    <w:rsid w:val="009612EF"/>
    <w:rsid w:val="0096189F"/>
    <w:rsid w:val="00963D03"/>
    <w:rsid w:val="009661A1"/>
    <w:rsid w:val="0096736E"/>
    <w:rsid w:val="009736CA"/>
    <w:rsid w:val="00976ABD"/>
    <w:rsid w:val="00980BA4"/>
    <w:rsid w:val="00984C82"/>
    <w:rsid w:val="009855B9"/>
    <w:rsid w:val="009861AE"/>
    <w:rsid w:val="0099214D"/>
    <w:rsid w:val="0099317A"/>
    <w:rsid w:val="00994F11"/>
    <w:rsid w:val="00995142"/>
    <w:rsid w:val="009A6EBB"/>
    <w:rsid w:val="009B0B33"/>
    <w:rsid w:val="009B4C2D"/>
    <w:rsid w:val="009B4F0C"/>
    <w:rsid w:val="009C1E1F"/>
    <w:rsid w:val="009C29BB"/>
    <w:rsid w:val="009C44D2"/>
    <w:rsid w:val="009C6A19"/>
    <w:rsid w:val="009D1200"/>
    <w:rsid w:val="009D744F"/>
    <w:rsid w:val="009D756B"/>
    <w:rsid w:val="009E00D2"/>
    <w:rsid w:val="009E3529"/>
    <w:rsid w:val="009E3EF0"/>
    <w:rsid w:val="009E498D"/>
    <w:rsid w:val="009E4B06"/>
    <w:rsid w:val="009E580F"/>
    <w:rsid w:val="009E5FE8"/>
    <w:rsid w:val="009E6DED"/>
    <w:rsid w:val="00A12DB8"/>
    <w:rsid w:val="00A14C12"/>
    <w:rsid w:val="00A30B27"/>
    <w:rsid w:val="00A32C67"/>
    <w:rsid w:val="00A343E8"/>
    <w:rsid w:val="00A3523B"/>
    <w:rsid w:val="00A37376"/>
    <w:rsid w:val="00A44C3C"/>
    <w:rsid w:val="00A44F94"/>
    <w:rsid w:val="00A46F10"/>
    <w:rsid w:val="00A47894"/>
    <w:rsid w:val="00A61851"/>
    <w:rsid w:val="00A656F2"/>
    <w:rsid w:val="00A666BE"/>
    <w:rsid w:val="00A70611"/>
    <w:rsid w:val="00A731ED"/>
    <w:rsid w:val="00A73B45"/>
    <w:rsid w:val="00A778B2"/>
    <w:rsid w:val="00A847CC"/>
    <w:rsid w:val="00A923C1"/>
    <w:rsid w:val="00A92EC5"/>
    <w:rsid w:val="00A939F5"/>
    <w:rsid w:val="00A97DBF"/>
    <w:rsid w:val="00AA1864"/>
    <w:rsid w:val="00AA1ECA"/>
    <w:rsid w:val="00AA3272"/>
    <w:rsid w:val="00AA492B"/>
    <w:rsid w:val="00AA54EC"/>
    <w:rsid w:val="00AB3729"/>
    <w:rsid w:val="00AC64ED"/>
    <w:rsid w:val="00AD0407"/>
    <w:rsid w:val="00AD05A2"/>
    <w:rsid w:val="00AD2A3B"/>
    <w:rsid w:val="00AD3A2D"/>
    <w:rsid w:val="00AE756C"/>
    <w:rsid w:val="00AF01DB"/>
    <w:rsid w:val="00B026D0"/>
    <w:rsid w:val="00B03372"/>
    <w:rsid w:val="00B03F4E"/>
    <w:rsid w:val="00B06312"/>
    <w:rsid w:val="00B07D51"/>
    <w:rsid w:val="00B15BBD"/>
    <w:rsid w:val="00B1701A"/>
    <w:rsid w:val="00B175DB"/>
    <w:rsid w:val="00B25EB1"/>
    <w:rsid w:val="00B32962"/>
    <w:rsid w:val="00B33A4A"/>
    <w:rsid w:val="00B353C5"/>
    <w:rsid w:val="00B36D79"/>
    <w:rsid w:val="00B41604"/>
    <w:rsid w:val="00B52E1B"/>
    <w:rsid w:val="00B5619E"/>
    <w:rsid w:val="00B626B9"/>
    <w:rsid w:val="00B63606"/>
    <w:rsid w:val="00B6677E"/>
    <w:rsid w:val="00B704CA"/>
    <w:rsid w:val="00B706ED"/>
    <w:rsid w:val="00B710C2"/>
    <w:rsid w:val="00B71A12"/>
    <w:rsid w:val="00B74FD1"/>
    <w:rsid w:val="00B7622C"/>
    <w:rsid w:val="00B804C0"/>
    <w:rsid w:val="00B8785E"/>
    <w:rsid w:val="00B9252C"/>
    <w:rsid w:val="00B92FF9"/>
    <w:rsid w:val="00B97BF5"/>
    <w:rsid w:val="00BA047C"/>
    <w:rsid w:val="00BA692F"/>
    <w:rsid w:val="00BA7B97"/>
    <w:rsid w:val="00BB144E"/>
    <w:rsid w:val="00BB1A34"/>
    <w:rsid w:val="00BB5652"/>
    <w:rsid w:val="00BC0D11"/>
    <w:rsid w:val="00BC1BCA"/>
    <w:rsid w:val="00BC2546"/>
    <w:rsid w:val="00BC59F5"/>
    <w:rsid w:val="00BC5F72"/>
    <w:rsid w:val="00BD022C"/>
    <w:rsid w:val="00BD457E"/>
    <w:rsid w:val="00BE0561"/>
    <w:rsid w:val="00BE1188"/>
    <w:rsid w:val="00BE1DA1"/>
    <w:rsid w:val="00BE4BC0"/>
    <w:rsid w:val="00BE656E"/>
    <w:rsid w:val="00BF2A0D"/>
    <w:rsid w:val="00BF356C"/>
    <w:rsid w:val="00BF463E"/>
    <w:rsid w:val="00BF58AE"/>
    <w:rsid w:val="00BF6F45"/>
    <w:rsid w:val="00C000CF"/>
    <w:rsid w:val="00C02B64"/>
    <w:rsid w:val="00C02B92"/>
    <w:rsid w:val="00C04A92"/>
    <w:rsid w:val="00C10FDC"/>
    <w:rsid w:val="00C1417F"/>
    <w:rsid w:val="00C175DE"/>
    <w:rsid w:val="00C25DAA"/>
    <w:rsid w:val="00C26E3A"/>
    <w:rsid w:val="00C41451"/>
    <w:rsid w:val="00C41804"/>
    <w:rsid w:val="00C41D16"/>
    <w:rsid w:val="00C473D5"/>
    <w:rsid w:val="00C635D4"/>
    <w:rsid w:val="00C64A6A"/>
    <w:rsid w:val="00C65102"/>
    <w:rsid w:val="00C6627F"/>
    <w:rsid w:val="00C71293"/>
    <w:rsid w:val="00C71B0A"/>
    <w:rsid w:val="00C72569"/>
    <w:rsid w:val="00C80A97"/>
    <w:rsid w:val="00C83578"/>
    <w:rsid w:val="00C8475F"/>
    <w:rsid w:val="00C85341"/>
    <w:rsid w:val="00C9395A"/>
    <w:rsid w:val="00CA573C"/>
    <w:rsid w:val="00CB04CD"/>
    <w:rsid w:val="00CB126F"/>
    <w:rsid w:val="00CC3C44"/>
    <w:rsid w:val="00CC47CD"/>
    <w:rsid w:val="00CC69B0"/>
    <w:rsid w:val="00CC6D85"/>
    <w:rsid w:val="00CC7E7A"/>
    <w:rsid w:val="00CD030B"/>
    <w:rsid w:val="00CD5224"/>
    <w:rsid w:val="00CE0E1F"/>
    <w:rsid w:val="00CE209C"/>
    <w:rsid w:val="00CE26B6"/>
    <w:rsid w:val="00CE2C0B"/>
    <w:rsid w:val="00CE6889"/>
    <w:rsid w:val="00CF06A6"/>
    <w:rsid w:val="00CF5529"/>
    <w:rsid w:val="00CF6027"/>
    <w:rsid w:val="00D01580"/>
    <w:rsid w:val="00D02E59"/>
    <w:rsid w:val="00D0463A"/>
    <w:rsid w:val="00D055CE"/>
    <w:rsid w:val="00D1187C"/>
    <w:rsid w:val="00D20ABE"/>
    <w:rsid w:val="00D20EB8"/>
    <w:rsid w:val="00D20F81"/>
    <w:rsid w:val="00D260D7"/>
    <w:rsid w:val="00D30A68"/>
    <w:rsid w:val="00D30CEA"/>
    <w:rsid w:val="00D33B3D"/>
    <w:rsid w:val="00D34DE0"/>
    <w:rsid w:val="00D40DC2"/>
    <w:rsid w:val="00D43B33"/>
    <w:rsid w:val="00D4514C"/>
    <w:rsid w:val="00D47BBD"/>
    <w:rsid w:val="00D51086"/>
    <w:rsid w:val="00D5749C"/>
    <w:rsid w:val="00D61584"/>
    <w:rsid w:val="00D64FCD"/>
    <w:rsid w:val="00D66118"/>
    <w:rsid w:val="00D74D23"/>
    <w:rsid w:val="00D75F89"/>
    <w:rsid w:val="00D77E0B"/>
    <w:rsid w:val="00D80B66"/>
    <w:rsid w:val="00D8209B"/>
    <w:rsid w:val="00D82362"/>
    <w:rsid w:val="00D825A0"/>
    <w:rsid w:val="00D8377E"/>
    <w:rsid w:val="00D8468E"/>
    <w:rsid w:val="00D86851"/>
    <w:rsid w:val="00D87683"/>
    <w:rsid w:val="00D9733F"/>
    <w:rsid w:val="00DA179E"/>
    <w:rsid w:val="00DA1C2E"/>
    <w:rsid w:val="00DA1C52"/>
    <w:rsid w:val="00DA3900"/>
    <w:rsid w:val="00DA50BB"/>
    <w:rsid w:val="00DB0A30"/>
    <w:rsid w:val="00DB0D5E"/>
    <w:rsid w:val="00DB133C"/>
    <w:rsid w:val="00DB439F"/>
    <w:rsid w:val="00DB46EE"/>
    <w:rsid w:val="00DC375F"/>
    <w:rsid w:val="00DC79BA"/>
    <w:rsid w:val="00DD033B"/>
    <w:rsid w:val="00DD0D97"/>
    <w:rsid w:val="00DD73C4"/>
    <w:rsid w:val="00DE02D3"/>
    <w:rsid w:val="00DE1185"/>
    <w:rsid w:val="00DE3D8E"/>
    <w:rsid w:val="00DE6BE3"/>
    <w:rsid w:val="00DF1A23"/>
    <w:rsid w:val="00DF2356"/>
    <w:rsid w:val="00DF4715"/>
    <w:rsid w:val="00DF514E"/>
    <w:rsid w:val="00DF612E"/>
    <w:rsid w:val="00E0535B"/>
    <w:rsid w:val="00E07164"/>
    <w:rsid w:val="00E1052F"/>
    <w:rsid w:val="00E12476"/>
    <w:rsid w:val="00E1354C"/>
    <w:rsid w:val="00E138F3"/>
    <w:rsid w:val="00E13A68"/>
    <w:rsid w:val="00E15132"/>
    <w:rsid w:val="00E159B7"/>
    <w:rsid w:val="00E15CFC"/>
    <w:rsid w:val="00E171B2"/>
    <w:rsid w:val="00E17709"/>
    <w:rsid w:val="00E20AD9"/>
    <w:rsid w:val="00E26A48"/>
    <w:rsid w:val="00E342E0"/>
    <w:rsid w:val="00E44D3A"/>
    <w:rsid w:val="00E455F9"/>
    <w:rsid w:val="00E5262B"/>
    <w:rsid w:val="00E55A69"/>
    <w:rsid w:val="00E57CDE"/>
    <w:rsid w:val="00E63FE2"/>
    <w:rsid w:val="00E678F0"/>
    <w:rsid w:val="00E76EF5"/>
    <w:rsid w:val="00E85860"/>
    <w:rsid w:val="00E8734D"/>
    <w:rsid w:val="00E9663C"/>
    <w:rsid w:val="00EA15F3"/>
    <w:rsid w:val="00EA1DEC"/>
    <w:rsid w:val="00EA33E9"/>
    <w:rsid w:val="00EA6A6C"/>
    <w:rsid w:val="00EB0244"/>
    <w:rsid w:val="00EB063F"/>
    <w:rsid w:val="00EB336B"/>
    <w:rsid w:val="00EB40B1"/>
    <w:rsid w:val="00EB5651"/>
    <w:rsid w:val="00EC1780"/>
    <w:rsid w:val="00EC78E2"/>
    <w:rsid w:val="00ED2E15"/>
    <w:rsid w:val="00ED58E1"/>
    <w:rsid w:val="00ED71A0"/>
    <w:rsid w:val="00EE1A55"/>
    <w:rsid w:val="00EE1DBA"/>
    <w:rsid w:val="00EE20BA"/>
    <w:rsid w:val="00EE2F5C"/>
    <w:rsid w:val="00EE41DF"/>
    <w:rsid w:val="00EE600C"/>
    <w:rsid w:val="00EF1004"/>
    <w:rsid w:val="00EF2E0B"/>
    <w:rsid w:val="00EF73AE"/>
    <w:rsid w:val="00EF76EA"/>
    <w:rsid w:val="00F04106"/>
    <w:rsid w:val="00F05223"/>
    <w:rsid w:val="00F05C9B"/>
    <w:rsid w:val="00F063C4"/>
    <w:rsid w:val="00F06C41"/>
    <w:rsid w:val="00F07A88"/>
    <w:rsid w:val="00F10D05"/>
    <w:rsid w:val="00F1130C"/>
    <w:rsid w:val="00F15A7D"/>
    <w:rsid w:val="00F17BCF"/>
    <w:rsid w:val="00F221B7"/>
    <w:rsid w:val="00F26EBE"/>
    <w:rsid w:val="00F346B4"/>
    <w:rsid w:val="00F35E37"/>
    <w:rsid w:val="00F36C74"/>
    <w:rsid w:val="00F37F9E"/>
    <w:rsid w:val="00F4243C"/>
    <w:rsid w:val="00F42749"/>
    <w:rsid w:val="00F47425"/>
    <w:rsid w:val="00F527F6"/>
    <w:rsid w:val="00F576D1"/>
    <w:rsid w:val="00F63947"/>
    <w:rsid w:val="00F65F82"/>
    <w:rsid w:val="00F66E5F"/>
    <w:rsid w:val="00F67C97"/>
    <w:rsid w:val="00F70D49"/>
    <w:rsid w:val="00F71A52"/>
    <w:rsid w:val="00F72205"/>
    <w:rsid w:val="00F728BF"/>
    <w:rsid w:val="00F7446D"/>
    <w:rsid w:val="00F76AC6"/>
    <w:rsid w:val="00F80C4A"/>
    <w:rsid w:val="00F84DEE"/>
    <w:rsid w:val="00F877F4"/>
    <w:rsid w:val="00F925D5"/>
    <w:rsid w:val="00FA266B"/>
    <w:rsid w:val="00FA755F"/>
    <w:rsid w:val="00FB2E45"/>
    <w:rsid w:val="00FB4C4D"/>
    <w:rsid w:val="00FB5668"/>
    <w:rsid w:val="00FC01A1"/>
    <w:rsid w:val="00FC051A"/>
    <w:rsid w:val="00FC09C3"/>
    <w:rsid w:val="00FE27E9"/>
    <w:rsid w:val="00FE4067"/>
    <w:rsid w:val="00FE5E08"/>
    <w:rsid w:val="00FF07E5"/>
    <w:rsid w:val="00FF4DC8"/>
    <w:rsid w:val="00FF567A"/>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unhideWhenUsed/>
    <w:rsid w:val="00C9395A"/>
    <w:rPr>
      <w:sz w:val="20"/>
    </w:rPr>
  </w:style>
  <w:style w:type="character" w:customStyle="1" w:styleId="KommentarerChar">
    <w:name w:val="Kommentarer Char"/>
    <w:basedOn w:val="Standardstycketeckensnitt"/>
    <w:link w:val="Kommentarer"/>
    <w:uiPriority w:val="99"/>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 w:type="paragraph" w:styleId="Revision">
    <w:name w:val="Revision"/>
    <w:hidden/>
    <w:uiPriority w:val="99"/>
    <w:semiHidden/>
    <w:rsid w:val="005012B1"/>
    <w:pPr>
      <w:spacing w:after="0" w:line="240" w:lineRule="auto"/>
    </w:pPr>
    <w:rPr>
      <w:rFonts w:ascii="Times New Roman" w:eastAsia="Times New Roman" w:hAnsi="Times New Roman" w:cs="Times New Roman"/>
      <w:sz w:val="24"/>
      <w:szCs w:val="20"/>
      <w:lang w:val="sv-SE" w:eastAsia="sv-SE"/>
    </w:rPr>
  </w:style>
  <w:style w:type="paragraph" w:styleId="Sidhuvud">
    <w:name w:val="header"/>
    <w:basedOn w:val="Normal"/>
    <w:link w:val="SidhuvudChar"/>
    <w:uiPriority w:val="99"/>
    <w:unhideWhenUsed/>
    <w:rsid w:val="005012B1"/>
    <w:pPr>
      <w:tabs>
        <w:tab w:val="center" w:pos="4536"/>
        <w:tab w:val="right" w:pos="9072"/>
      </w:tabs>
    </w:pPr>
  </w:style>
  <w:style w:type="character" w:customStyle="1" w:styleId="SidhuvudChar">
    <w:name w:val="Sidhuvud Char"/>
    <w:basedOn w:val="Standardstycketeckensnitt"/>
    <w:link w:val="Sidhuvud"/>
    <w:uiPriority w:val="99"/>
    <w:rsid w:val="005012B1"/>
    <w:rPr>
      <w:rFonts w:ascii="Times New Roman" w:eastAsia="Times New Roman" w:hAnsi="Times New Roman" w:cs="Times New Roman"/>
      <w:sz w:val="24"/>
      <w:szCs w:val="20"/>
      <w:lang w:val="sv-SE" w:eastAsia="sv-SE"/>
    </w:rPr>
  </w:style>
  <w:style w:type="table" w:styleId="Tabellrutnt">
    <w:name w:val="Table Grid"/>
    <w:basedOn w:val="Normaltabell"/>
    <w:uiPriority w:val="39"/>
    <w:rsid w:val="00B9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 w:id="1491947418">
      <w:bodyDiv w:val="1"/>
      <w:marLeft w:val="0"/>
      <w:marRight w:val="0"/>
      <w:marTop w:val="0"/>
      <w:marBottom w:val="0"/>
      <w:divBdr>
        <w:top w:val="none" w:sz="0" w:space="0" w:color="auto"/>
        <w:left w:val="none" w:sz="0" w:space="0" w:color="auto"/>
        <w:bottom w:val="none" w:sz="0" w:space="0" w:color="auto"/>
        <w:right w:val="none" w:sz="0" w:space="0" w:color="auto"/>
      </w:divBdr>
    </w:div>
    <w:div w:id="178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74</TotalTime>
  <Pages>6</Pages>
  <Words>1291</Words>
  <Characters>7972</Characters>
  <Application>Microsoft Office Word</Application>
  <DocSecurity>0</DocSecurity>
  <Lines>1138</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8</cp:revision>
  <cp:lastPrinted>2026-02-19T13:34:00Z</cp:lastPrinted>
  <dcterms:created xsi:type="dcterms:W3CDTF">2026-02-25T14:07:00Z</dcterms:created>
  <dcterms:modified xsi:type="dcterms:W3CDTF">2026-03-12T10:29:00Z</dcterms:modified>
</cp:coreProperties>
</file>