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F573B8" w:rsidRPr="00D416A8">
        <w:tblPrEx>
          <w:tblCellMar>
            <w:top w:w="0" w:type="dxa"/>
            <w:bottom w:w="0" w:type="dxa"/>
          </w:tblCellMar>
        </w:tblPrEx>
        <w:tc>
          <w:tcPr>
            <w:tcW w:w="2268" w:type="dxa"/>
          </w:tcPr>
          <w:p w:rsidR="00F573B8" w:rsidRPr="00D416A8" w:rsidRDefault="00F573B8">
            <w:pPr>
              <w:framePr w:w="4400" w:h="1644" w:wrap="notBeside" w:vAnchor="page" w:hAnchor="page" w:x="6573" w:y="721"/>
              <w:rPr>
                <w:rFonts w:ascii="TradeGothic" w:hAnsi="TradeGothic"/>
                <w:i/>
                <w:sz w:val="18"/>
              </w:rPr>
            </w:pPr>
          </w:p>
        </w:tc>
        <w:tc>
          <w:tcPr>
            <w:tcW w:w="2347" w:type="dxa"/>
            <w:gridSpan w:val="2"/>
          </w:tcPr>
          <w:p w:rsidR="00F573B8" w:rsidRPr="00D416A8" w:rsidRDefault="00F573B8">
            <w:pPr>
              <w:framePr w:w="4400" w:h="1644" w:wrap="notBeside" w:vAnchor="page" w:hAnchor="page" w:x="6573" w:y="721"/>
              <w:rPr>
                <w:rFonts w:ascii="TradeGothic" w:hAnsi="TradeGothic"/>
                <w:i/>
                <w:sz w:val="18"/>
              </w:rPr>
            </w:pPr>
          </w:p>
        </w:tc>
      </w:tr>
      <w:tr w:rsidR="00F573B8" w:rsidRPr="00D416A8">
        <w:tblPrEx>
          <w:tblCellMar>
            <w:top w:w="0" w:type="dxa"/>
            <w:bottom w:w="0" w:type="dxa"/>
          </w:tblCellMar>
        </w:tblPrEx>
        <w:trPr>
          <w:cantSplit/>
        </w:trPr>
        <w:tc>
          <w:tcPr>
            <w:tcW w:w="4615" w:type="dxa"/>
            <w:gridSpan w:val="3"/>
          </w:tcPr>
          <w:p w:rsidR="00F573B8" w:rsidRPr="00D416A8" w:rsidRDefault="00F573B8">
            <w:pPr>
              <w:framePr w:w="4400" w:h="1644" w:wrap="notBeside" w:vAnchor="page" w:hAnchor="page" w:x="6573" w:y="721"/>
              <w:rPr>
                <w:rFonts w:ascii="TradeGothic" w:hAnsi="TradeGothic"/>
                <w:b/>
                <w:sz w:val="22"/>
              </w:rPr>
            </w:pPr>
            <w:r w:rsidRPr="00D416A8">
              <w:rPr>
                <w:rFonts w:ascii="TradeGothic" w:hAnsi="TradeGothic"/>
                <w:b/>
                <w:sz w:val="22"/>
              </w:rPr>
              <w:t>Rådspromemoria</w:t>
            </w:r>
          </w:p>
        </w:tc>
      </w:tr>
      <w:tr w:rsidR="00F573B8" w:rsidRPr="00D416A8">
        <w:tblPrEx>
          <w:tblCellMar>
            <w:top w:w="0" w:type="dxa"/>
            <w:bottom w:w="0" w:type="dxa"/>
          </w:tblCellMar>
        </w:tblPrEx>
        <w:tc>
          <w:tcPr>
            <w:tcW w:w="3402" w:type="dxa"/>
            <w:gridSpan w:val="2"/>
          </w:tcPr>
          <w:p w:rsidR="00F573B8" w:rsidRPr="00D416A8" w:rsidRDefault="00F573B8">
            <w:pPr>
              <w:framePr w:w="4400" w:h="1644" w:wrap="notBeside" w:vAnchor="page" w:hAnchor="page" w:x="6573" w:y="721"/>
            </w:pPr>
          </w:p>
        </w:tc>
        <w:tc>
          <w:tcPr>
            <w:tcW w:w="1213" w:type="dxa"/>
          </w:tcPr>
          <w:p w:rsidR="00F573B8" w:rsidRPr="00D416A8" w:rsidRDefault="00F573B8">
            <w:pPr>
              <w:framePr w:w="4400" w:h="1644" w:wrap="notBeside" w:vAnchor="page" w:hAnchor="page" w:x="6573" w:y="721"/>
            </w:pPr>
          </w:p>
        </w:tc>
      </w:tr>
      <w:tr w:rsidR="00F573B8" w:rsidRPr="00D416A8">
        <w:tblPrEx>
          <w:tblCellMar>
            <w:top w:w="0" w:type="dxa"/>
            <w:bottom w:w="0" w:type="dxa"/>
          </w:tblCellMar>
        </w:tblPrEx>
        <w:tc>
          <w:tcPr>
            <w:tcW w:w="2268" w:type="dxa"/>
          </w:tcPr>
          <w:p w:rsidR="00F573B8" w:rsidRPr="00D416A8" w:rsidRDefault="00E45CC7">
            <w:pPr>
              <w:framePr w:w="4400" w:h="1644" w:wrap="notBeside" w:vAnchor="page" w:hAnchor="page" w:x="6573" w:y="721"/>
            </w:pPr>
            <w:r w:rsidRPr="00D416A8">
              <w:t>2006-12-08</w:t>
            </w:r>
          </w:p>
        </w:tc>
        <w:tc>
          <w:tcPr>
            <w:tcW w:w="2347" w:type="dxa"/>
            <w:gridSpan w:val="2"/>
          </w:tcPr>
          <w:p w:rsidR="00F573B8" w:rsidRPr="00D416A8" w:rsidRDefault="00F573B8">
            <w:pPr>
              <w:framePr w:w="4400" w:h="1644" w:wrap="notBeside" w:vAnchor="page" w:hAnchor="page" w:x="6573" w:y="721"/>
            </w:pPr>
          </w:p>
        </w:tc>
      </w:tr>
      <w:tr w:rsidR="00F573B8" w:rsidRPr="00D416A8">
        <w:tblPrEx>
          <w:tblCellMar>
            <w:top w:w="0" w:type="dxa"/>
            <w:bottom w:w="0" w:type="dxa"/>
          </w:tblCellMar>
        </w:tblPrEx>
        <w:tc>
          <w:tcPr>
            <w:tcW w:w="2268" w:type="dxa"/>
          </w:tcPr>
          <w:p w:rsidR="00F573B8" w:rsidRPr="00D416A8" w:rsidRDefault="00F573B8">
            <w:pPr>
              <w:framePr w:w="4400" w:h="1644" w:wrap="notBeside" w:vAnchor="page" w:hAnchor="page" w:x="6573" w:y="721"/>
            </w:pPr>
          </w:p>
        </w:tc>
        <w:tc>
          <w:tcPr>
            <w:tcW w:w="2347" w:type="dxa"/>
            <w:gridSpan w:val="2"/>
          </w:tcPr>
          <w:p w:rsidR="00F573B8" w:rsidRPr="00D416A8" w:rsidRDefault="00F573B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573B8" w:rsidRPr="00D416A8">
        <w:tblPrEx>
          <w:tblCellMar>
            <w:top w:w="0" w:type="dxa"/>
            <w:bottom w:w="0" w:type="dxa"/>
          </w:tblCellMar>
        </w:tblPrEx>
        <w:trPr>
          <w:trHeight w:val="284"/>
        </w:trPr>
        <w:tc>
          <w:tcPr>
            <w:tcW w:w="4911" w:type="dxa"/>
          </w:tcPr>
          <w:p w:rsidR="00F573B8" w:rsidRPr="00D416A8" w:rsidRDefault="00F573B8">
            <w:pPr>
              <w:pStyle w:val="Avsndare"/>
              <w:framePr w:h="2483" w:wrap="notBeside" w:x="1504"/>
              <w:rPr>
                <w:b/>
                <w:i w:val="0"/>
                <w:sz w:val="22"/>
              </w:rPr>
            </w:pPr>
            <w:r w:rsidRPr="00D416A8">
              <w:rPr>
                <w:b/>
                <w:i w:val="0"/>
                <w:sz w:val="22"/>
              </w:rPr>
              <w:t>Miljö- och samhällsbyggnadsdepartementet</w:t>
            </w:r>
          </w:p>
        </w:tc>
      </w:tr>
      <w:tr w:rsidR="00F573B8" w:rsidRPr="00D416A8">
        <w:tblPrEx>
          <w:tblCellMar>
            <w:top w:w="0" w:type="dxa"/>
            <w:bottom w:w="0" w:type="dxa"/>
          </w:tblCellMar>
        </w:tblPrEx>
        <w:trPr>
          <w:trHeight w:val="284"/>
        </w:trPr>
        <w:tc>
          <w:tcPr>
            <w:tcW w:w="4911" w:type="dxa"/>
          </w:tcPr>
          <w:p w:rsidR="00F573B8" w:rsidRPr="00D416A8" w:rsidRDefault="00F573B8">
            <w:pPr>
              <w:pStyle w:val="Avsndare"/>
              <w:framePr w:h="2483" w:wrap="notBeside" w:x="1504"/>
              <w:rPr>
                <w:bCs/>
                <w:iCs/>
              </w:rPr>
            </w:pPr>
          </w:p>
        </w:tc>
      </w:tr>
      <w:tr w:rsidR="00F573B8" w:rsidRPr="00D416A8">
        <w:tblPrEx>
          <w:tblCellMar>
            <w:top w:w="0" w:type="dxa"/>
            <w:bottom w:w="0" w:type="dxa"/>
          </w:tblCellMar>
        </w:tblPrEx>
        <w:trPr>
          <w:trHeight w:val="284"/>
        </w:trPr>
        <w:tc>
          <w:tcPr>
            <w:tcW w:w="4911" w:type="dxa"/>
          </w:tcPr>
          <w:p w:rsidR="00F573B8" w:rsidRPr="00D416A8" w:rsidRDefault="00F573B8">
            <w:pPr>
              <w:pStyle w:val="Avsndare"/>
              <w:framePr w:h="2483" w:wrap="notBeside" w:x="1504"/>
              <w:rPr>
                <w:bCs/>
                <w:iCs/>
              </w:rPr>
            </w:pPr>
            <w:r w:rsidRPr="00D416A8">
              <w:rPr>
                <w:bCs/>
                <w:iCs/>
              </w:rPr>
              <w:t>Enheten för miljökvalitet</w:t>
            </w:r>
          </w:p>
        </w:tc>
      </w:tr>
      <w:tr w:rsidR="00F573B8" w:rsidRPr="00D416A8">
        <w:tblPrEx>
          <w:tblCellMar>
            <w:top w:w="0" w:type="dxa"/>
            <w:bottom w:w="0" w:type="dxa"/>
          </w:tblCellMar>
        </w:tblPrEx>
        <w:trPr>
          <w:trHeight w:val="284"/>
        </w:trPr>
        <w:tc>
          <w:tcPr>
            <w:tcW w:w="4911" w:type="dxa"/>
          </w:tcPr>
          <w:p w:rsidR="00F573B8" w:rsidRPr="00D416A8" w:rsidRDefault="00F573B8">
            <w:pPr>
              <w:pStyle w:val="Avsndare"/>
              <w:framePr w:h="2483" w:wrap="notBeside" w:x="1504"/>
              <w:rPr>
                <w:bCs/>
                <w:iCs/>
              </w:rPr>
            </w:pPr>
          </w:p>
        </w:tc>
      </w:tr>
      <w:tr w:rsidR="00F573B8" w:rsidRPr="00D416A8">
        <w:tblPrEx>
          <w:tblCellMar>
            <w:top w:w="0" w:type="dxa"/>
            <w:bottom w:w="0" w:type="dxa"/>
          </w:tblCellMar>
        </w:tblPrEx>
        <w:trPr>
          <w:trHeight w:val="284"/>
        </w:trPr>
        <w:tc>
          <w:tcPr>
            <w:tcW w:w="4911" w:type="dxa"/>
          </w:tcPr>
          <w:p w:rsidR="00F573B8" w:rsidRPr="00D416A8" w:rsidRDefault="00F573B8">
            <w:pPr>
              <w:pStyle w:val="Avsndare"/>
              <w:framePr w:h="2483" w:wrap="notBeside" w:x="1504"/>
              <w:rPr>
                <w:bCs/>
                <w:iCs/>
              </w:rPr>
            </w:pPr>
          </w:p>
        </w:tc>
      </w:tr>
      <w:tr w:rsidR="00F573B8" w:rsidRPr="00D416A8">
        <w:tblPrEx>
          <w:tblCellMar>
            <w:top w:w="0" w:type="dxa"/>
            <w:bottom w:w="0" w:type="dxa"/>
          </w:tblCellMar>
        </w:tblPrEx>
        <w:trPr>
          <w:trHeight w:val="284"/>
        </w:trPr>
        <w:tc>
          <w:tcPr>
            <w:tcW w:w="4911" w:type="dxa"/>
          </w:tcPr>
          <w:p w:rsidR="00F573B8" w:rsidRPr="00D416A8" w:rsidRDefault="00F573B8">
            <w:pPr>
              <w:pStyle w:val="Avsndare"/>
              <w:framePr w:h="2483" w:wrap="notBeside" w:x="1504"/>
              <w:rPr>
                <w:bCs/>
                <w:iCs/>
              </w:rPr>
            </w:pPr>
          </w:p>
        </w:tc>
      </w:tr>
      <w:tr w:rsidR="00F573B8" w:rsidRPr="00D416A8">
        <w:tblPrEx>
          <w:tblCellMar>
            <w:top w:w="0" w:type="dxa"/>
            <w:bottom w:w="0" w:type="dxa"/>
          </w:tblCellMar>
        </w:tblPrEx>
        <w:trPr>
          <w:trHeight w:val="284"/>
        </w:trPr>
        <w:tc>
          <w:tcPr>
            <w:tcW w:w="4911" w:type="dxa"/>
          </w:tcPr>
          <w:p w:rsidR="00F573B8" w:rsidRPr="00D416A8" w:rsidRDefault="00F573B8">
            <w:pPr>
              <w:pStyle w:val="Avsndare"/>
              <w:framePr w:h="2483" w:wrap="notBeside" w:x="1504"/>
              <w:rPr>
                <w:bCs/>
                <w:iCs/>
              </w:rPr>
            </w:pPr>
          </w:p>
        </w:tc>
      </w:tr>
      <w:tr w:rsidR="00F573B8" w:rsidRPr="00D416A8">
        <w:tblPrEx>
          <w:tblCellMar>
            <w:top w:w="0" w:type="dxa"/>
            <w:bottom w:w="0" w:type="dxa"/>
          </w:tblCellMar>
        </w:tblPrEx>
        <w:trPr>
          <w:trHeight w:val="284"/>
        </w:trPr>
        <w:tc>
          <w:tcPr>
            <w:tcW w:w="4911" w:type="dxa"/>
          </w:tcPr>
          <w:p w:rsidR="00F573B8" w:rsidRPr="00D416A8" w:rsidRDefault="00F573B8">
            <w:pPr>
              <w:pStyle w:val="Avsndare"/>
              <w:framePr w:h="2483" w:wrap="notBeside" w:x="1504"/>
              <w:rPr>
                <w:bCs/>
                <w:iCs/>
              </w:rPr>
            </w:pPr>
          </w:p>
        </w:tc>
      </w:tr>
      <w:tr w:rsidR="00F573B8" w:rsidRPr="00D416A8">
        <w:tblPrEx>
          <w:tblCellMar>
            <w:top w:w="0" w:type="dxa"/>
            <w:bottom w:w="0" w:type="dxa"/>
          </w:tblCellMar>
        </w:tblPrEx>
        <w:trPr>
          <w:trHeight w:val="284"/>
        </w:trPr>
        <w:tc>
          <w:tcPr>
            <w:tcW w:w="4911" w:type="dxa"/>
          </w:tcPr>
          <w:p w:rsidR="00F573B8" w:rsidRPr="00D416A8" w:rsidRDefault="00F573B8">
            <w:pPr>
              <w:pStyle w:val="Avsndare"/>
              <w:framePr w:h="2483" w:wrap="notBeside" w:x="1504"/>
              <w:rPr>
                <w:bCs/>
                <w:iCs/>
              </w:rPr>
            </w:pPr>
          </w:p>
        </w:tc>
      </w:tr>
    </w:tbl>
    <w:p w:rsidR="00F573B8" w:rsidRPr="00D416A8" w:rsidRDefault="00F573B8">
      <w:pPr>
        <w:pStyle w:val="RKrubrik"/>
        <w:pBdr>
          <w:bottom w:val="single" w:sz="6" w:space="1" w:color="auto"/>
        </w:pBdr>
      </w:pPr>
      <w:bookmarkStart w:id="0" w:name="bRubrik"/>
      <w:bookmarkEnd w:id="0"/>
      <w:r w:rsidRPr="00D416A8">
        <w:t>Rådets möte (miljö) den 18 december 2006</w:t>
      </w:r>
    </w:p>
    <w:p w:rsidR="007839A2" w:rsidRPr="00D416A8" w:rsidRDefault="007839A2" w:rsidP="007839A2">
      <w:pPr>
        <w:pStyle w:val="RKnormal"/>
      </w:pPr>
      <w:r w:rsidRPr="00D416A8">
        <w:t>Dagordningspunkt 4</w:t>
      </w:r>
    </w:p>
    <w:p w:rsidR="00F573B8" w:rsidRPr="00D416A8" w:rsidRDefault="00F573B8">
      <w:pPr>
        <w:pStyle w:val="RKnormal"/>
      </w:pPr>
    </w:p>
    <w:p w:rsidR="00F573B8" w:rsidRPr="00D416A8" w:rsidRDefault="00F573B8">
      <w:pPr>
        <w:pStyle w:val="RKnormal"/>
      </w:pPr>
      <w:r w:rsidRPr="00D416A8">
        <w:t>Rubrik: Rådsslutsatser klimat</w:t>
      </w:r>
    </w:p>
    <w:p w:rsidR="00F573B8" w:rsidRPr="00D416A8" w:rsidRDefault="00F573B8">
      <w:pPr>
        <w:pStyle w:val="RKnormal"/>
      </w:pPr>
    </w:p>
    <w:p w:rsidR="00F573B8" w:rsidRPr="00D416A8" w:rsidRDefault="00F573B8">
      <w:pPr>
        <w:pStyle w:val="RKnormal"/>
      </w:pPr>
      <w:r w:rsidRPr="00D416A8">
        <w:t xml:space="preserve">Dokument: </w:t>
      </w:r>
    </w:p>
    <w:p w:rsidR="00F573B8" w:rsidRPr="00D416A8" w:rsidRDefault="00F573B8">
      <w:pPr>
        <w:pStyle w:val="RKnormal"/>
      </w:pPr>
      <w:r w:rsidRPr="00D416A8">
        <w:t>Follow-up to the Twelfth Conference of the Parties (COP 12) to the United Nations Framework Convention on Climate Change in conjunction with the second session of the Conference of the Parties serving as the meeting of the Parties to the Kyoto Protocol (COP/MOP 2) (Nairobi, 6-17 November 2006).</w:t>
      </w:r>
    </w:p>
    <w:p w:rsidR="00F573B8" w:rsidRPr="00D416A8" w:rsidRDefault="00F573B8">
      <w:pPr>
        <w:pStyle w:val="RKnormal"/>
      </w:pPr>
      <w:r w:rsidRPr="00D416A8">
        <w:t>Council conclusions, Doc. 14329/06, ENV 635, ENER 289, FISC 147, ONU 115.</w:t>
      </w:r>
    </w:p>
    <w:p w:rsidR="00F573B8" w:rsidRPr="00D416A8" w:rsidRDefault="00F573B8" w:rsidP="00B419E1">
      <w:pPr>
        <w:pStyle w:val="RKrubrik"/>
      </w:pPr>
      <w:r w:rsidRPr="00D416A8">
        <w:t>Bakgrund</w:t>
      </w:r>
    </w:p>
    <w:p w:rsidR="00F573B8" w:rsidRPr="00D416A8" w:rsidRDefault="00F573B8">
      <w:pPr>
        <w:spacing w:line="240" w:lineRule="auto"/>
      </w:pPr>
      <w:r w:rsidRPr="00D416A8">
        <w:t xml:space="preserve">Den tolfte partskonferensen inom klimatkonventionen (UNFCCC) respektive det andra partsmötet inom Kyotoprotokollet ägde rum i Nairobi den 6-17 november 2006. Rådsslutsatserna är en uppföljning av mötet med budskap om uppnådda resultat samt färdriktningen för EU internt och globalt inför det arbete som ligger framför oss. </w:t>
      </w:r>
    </w:p>
    <w:p w:rsidR="00E45CC7" w:rsidRPr="00D416A8" w:rsidRDefault="00E45CC7">
      <w:pPr>
        <w:spacing w:line="240" w:lineRule="auto"/>
      </w:pPr>
    </w:p>
    <w:p w:rsidR="00E45CC7" w:rsidRPr="00D416A8" w:rsidRDefault="00E45CC7" w:rsidP="00E45CC7">
      <w:pPr>
        <w:pStyle w:val="RKnormal"/>
      </w:pPr>
      <w:r w:rsidRPr="00D416A8">
        <w:t xml:space="preserve">Ordförandeskapet har också formulerat tre frågor som underlag till en diskussion om EUs interna arbete.  </w:t>
      </w:r>
    </w:p>
    <w:p w:rsidR="00F573B8" w:rsidRPr="00D416A8" w:rsidRDefault="00F573B8">
      <w:pPr>
        <w:pStyle w:val="RKrubrik"/>
      </w:pPr>
      <w:r w:rsidRPr="00D416A8">
        <w:t>Rättslig grund och beslutsförfarande</w:t>
      </w:r>
    </w:p>
    <w:p w:rsidR="00056AC2" w:rsidRPr="00D416A8" w:rsidRDefault="00056AC2" w:rsidP="00056AC2">
      <w:pPr>
        <w:pStyle w:val="RKnormal"/>
      </w:pPr>
      <w:r w:rsidRPr="00D416A8">
        <w:t>Rådsslutsatser beslutas med konsensus.</w:t>
      </w:r>
    </w:p>
    <w:p w:rsidR="00F573B8" w:rsidRPr="00D416A8" w:rsidRDefault="00F573B8">
      <w:pPr>
        <w:pStyle w:val="RKrubrik"/>
        <w:rPr>
          <w:i/>
          <w:iCs/>
        </w:rPr>
      </w:pPr>
      <w:r w:rsidRPr="00D416A8">
        <w:rPr>
          <w:i/>
          <w:iCs/>
        </w:rPr>
        <w:t>Svensk ståndpunkt</w:t>
      </w:r>
    </w:p>
    <w:p w:rsidR="00F573B8" w:rsidRPr="00D416A8" w:rsidRDefault="00F573B8">
      <w:pPr>
        <w:spacing w:line="240" w:lineRule="auto"/>
      </w:pPr>
      <w:r w:rsidRPr="00D416A8">
        <w:t>SE anser att utkastet till rådsslutsatser innehåller viktiga budskap till omvärlden om resultatet av partsmötet i Nairobi och det fortsatta arbetet.</w:t>
      </w:r>
    </w:p>
    <w:p w:rsidR="00F573B8" w:rsidRPr="00D416A8" w:rsidRDefault="00F573B8">
      <w:pPr>
        <w:spacing w:line="240" w:lineRule="auto"/>
      </w:pPr>
    </w:p>
    <w:p w:rsidR="00F573B8" w:rsidRPr="00D416A8" w:rsidRDefault="00F573B8">
      <w:pPr>
        <w:pStyle w:val="RKrubrik"/>
        <w:rPr>
          <w:i/>
          <w:iCs/>
        </w:rPr>
      </w:pPr>
      <w:r w:rsidRPr="00D416A8">
        <w:rPr>
          <w:i/>
          <w:iCs/>
        </w:rPr>
        <w:lastRenderedPageBreak/>
        <w:t>Förslaget</w:t>
      </w:r>
    </w:p>
    <w:p w:rsidR="00F573B8" w:rsidRPr="00D416A8" w:rsidRDefault="00F573B8">
      <w:pPr>
        <w:spacing w:line="240" w:lineRule="auto"/>
        <w:rPr>
          <w:b/>
          <w:bCs/>
        </w:rPr>
      </w:pPr>
      <w:r w:rsidRPr="00D416A8">
        <w:rPr>
          <w:b/>
          <w:bCs/>
        </w:rPr>
        <w:t>Para 1</w:t>
      </w:r>
    </w:p>
    <w:p w:rsidR="00F573B8" w:rsidRPr="00D416A8" w:rsidRDefault="00F573B8">
      <w:pPr>
        <w:spacing w:line="240" w:lineRule="auto"/>
      </w:pPr>
    </w:p>
    <w:p w:rsidR="00F573B8" w:rsidRPr="00D416A8" w:rsidRDefault="00F573B8">
      <w:pPr>
        <w:spacing w:line="240" w:lineRule="auto"/>
      </w:pPr>
      <w:r w:rsidRPr="00D416A8">
        <w:t xml:space="preserve">Resultatet av Partsmötet i Nairobi i november välkomnas, särskilt lyfts sex beslut fram; avseende anpassningsprogrammet, anpassningsfonden, mandatet till Ad Hoc Working Group on Further Commitments for Annex I Parties (AWG), beslutet om att den andra översynen av  </w:t>
      </w:r>
    </w:p>
    <w:p w:rsidR="00F573B8" w:rsidRPr="00D416A8" w:rsidRDefault="00F573B8">
      <w:r w:rsidRPr="00D416A8">
        <w:t xml:space="preserve">Kyoto Protocol penligt Artikel 9 skall genoföras vid COP/MOP 4 år 2008 och skall förberedas av COP/MOP 3 år 2007, framsteg i dialogen om konventionen samt överenskommelsen att hålla en workshop om det ryska förslaget avseende frivilliga åtaganden. </w:t>
      </w:r>
    </w:p>
    <w:p w:rsidR="00F573B8" w:rsidRPr="00D416A8" w:rsidRDefault="00F573B8">
      <w:pPr>
        <w:spacing w:line="240" w:lineRule="auto"/>
      </w:pPr>
    </w:p>
    <w:p w:rsidR="00F573B8" w:rsidRPr="00D416A8" w:rsidRDefault="00F573B8">
      <w:pPr>
        <w:spacing w:line="240" w:lineRule="auto"/>
      </w:pPr>
      <w:r w:rsidRPr="00D416A8">
        <w:t xml:space="preserve">Vidare välkomnas andra initiativ såsom FNs Nairobi Framework och EU Kommissionens Global Energy Efficiency and Renewable Energy Fund (GEEREF) som bla. kan bidra till en jämnare regional fördelning av s.k. CDM projekt, öka kapacitetsuppbyggnaden och gynna teknologiöverföring.  </w:t>
      </w:r>
    </w:p>
    <w:p w:rsidR="00F573B8" w:rsidRPr="00D416A8" w:rsidRDefault="00F573B8">
      <w:pPr>
        <w:spacing w:line="240" w:lineRule="auto"/>
      </w:pPr>
    </w:p>
    <w:p w:rsidR="00F573B8" w:rsidRPr="00D416A8" w:rsidRDefault="00F573B8">
      <w:pPr>
        <w:spacing w:line="240" w:lineRule="auto"/>
        <w:rPr>
          <w:b/>
          <w:bCs/>
        </w:rPr>
      </w:pPr>
      <w:r w:rsidRPr="00D416A8">
        <w:rPr>
          <w:b/>
          <w:bCs/>
        </w:rPr>
        <w:t>Para 2</w:t>
      </w:r>
    </w:p>
    <w:p w:rsidR="00F573B8" w:rsidRPr="00D416A8" w:rsidRDefault="00F573B8">
      <w:pPr>
        <w:spacing w:line="240" w:lineRule="auto"/>
      </w:pPr>
    </w:p>
    <w:p w:rsidR="00F573B8" w:rsidRPr="00D416A8" w:rsidRDefault="00F573B8">
      <w:pPr>
        <w:spacing w:line="240" w:lineRule="auto"/>
      </w:pPr>
      <w:r w:rsidRPr="00D416A8">
        <w:t xml:space="preserve">Understryker att effekten av klimatförändringarna; så som en ökad frekvens av naturkatastrofer, torka och svält, kan ha implikationer på nationell och global säkerhet. </w:t>
      </w:r>
    </w:p>
    <w:p w:rsidR="00F573B8" w:rsidRPr="00D416A8" w:rsidRDefault="00F573B8">
      <w:pPr>
        <w:spacing w:line="240" w:lineRule="auto"/>
      </w:pPr>
    </w:p>
    <w:p w:rsidR="00F573B8" w:rsidRPr="00D416A8" w:rsidRDefault="00F573B8">
      <w:r w:rsidRPr="00D416A8">
        <w:t xml:space="preserve">Rådet välkomnar den internationella klimatpanelens fjärde utvärdering som förväntas ge up-to-date information om klimatförändringarna, dess orsaker och effekter samt möjliga åtgärder med utgångspunkt i den senaste vetenskapliga, tekniska och samhällsekonomiska litteraturen. </w:t>
      </w:r>
    </w:p>
    <w:p w:rsidR="00F573B8" w:rsidRPr="00D416A8" w:rsidRDefault="00F573B8">
      <w:pPr>
        <w:spacing w:line="240" w:lineRule="auto"/>
      </w:pPr>
      <w:r w:rsidRPr="00D416A8">
        <w:t xml:space="preserve"> </w:t>
      </w:r>
    </w:p>
    <w:p w:rsidR="00F573B8" w:rsidRPr="00D416A8" w:rsidRDefault="00F573B8">
      <w:pPr>
        <w:spacing w:line="240" w:lineRule="auto"/>
      </w:pPr>
    </w:p>
    <w:p w:rsidR="00F573B8" w:rsidRPr="00D416A8" w:rsidRDefault="00F573B8">
      <w:pPr>
        <w:spacing w:line="240" w:lineRule="auto"/>
        <w:rPr>
          <w:b/>
          <w:bCs/>
        </w:rPr>
      </w:pPr>
      <w:r w:rsidRPr="00D416A8">
        <w:rPr>
          <w:b/>
          <w:bCs/>
        </w:rPr>
        <w:t>Para 3</w:t>
      </w:r>
    </w:p>
    <w:p w:rsidR="00F573B8" w:rsidRPr="00D416A8" w:rsidRDefault="00F573B8">
      <w:pPr>
        <w:spacing w:line="240" w:lineRule="auto"/>
      </w:pPr>
    </w:p>
    <w:p w:rsidR="00F573B8" w:rsidRPr="00D416A8" w:rsidRDefault="00F573B8">
      <w:pPr>
        <w:spacing w:line="240" w:lineRule="auto"/>
      </w:pPr>
      <w:r w:rsidRPr="00D416A8">
        <w:t>Rådet uppmuntras av nya ekonomiska analyser av klimatförändringarnas effekter och i synnerhet den rapport av sir Nicholas Stern som visar att intäkterna av kraftfulla tidiga åtgärder för att hindra klimatförändringarna överväger kostnaderna för att inte vidta åtgärder. Rådet konstaterar att Sterns studie visar att en långsiktig strategi inte hindrar ekonomisk tillväxt för rika och fattiga länder.</w:t>
      </w:r>
    </w:p>
    <w:p w:rsidR="00F573B8" w:rsidRPr="00D416A8" w:rsidRDefault="00F573B8">
      <w:pPr>
        <w:spacing w:line="240" w:lineRule="auto"/>
      </w:pPr>
    </w:p>
    <w:p w:rsidR="00F573B8" w:rsidRPr="00D416A8" w:rsidRDefault="00F573B8">
      <w:pPr>
        <w:spacing w:line="240" w:lineRule="auto"/>
      </w:pPr>
      <w:r w:rsidRPr="00D416A8">
        <w:t xml:space="preserve">Rådet fastslår sin övertygelse att sektoriella beslut såsom ett pris på koldioxidutsläpp ger incitament för bl.a. teknikutveckling. </w:t>
      </w:r>
    </w:p>
    <w:p w:rsidR="00F573B8" w:rsidRPr="00D416A8" w:rsidRDefault="00F573B8">
      <w:pPr>
        <w:spacing w:line="240" w:lineRule="auto"/>
      </w:pPr>
    </w:p>
    <w:p w:rsidR="00F573B8" w:rsidRPr="00D416A8" w:rsidRDefault="00F573B8">
      <w:pPr>
        <w:spacing w:line="240" w:lineRule="auto"/>
        <w:rPr>
          <w:b/>
          <w:bCs/>
        </w:rPr>
      </w:pPr>
      <w:r w:rsidRPr="00D416A8">
        <w:rPr>
          <w:b/>
          <w:bCs/>
        </w:rPr>
        <w:t>Para 4</w:t>
      </w:r>
    </w:p>
    <w:p w:rsidR="00F573B8" w:rsidRPr="00D416A8" w:rsidRDefault="00F573B8">
      <w:pPr>
        <w:spacing w:line="240" w:lineRule="auto"/>
      </w:pPr>
    </w:p>
    <w:p w:rsidR="00F573B8" w:rsidRPr="00D416A8" w:rsidRDefault="00F573B8">
      <w:pPr>
        <w:spacing w:line="240" w:lineRule="auto"/>
      </w:pPr>
      <w:r w:rsidRPr="00D416A8">
        <w:t xml:space="preserve">Välkomnar Kommissionens rapport "Building a global carbon market" om handelssystemet (EU ETS). Rådet understryker sin vilja att utveckla en global marknad för koldioxid genom att länka EU ETS med andra system. </w:t>
      </w:r>
    </w:p>
    <w:p w:rsidR="00F573B8" w:rsidRPr="00D416A8" w:rsidRDefault="00F573B8">
      <w:pPr>
        <w:spacing w:line="240" w:lineRule="auto"/>
      </w:pPr>
    </w:p>
    <w:p w:rsidR="00F573B8" w:rsidRPr="00D416A8" w:rsidRDefault="00F573B8">
      <w:pPr>
        <w:spacing w:line="240" w:lineRule="auto"/>
      </w:pPr>
      <w:r w:rsidRPr="00D416A8">
        <w:t>Vidare ser rådet fram emot ytterligare översyn av EU ETS inom ramen för klimatprogrammet ECCP och kommissionens åtföljande lagförslag under år 2007.  Rådet slår fast att det reviderade direktivet skall vinna laga kraft under den tredje handelsperioden som år 2013.</w:t>
      </w:r>
    </w:p>
    <w:p w:rsidR="00F573B8" w:rsidRPr="00D416A8" w:rsidRDefault="00F573B8">
      <w:pPr>
        <w:spacing w:line="240" w:lineRule="auto"/>
      </w:pPr>
    </w:p>
    <w:p w:rsidR="00F573B8" w:rsidRPr="00D416A8" w:rsidRDefault="00F573B8">
      <w:pPr>
        <w:spacing w:line="240" w:lineRule="auto"/>
      </w:pPr>
      <w:r w:rsidRPr="00D416A8">
        <w:t xml:space="preserve">Rådet noterar kommande förslag från Kommissionen om flygets införlivande i handelssystemet EU ETS och har i minne tillgängligheten av krediter under CDM och JI inom ramen för EU ETS och den potential som de har förkostnadseffektiv minskning av utsläppen, tekinköverföring och hållbar utveckling. </w:t>
      </w:r>
    </w:p>
    <w:p w:rsidR="00F573B8" w:rsidRPr="00D416A8" w:rsidRDefault="00F573B8">
      <w:pPr>
        <w:spacing w:line="240" w:lineRule="auto"/>
        <w:rPr>
          <w:b/>
          <w:bCs/>
        </w:rPr>
      </w:pPr>
    </w:p>
    <w:p w:rsidR="00F573B8" w:rsidRPr="00D416A8" w:rsidRDefault="00F573B8">
      <w:pPr>
        <w:spacing w:line="240" w:lineRule="auto"/>
        <w:rPr>
          <w:b/>
          <w:bCs/>
        </w:rPr>
      </w:pPr>
      <w:r w:rsidRPr="00D416A8">
        <w:rPr>
          <w:b/>
          <w:bCs/>
        </w:rPr>
        <w:t>Para 5</w:t>
      </w:r>
    </w:p>
    <w:p w:rsidR="00F573B8" w:rsidRPr="00D416A8" w:rsidRDefault="00F573B8">
      <w:pPr>
        <w:spacing w:line="240" w:lineRule="auto"/>
      </w:pPr>
    </w:p>
    <w:p w:rsidR="00F573B8" w:rsidRPr="00D416A8" w:rsidRDefault="00F573B8">
      <w:pPr>
        <w:spacing w:line="240" w:lineRule="auto"/>
      </w:pPr>
      <w:r w:rsidRPr="00D416A8">
        <w:t xml:space="preserve">Rådet upprepar att det inte skall vara något gap mellan den första och den andra åtagandeperioden i Kyotoprotokollet och understryker behovet av ett beslut om att starta en process för internationella förhandlingar om en post-2012 regim innan slutet av 2007, med ett avslut före år 2009 års utgång. </w:t>
      </w:r>
    </w:p>
    <w:p w:rsidR="00F573B8" w:rsidRPr="00D416A8" w:rsidRDefault="00F573B8">
      <w:pPr>
        <w:spacing w:line="240" w:lineRule="auto"/>
      </w:pPr>
    </w:p>
    <w:p w:rsidR="00F573B8" w:rsidRPr="00D416A8" w:rsidRDefault="00F573B8">
      <w:pPr>
        <w:spacing w:line="240" w:lineRule="auto"/>
      </w:pPr>
      <w:r w:rsidRPr="00D416A8">
        <w:t>Rådet ser fram emot Kommissionens analyser av samhällsekonomiska kostnader och intäkter för utsläppsbegränsande strategier. Vidare ser rådet fram emot förslag om element i en post-Kyoto regim från toppmötet våren 2007 för att hålla EUs 2 graders mål.</w:t>
      </w:r>
    </w:p>
    <w:p w:rsidR="00F573B8" w:rsidRPr="00D416A8" w:rsidRDefault="00F573B8">
      <w:pPr>
        <w:spacing w:line="240" w:lineRule="auto"/>
      </w:pPr>
    </w:p>
    <w:p w:rsidR="00F573B8" w:rsidRPr="00D416A8" w:rsidRDefault="00F573B8">
      <w:pPr>
        <w:spacing w:line="240" w:lineRule="auto"/>
      </w:pPr>
      <w:r w:rsidRPr="00D416A8">
        <w:t>Rådet fastslår sin avsikt att vid sitt möte i februari 2007 förbereda toppmötet och uppmanar andra parter att inkomma med ideer i detta sammanhang.</w:t>
      </w:r>
    </w:p>
    <w:p w:rsidR="00F573B8" w:rsidRPr="00D416A8" w:rsidRDefault="00F573B8">
      <w:pPr>
        <w:spacing w:line="240" w:lineRule="auto"/>
      </w:pPr>
    </w:p>
    <w:p w:rsidR="00F573B8" w:rsidRPr="00D416A8" w:rsidRDefault="00F573B8">
      <w:pPr>
        <w:spacing w:line="240" w:lineRule="auto"/>
        <w:rPr>
          <w:b/>
          <w:bCs/>
        </w:rPr>
      </w:pPr>
      <w:r w:rsidRPr="00D416A8">
        <w:rPr>
          <w:b/>
          <w:bCs/>
        </w:rPr>
        <w:t>Para 6</w:t>
      </w:r>
    </w:p>
    <w:p w:rsidR="00F573B8" w:rsidRPr="00D416A8" w:rsidRDefault="00F573B8">
      <w:pPr>
        <w:spacing w:line="240" w:lineRule="auto"/>
        <w:rPr>
          <w:color w:val="000000"/>
          <w:szCs w:val="24"/>
        </w:rPr>
      </w:pPr>
    </w:p>
    <w:p w:rsidR="00F573B8" w:rsidRPr="00D416A8" w:rsidRDefault="00F573B8">
      <w:pPr>
        <w:spacing w:line="240" w:lineRule="auto"/>
      </w:pPr>
      <w:r w:rsidRPr="00D416A8">
        <w:t xml:space="preserve">Rådet slår fast att en framtida regim måste vara attraktiv för att bredda deltagandet, vara acceptabelt för alla parter och uppmuntra tidiga initiativ för att nå en ekonomi med låga utsläppsnivåer. </w:t>
      </w:r>
    </w:p>
    <w:p w:rsidR="00F573B8" w:rsidRPr="00D416A8" w:rsidRDefault="00F573B8">
      <w:pPr>
        <w:spacing w:line="240" w:lineRule="auto"/>
      </w:pPr>
    </w:p>
    <w:p w:rsidR="00F573B8" w:rsidRPr="00D416A8" w:rsidRDefault="00F573B8">
      <w:pPr>
        <w:spacing w:line="240" w:lineRule="auto"/>
        <w:rPr>
          <w:color w:val="000000"/>
          <w:szCs w:val="24"/>
        </w:rPr>
      </w:pPr>
      <w:r w:rsidRPr="00D416A8">
        <w:t xml:space="preserve">Rådet understryker att ett förslag om en post 2012 regim skall reflektera principen om gemensamt men differnetierat ansvar, vara transparant och flexibelt för att tillåta länder att utforma sina åtgärder utifrån sina speciella förutsättningar och på så sätt maximera kostnadseffektiviteten. </w:t>
      </w:r>
    </w:p>
    <w:p w:rsidR="00F573B8" w:rsidRPr="00D416A8" w:rsidRDefault="00F573B8">
      <w:pPr>
        <w:pStyle w:val="RKrubrik"/>
      </w:pPr>
      <w:r w:rsidRPr="00D416A8">
        <w:t>Övrigt</w:t>
      </w:r>
    </w:p>
    <w:p w:rsidR="00F573B8" w:rsidRPr="00D416A8" w:rsidRDefault="00F573B8">
      <w:pPr>
        <w:pStyle w:val="RKnormal"/>
      </w:pPr>
      <w:r w:rsidRPr="00D416A8">
        <w:t>Utkastet till rådsslutsatser behandla</w:t>
      </w:r>
      <w:r w:rsidR="00B419E1" w:rsidRPr="00D416A8">
        <w:t>de</w:t>
      </w:r>
      <w:r w:rsidRPr="00D416A8">
        <w:t>s i COREPER den 8 december 2006.</w:t>
      </w:r>
    </w:p>
    <w:p w:rsidR="00F573B8" w:rsidRPr="00D416A8" w:rsidRDefault="00F573B8">
      <w:pPr>
        <w:pStyle w:val="RKnormal"/>
      </w:pPr>
    </w:p>
    <w:p w:rsidR="00E45CC7" w:rsidRPr="00D416A8" w:rsidRDefault="00E45CC7" w:rsidP="00E45CC7">
      <w:pPr>
        <w:pStyle w:val="RKnormal"/>
      </w:pPr>
      <w:r w:rsidRPr="00D416A8">
        <w:t xml:space="preserve">Ordförandeskapet har också formulerat tre frågor som underlag till en diskussion om EUs interna arbete:  </w:t>
      </w:r>
    </w:p>
    <w:p w:rsidR="00E45CC7" w:rsidRPr="00D416A8" w:rsidRDefault="00E45CC7" w:rsidP="00E45CC7">
      <w:pPr>
        <w:rPr>
          <w:b/>
        </w:rPr>
      </w:pPr>
    </w:p>
    <w:p w:rsidR="00B419E1" w:rsidRPr="00D416A8" w:rsidRDefault="00B419E1" w:rsidP="00B419E1">
      <w:pPr>
        <w:spacing w:line="336" w:lineRule="auto"/>
      </w:pPr>
      <w:r w:rsidRPr="00D416A8">
        <w:t>Fråga 1. Vad skall EU:s ledande roll innebära 2007 och senare?</w:t>
      </w:r>
    </w:p>
    <w:p w:rsidR="00B419E1" w:rsidRPr="00D416A8" w:rsidRDefault="00B419E1" w:rsidP="00B419E1"/>
    <w:p w:rsidR="00B419E1" w:rsidRPr="00D416A8" w:rsidRDefault="00B419E1" w:rsidP="00B419E1">
      <w:r w:rsidRPr="00D416A8">
        <w:t>Fråga 2. Hur bör EU nu agera när det gäller unionens eventuella roll i ett framtida avtal? På vilket sätt bör hänsyn tas till att EU:s förpliktelser ingår i ett globalt sammanhang?</w:t>
      </w:r>
    </w:p>
    <w:p w:rsidR="00B419E1" w:rsidRPr="00D416A8" w:rsidRDefault="00B419E1" w:rsidP="00B419E1">
      <w:pPr>
        <w:ind w:left="1134" w:hanging="1134"/>
      </w:pPr>
    </w:p>
    <w:p w:rsidR="00B419E1" w:rsidRPr="00D416A8" w:rsidRDefault="00B419E1" w:rsidP="00B419E1">
      <w:pPr>
        <w:pStyle w:val="RKnormal"/>
      </w:pPr>
      <w:r w:rsidRPr="00D416A8">
        <w:t>Fråga 3. Med hänsyn till behovet av att förstärka den politiska viljan att bidra till de gemensamma ansträngningarna att uppnå det slutliga målet för UNFCCC, på vilka allmänna beståndsdelar bör EU fokusera vid utarbetandet av alternativ för ett system efter 2012?</w:t>
      </w:r>
    </w:p>
    <w:p w:rsidR="00E45CC7" w:rsidRPr="00D416A8" w:rsidRDefault="00E45CC7">
      <w:pPr>
        <w:pStyle w:val="RKnormal"/>
      </w:pPr>
    </w:p>
    <w:p w:rsidR="00F573B8" w:rsidRPr="00D416A8" w:rsidRDefault="00F573B8">
      <w:pPr>
        <w:pStyle w:val="RKnormal"/>
      </w:pPr>
    </w:p>
    <w:sectPr w:rsidR="00F573B8" w:rsidRPr="00D416A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623" w:rsidRPr="00D416A8" w:rsidRDefault="003C2623">
      <w:r w:rsidRPr="00D416A8">
        <w:separator/>
      </w:r>
    </w:p>
  </w:endnote>
  <w:endnote w:type="continuationSeparator" w:id="0">
    <w:p w:rsidR="003C2623" w:rsidRPr="00D416A8" w:rsidRDefault="003C2623">
      <w:r w:rsidRPr="00D416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623" w:rsidRPr="00D416A8" w:rsidRDefault="003C2623">
      <w:r w:rsidRPr="00D416A8">
        <w:separator/>
      </w:r>
    </w:p>
  </w:footnote>
  <w:footnote w:type="continuationSeparator" w:id="0">
    <w:p w:rsidR="003C2623" w:rsidRPr="00D416A8" w:rsidRDefault="003C2623">
      <w:r w:rsidRPr="00D416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AC2" w:rsidRPr="00D416A8" w:rsidRDefault="00056AC2">
    <w:pPr>
      <w:pStyle w:val="Sidhuvud"/>
      <w:framePr w:wrap="around" w:vAnchor="text" w:hAnchor="margin" w:xAlign="right" w:y="1"/>
      <w:rPr>
        <w:rStyle w:val="Sidnummer"/>
        <w:rPrChange w:id="1" w:author="Lars Brink" w:date="2025-12-17T05:01:00Z" w16du:dateUtc="2025-12-17T04:01:00Z">
          <w:rPr>
            <w:rStyle w:val="Sidnummer"/>
          </w:rPr>
        </w:rPrChange>
      </w:rPr>
    </w:pPr>
    <w:r w:rsidRPr="00D416A8">
      <w:rPr>
        <w:rStyle w:val="Sidnummer"/>
      </w:rPr>
      <w:fldChar w:fldCharType="begin" w:fldLock="1"/>
    </w:r>
    <w:r w:rsidRPr="00D416A8">
      <w:rPr>
        <w:rStyle w:val="Sidnummer"/>
      </w:rPr>
      <w:instrText xml:space="preserve">PAGE  </w:instrText>
    </w:r>
    <w:r w:rsidRPr="00D416A8">
      <w:rPr>
        <w:rStyle w:val="Sidnummer"/>
      </w:rPr>
      <w:fldChar w:fldCharType="separate"/>
    </w:r>
    <w:r w:rsidR="00DD4BAF" w:rsidRPr="00D416A8">
      <w:rPr>
        <w:rStyle w:val="Sidnummer"/>
        <w:rPrChange w:id="2" w:author="Lars Brink" w:date="2025-12-17T05:01:00Z" w16du:dateUtc="2025-12-17T04:01:00Z">
          <w:rPr>
            <w:rStyle w:val="Sidnummer"/>
            <w:noProof/>
          </w:rPr>
        </w:rPrChange>
      </w:rPr>
      <w:t>4</w:t>
    </w:r>
    <w:r w:rsidRPr="00D416A8">
      <w:rPr>
        <w:rStyle w:val="Sidnummer"/>
        <w:rPrChange w:id="3" w:author="Lars Brink" w:date="2025-12-17T05:01:00Z" w16du:dateUtc="2025-12-17T04:01: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056AC2" w:rsidRPr="00D416A8">
      <w:tblPrEx>
        <w:tblCellMar>
          <w:top w:w="0" w:type="dxa"/>
          <w:bottom w:w="0" w:type="dxa"/>
        </w:tblCellMar>
      </w:tblPrEx>
      <w:trPr>
        <w:cantSplit/>
      </w:trPr>
      <w:tc>
        <w:tcPr>
          <w:tcW w:w="3119" w:type="dxa"/>
        </w:tcPr>
        <w:p w:rsidR="00056AC2" w:rsidRPr="00D416A8" w:rsidRDefault="00056AC2">
          <w:pPr>
            <w:pStyle w:val="Sidhuvud"/>
            <w:spacing w:line="200" w:lineRule="atLeast"/>
            <w:ind w:right="357"/>
            <w:rPr>
              <w:rFonts w:ascii="TradeGothic" w:hAnsi="TradeGothic"/>
              <w:b/>
              <w:bCs/>
              <w:sz w:val="16"/>
              <w:rPrChange w:id="4" w:author="Lars Brink" w:date="2025-12-17T05:01:00Z" w16du:dateUtc="2025-12-17T04:01:00Z">
                <w:rPr>
                  <w:rFonts w:ascii="TradeGothic" w:hAnsi="TradeGothic"/>
                  <w:b/>
                  <w:bCs/>
                  <w:sz w:val="16"/>
                </w:rPr>
              </w:rPrChange>
            </w:rPr>
          </w:pPr>
        </w:p>
      </w:tc>
      <w:tc>
        <w:tcPr>
          <w:tcW w:w="4111" w:type="dxa"/>
          <w:tcMar>
            <w:left w:w="567" w:type="dxa"/>
          </w:tcMar>
        </w:tcPr>
        <w:p w:rsidR="00056AC2" w:rsidRPr="00D416A8" w:rsidRDefault="00056AC2">
          <w:pPr>
            <w:pStyle w:val="Sidhuvud"/>
            <w:ind w:right="360"/>
            <w:rPr>
              <w:rPrChange w:id="5" w:author="Lars Brink" w:date="2025-12-17T05:01:00Z" w16du:dateUtc="2025-12-17T04:01:00Z">
                <w:rPr/>
              </w:rPrChange>
            </w:rPr>
          </w:pPr>
        </w:p>
      </w:tc>
      <w:tc>
        <w:tcPr>
          <w:tcW w:w="1525" w:type="dxa"/>
        </w:tcPr>
        <w:p w:rsidR="00056AC2" w:rsidRPr="00D416A8" w:rsidRDefault="00056AC2">
          <w:pPr>
            <w:pStyle w:val="Sidhuvud"/>
            <w:ind w:right="360"/>
            <w:rPr>
              <w:rPrChange w:id="6" w:author="Lars Brink" w:date="2025-12-17T05:01:00Z" w16du:dateUtc="2025-12-17T04:01:00Z">
                <w:rPr/>
              </w:rPrChange>
            </w:rPr>
          </w:pPr>
        </w:p>
      </w:tc>
    </w:tr>
  </w:tbl>
  <w:p w:rsidR="00056AC2" w:rsidRPr="00D416A8" w:rsidRDefault="00056AC2">
    <w:pPr>
      <w:pStyle w:val="Sidhuvud"/>
      <w:ind w:right="357" w:firstLine="357"/>
      <w:rPr>
        <w:rPrChange w:id="7" w:author="Lars Brink" w:date="2025-12-17T05:01:00Z" w16du:dateUtc="2025-12-17T04:01: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AC2" w:rsidRPr="00D416A8" w:rsidRDefault="00056AC2">
    <w:pPr>
      <w:pStyle w:val="Sidhuvud"/>
      <w:framePr w:wrap="around" w:vAnchor="text" w:hAnchor="margin" w:xAlign="right" w:y="1"/>
      <w:rPr>
        <w:rStyle w:val="Sidnummer"/>
        <w:rPrChange w:id="8" w:author="Lars Brink" w:date="2025-12-17T05:01:00Z" w16du:dateUtc="2025-12-17T04:01:00Z">
          <w:rPr>
            <w:rStyle w:val="Sidnummer"/>
          </w:rPr>
        </w:rPrChange>
      </w:rPr>
    </w:pPr>
    <w:r w:rsidRPr="00D416A8">
      <w:rPr>
        <w:rStyle w:val="Sidnummer"/>
      </w:rPr>
      <w:fldChar w:fldCharType="begin" w:fldLock="1"/>
    </w:r>
    <w:r w:rsidRPr="00D416A8">
      <w:rPr>
        <w:rStyle w:val="Sidnummer"/>
      </w:rPr>
      <w:instrText xml:space="preserve">PAGE  </w:instrText>
    </w:r>
    <w:r w:rsidRPr="00D416A8">
      <w:rPr>
        <w:rStyle w:val="Sidnummer"/>
      </w:rPr>
      <w:fldChar w:fldCharType="separate"/>
    </w:r>
    <w:r w:rsidR="00DD4BAF" w:rsidRPr="00D416A8">
      <w:rPr>
        <w:rStyle w:val="Sidnummer"/>
        <w:rPrChange w:id="9" w:author="Lars Brink" w:date="2025-12-17T05:01:00Z" w16du:dateUtc="2025-12-17T04:01:00Z">
          <w:rPr>
            <w:rStyle w:val="Sidnummer"/>
            <w:noProof/>
          </w:rPr>
        </w:rPrChange>
      </w:rPr>
      <w:t>3</w:t>
    </w:r>
    <w:r w:rsidRPr="00D416A8">
      <w:rPr>
        <w:rStyle w:val="Sidnummer"/>
        <w:rPrChange w:id="10" w:author="Lars Brink" w:date="2025-12-17T05:01:00Z" w16du:dateUtc="2025-12-17T04:01: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056AC2" w:rsidRPr="00D416A8">
      <w:tblPrEx>
        <w:tblCellMar>
          <w:top w:w="0" w:type="dxa"/>
          <w:bottom w:w="0" w:type="dxa"/>
        </w:tblCellMar>
      </w:tblPrEx>
      <w:trPr>
        <w:cantSplit/>
      </w:trPr>
      <w:tc>
        <w:tcPr>
          <w:tcW w:w="3119" w:type="dxa"/>
        </w:tcPr>
        <w:p w:rsidR="00056AC2" w:rsidRPr="00D416A8" w:rsidRDefault="00056AC2">
          <w:pPr>
            <w:pStyle w:val="Sidhuvud"/>
            <w:spacing w:line="200" w:lineRule="atLeast"/>
            <w:ind w:right="357"/>
            <w:rPr>
              <w:rFonts w:ascii="TradeGothic" w:hAnsi="TradeGothic"/>
              <w:b/>
              <w:bCs/>
              <w:sz w:val="16"/>
              <w:rPrChange w:id="11" w:author="Lars Brink" w:date="2025-12-17T05:01:00Z" w16du:dateUtc="2025-12-17T04:01:00Z">
                <w:rPr>
                  <w:rFonts w:ascii="TradeGothic" w:hAnsi="TradeGothic"/>
                  <w:b/>
                  <w:bCs/>
                  <w:sz w:val="16"/>
                </w:rPr>
              </w:rPrChange>
            </w:rPr>
          </w:pPr>
        </w:p>
      </w:tc>
      <w:tc>
        <w:tcPr>
          <w:tcW w:w="4111" w:type="dxa"/>
          <w:tcMar>
            <w:left w:w="567" w:type="dxa"/>
          </w:tcMar>
        </w:tcPr>
        <w:p w:rsidR="00056AC2" w:rsidRPr="00D416A8" w:rsidRDefault="00056AC2">
          <w:pPr>
            <w:pStyle w:val="Sidhuvud"/>
            <w:ind w:right="360"/>
            <w:rPr>
              <w:rPrChange w:id="12" w:author="Lars Brink" w:date="2025-12-17T05:01:00Z" w16du:dateUtc="2025-12-17T04:01:00Z">
                <w:rPr/>
              </w:rPrChange>
            </w:rPr>
          </w:pPr>
        </w:p>
      </w:tc>
      <w:tc>
        <w:tcPr>
          <w:tcW w:w="1525" w:type="dxa"/>
        </w:tcPr>
        <w:p w:rsidR="00056AC2" w:rsidRPr="00D416A8" w:rsidRDefault="00056AC2">
          <w:pPr>
            <w:pStyle w:val="Sidhuvud"/>
            <w:ind w:right="360"/>
            <w:rPr>
              <w:rPrChange w:id="13" w:author="Lars Brink" w:date="2025-12-17T05:01:00Z" w16du:dateUtc="2025-12-17T04:01:00Z">
                <w:rPr/>
              </w:rPrChange>
            </w:rPr>
          </w:pPr>
        </w:p>
      </w:tc>
    </w:tr>
  </w:tbl>
  <w:p w:rsidR="00056AC2" w:rsidRPr="00D416A8" w:rsidRDefault="00056AC2">
    <w:pPr>
      <w:pStyle w:val="Sidhuvud"/>
      <w:ind w:right="357" w:firstLine="357"/>
      <w:rPr>
        <w:rPrChange w:id="14" w:author="Lars Brink" w:date="2025-12-17T05:01:00Z" w16du:dateUtc="2025-12-17T04:01: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AC2" w:rsidRPr="00D416A8" w:rsidRDefault="00D416A8">
    <w:pPr>
      <w:framePr w:w="2948" w:h="1321" w:hRule="exact" w:wrap="notBeside" w:vAnchor="page" w:hAnchor="page" w:x="1362" w:y="653"/>
    </w:pPr>
    <w:r w:rsidRPr="00D416A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56AC2" w:rsidRPr="00D416A8" w:rsidRDefault="00056AC2">
    <w:pPr>
      <w:pStyle w:val="RKrubrik"/>
      <w:keepNext w:val="0"/>
      <w:tabs>
        <w:tab w:val="clear" w:pos="1134"/>
        <w:tab w:val="clear" w:pos="2835"/>
      </w:tabs>
      <w:spacing w:before="0" w:after="0" w:line="320" w:lineRule="atLeast"/>
      <w:rPr>
        <w:bCs/>
      </w:rPr>
    </w:pPr>
  </w:p>
  <w:p w:rsidR="00056AC2" w:rsidRPr="00D416A8" w:rsidRDefault="00056AC2">
    <w:pPr>
      <w:rPr>
        <w:rFonts w:ascii="TradeGothic" w:hAnsi="TradeGothic"/>
        <w:b/>
        <w:bCs/>
        <w:spacing w:val="12"/>
        <w:sz w:val="22"/>
      </w:rPr>
    </w:pPr>
  </w:p>
  <w:p w:rsidR="00056AC2" w:rsidRPr="00D416A8" w:rsidRDefault="00056AC2">
    <w:pPr>
      <w:pStyle w:val="RKrubrik"/>
      <w:keepNext w:val="0"/>
      <w:tabs>
        <w:tab w:val="clear" w:pos="1134"/>
        <w:tab w:val="clear" w:pos="2835"/>
      </w:tabs>
      <w:spacing w:before="0" w:after="0" w:line="320" w:lineRule="atLeast"/>
      <w:rPr>
        <w:bCs/>
      </w:rPr>
    </w:pPr>
  </w:p>
  <w:p w:rsidR="00056AC2" w:rsidRPr="00D416A8" w:rsidRDefault="00056AC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83D4A"/>
    <w:multiLevelType w:val="hybridMultilevel"/>
    <w:tmpl w:val="0C1282B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B03FF6"/>
    <w:multiLevelType w:val="hybridMultilevel"/>
    <w:tmpl w:val="1A98B856"/>
    <w:lvl w:ilvl="0" w:tplc="080C0001">
      <w:start w:val="1"/>
      <w:numFmt w:val="bullet"/>
      <w:lvlText w:val=""/>
      <w:lvlJc w:val="left"/>
      <w:pPr>
        <w:tabs>
          <w:tab w:val="num" w:pos="360"/>
        </w:tabs>
        <w:ind w:left="360" w:hanging="360"/>
      </w:pPr>
      <w:rPr>
        <w:rFonts w:ascii="Symbol" w:hAnsi="Symbol"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 w15:restartNumberingAfterBreak="0">
    <w:nsid w:val="7D7A1468"/>
    <w:multiLevelType w:val="hybridMultilevel"/>
    <w:tmpl w:val="EA404834"/>
    <w:lvl w:ilvl="0" w:tplc="01080F82">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rPr>
        <w:rFonts w:hint="default"/>
      </w:r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num w:numId="1" w16cid:durableId="1271930581">
    <w:abstractNumId w:val="1"/>
  </w:num>
  <w:num w:numId="2" w16cid:durableId="739557">
    <w:abstractNumId w:val="2"/>
  </w:num>
  <w:num w:numId="3" w16cid:durableId="10875060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E45CC7"/>
    <w:rsid w:val="00056AC2"/>
    <w:rsid w:val="001B62D8"/>
    <w:rsid w:val="00251D28"/>
    <w:rsid w:val="003C2623"/>
    <w:rsid w:val="005161CC"/>
    <w:rsid w:val="007839A2"/>
    <w:rsid w:val="00B27A82"/>
    <w:rsid w:val="00B419E1"/>
    <w:rsid w:val="00D416A8"/>
    <w:rsid w:val="00DD4BAF"/>
    <w:rsid w:val="00DF09A0"/>
    <w:rsid w:val="00E45CC7"/>
    <w:rsid w:val="00EB440D"/>
    <w:rsid w:val="00F573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C9AA22-66D3-4AAF-B68A-276221D3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paragraph" w:styleId="Rubrik6">
    <w:name w:val="heading 6"/>
    <w:basedOn w:val="Normal"/>
    <w:next w:val="Normal"/>
    <w:qFormat/>
    <w:pPr>
      <w:keepNext/>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overflowPunct/>
      <w:autoSpaceDE/>
      <w:autoSpaceDN/>
      <w:adjustRightInd/>
      <w:spacing w:line="240" w:lineRule="auto"/>
      <w:jc w:val="both"/>
      <w:textAlignment w:val="auto"/>
      <w:outlineLvl w:val="5"/>
    </w:pPr>
    <w:rPr>
      <w:rFonts w:ascii="Times New Roman" w:hAnsi="Times New Roman"/>
      <w:i/>
      <w:iCs/>
      <w:sz w:val="22"/>
      <w:szCs w:val="22"/>
      <w:lang w:val="en-GB" w:eastAsia="en-GB"/>
    </w:rPr>
  </w:style>
  <w:style w:type="character" w:default="1" w:styleId="Standardstycketeckensnitt">
    <w:name w:val="Default Paragraph Font"/>
    <w:link w:val="Char1CharCharCharCharCharChar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Char1CharCharCharCharCharCharChar">
    <w:name w:val=" Char1 Char Char Char Char Char Char Char"/>
    <w:basedOn w:val="Normal"/>
    <w:link w:val="Standardstycketeckensnitt"/>
    <w:rsid w:val="00B419E1"/>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B419E1"/>
    <w:rPr>
      <w:rFonts w:ascii="OrigGarmnd BT" w:hAnsi="OrigGarmnd BT"/>
      <w:sz w:val="24"/>
      <w:lang w:val="sv-SE" w:eastAsia="en-US" w:bidi="ar-SA"/>
    </w:rPr>
  </w:style>
  <w:style w:type="paragraph" w:styleId="Revision">
    <w:name w:val="Revision"/>
    <w:hidden/>
    <w:uiPriority w:val="99"/>
    <w:semiHidden/>
    <w:rsid w:val="00D416A8"/>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840</Words>
  <Characters>4944</Characters>
  <Application>Microsoft Office Word</Application>
  <DocSecurity>4</DocSecurity>
  <Lines>149</Lines>
  <Paragraphs>53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2006-10-13T08:57:00Z</cp:lastPrinted>
  <dcterms:created xsi:type="dcterms:W3CDTF">2025-12-17T04:01:00Z</dcterms:created>
  <dcterms:modified xsi:type="dcterms:W3CDTF">2025-12-17T04:01:00Z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11;0;0;313</vt:lpwstr>
  </property>
  <property fmtid="{D5CDD505-2E9C-101B-9397-08002B2CF9AE}" pid="3" name="Sprak">
    <vt:lpwstr>Svenska</vt:lpwstr>
  </property>
  <property fmtid="{D5CDD505-2E9C-101B-9397-08002B2CF9AE}" pid="4" name="DokID">
    <vt:i4>60</vt:i4>
  </property>
</Properties>
</file>