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E1D85-6DC0-43A5-BAE5-4A0B0B48FCEB}"/>
</file>

<file path=customXml/itemProps2.xml><?xml version="1.0" encoding="utf-8"?>
<ds:datastoreItem xmlns:ds="http://schemas.openxmlformats.org/officeDocument/2006/customXml" ds:itemID="{08336765-6173-471E-AAE6-C8095294479B}"/>
</file>

<file path=customXml/itemProps3.xml><?xml version="1.0" encoding="utf-8"?>
<ds:datastoreItem xmlns:ds="http://schemas.openxmlformats.org/officeDocument/2006/customXml" ds:itemID="{26CB2BB5-CBBC-4F78-9F15-742BB31D846E}"/>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