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820202">
        <w:tc>
          <w:tcPr>
            <w:tcW w:w="2268" w:type="dxa"/>
          </w:tcPr>
          <w:p w:rsidR="00820202" w:rsidRDefault="00820202">
            <w:pPr>
              <w:framePr w:w="4400" w:h="1644" w:wrap="notBeside" w:vAnchor="page" w:hAnchor="page" w:x="6573" w:y="721"/>
              <w:rPr>
                <w:rFonts w:ascii="TradeGothic" w:hAnsi="TradeGothic"/>
                <w:i/>
                <w:sz w:val="18"/>
              </w:rPr>
            </w:pPr>
          </w:p>
        </w:tc>
        <w:tc>
          <w:tcPr>
            <w:tcW w:w="2347" w:type="dxa"/>
            <w:gridSpan w:val="2"/>
          </w:tcPr>
          <w:p w:rsidR="00820202" w:rsidRDefault="00820202">
            <w:pPr>
              <w:framePr w:w="4400" w:h="1644" w:wrap="notBeside" w:vAnchor="page" w:hAnchor="page" w:x="6573" w:y="721"/>
              <w:rPr>
                <w:rFonts w:ascii="TradeGothic" w:hAnsi="TradeGothic"/>
                <w:i/>
                <w:sz w:val="18"/>
              </w:rPr>
            </w:pPr>
          </w:p>
        </w:tc>
      </w:tr>
      <w:tr w:rsidR="00820202">
        <w:tc>
          <w:tcPr>
            <w:tcW w:w="2268" w:type="dxa"/>
          </w:tcPr>
          <w:p w:rsidR="00820202" w:rsidRDefault="00820202">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820202" w:rsidRDefault="00820202">
            <w:pPr>
              <w:framePr w:w="4400" w:h="1644" w:wrap="notBeside" w:vAnchor="page" w:hAnchor="page" w:x="6573" w:y="721"/>
              <w:rPr>
                <w:rFonts w:ascii="TradeGothic" w:hAnsi="TradeGothic"/>
                <w:b/>
                <w:sz w:val="22"/>
              </w:rPr>
            </w:pPr>
          </w:p>
        </w:tc>
      </w:tr>
      <w:tr w:rsidR="00820202">
        <w:trPr>
          <w:trHeight w:val="343"/>
        </w:trPr>
        <w:tc>
          <w:tcPr>
            <w:tcW w:w="3402" w:type="dxa"/>
            <w:gridSpan w:val="2"/>
          </w:tcPr>
          <w:p w:rsidR="00820202" w:rsidRDefault="00820202">
            <w:pPr>
              <w:framePr w:w="4400" w:h="1644" w:wrap="notBeside" w:vAnchor="page" w:hAnchor="page" w:x="6573" w:y="721"/>
            </w:pPr>
          </w:p>
        </w:tc>
        <w:tc>
          <w:tcPr>
            <w:tcW w:w="1213" w:type="dxa"/>
          </w:tcPr>
          <w:p w:rsidR="00820202" w:rsidRDefault="00820202">
            <w:pPr>
              <w:framePr w:w="4400" w:h="1644" w:wrap="notBeside" w:vAnchor="page" w:hAnchor="page" w:x="6573" w:y="721"/>
            </w:pPr>
          </w:p>
        </w:tc>
      </w:tr>
      <w:tr w:rsidR="00820202">
        <w:tc>
          <w:tcPr>
            <w:tcW w:w="2268" w:type="dxa"/>
          </w:tcPr>
          <w:p w:rsidR="00820202" w:rsidRDefault="00820202">
            <w:pPr>
              <w:framePr w:w="4400" w:h="1644" w:wrap="notBeside" w:vAnchor="page" w:hAnchor="page" w:x="6573" w:y="721"/>
            </w:pPr>
            <w:r>
              <w:t>2012-11-22</w:t>
            </w:r>
          </w:p>
        </w:tc>
        <w:tc>
          <w:tcPr>
            <w:tcW w:w="2347" w:type="dxa"/>
            <w:gridSpan w:val="2"/>
          </w:tcPr>
          <w:p w:rsidR="00820202" w:rsidRDefault="00820202">
            <w:pPr>
              <w:framePr w:w="4400" w:h="1644" w:wrap="notBeside" w:vAnchor="page" w:hAnchor="page" w:x="6573" w:y="721"/>
            </w:pPr>
          </w:p>
        </w:tc>
      </w:tr>
      <w:tr w:rsidR="00820202">
        <w:tc>
          <w:tcPr>
            <w:tcW w:w="2268" w:type="dxa"/>
          </w:tcPr>
          <w:p w:rsidR="00820202" w:rsidRDefault="00820202">
            <w:pPr>
              <w:framePr w:w="4400" w:h="1644" w:wrap="notBeside" w:vAnchor="page" w:hAnchor="page" w:x="6573" w:y="721"/>
            </w:pPr>
          </w:p>
        </w:tc>
        <w:tc>
          <w:tcPr>
            <w:tcW w:w="2347" w:type="dxa"/>
            <w:gridSpan w:val="2"/>
          </w:tcPr>
          <w:p w:rsidR="00820202" w:rsidRDefault="00820202">
            <w:pPr>
              <w:framePr w:w="4400" w:h="1644" w:wrap="notBeside" w:vAnchor="page" w:hAnchor="page" w:x="6573" w:y="721"/>
            </w:pPr>
          </w:p>
        </w:tc>
      </w:tr>
    </w:tbl>
    <w:tbl>
      <w:tblPr>
        <w:tblW w:w="0" w:type="auto"/>
        <w:tblLayout w:type="fixed"/>
        <w:tblLook w:val="0000"/>
      </w:tblPr>
      <w:tblGrid>
        <w:gridCol w:w="4911"/>
      </w:tblGrid>
      <w:tr w:rsidR="00820202">
        <w:trPr>
          <w:trHeight w:val="2400"/>
        </w:trPr>
        <w:tc>
          <w:tcPr>
            <w:tcW w:w="4911" w:type="dxa"/>
          </w:tcPr>
          <w:p w:rsidR="00820202" w:rsidRDefault="00820202">
            <w:pPr>
              <w:pStyle w:val="Avsndare"/>
              <w:framePr w:h="2483" w:wrap="notBeside" w:x="1504"/>
              <w:rPr>
                <w:b/>
                <w:i w:val="0"/>
                <w:sz w:val="22"/>
              </w:rPr>
            </w:pPr>
            <w:r>
              <w:rPr>
                <w:b/>
                <w:i w:val="0"/>
                <w:sz w:val="22"/>
              </w:rPr>
              <w:t>Statsrådsberedningen</w:t>
            </w:r>
          </w:p>
          <w:p w:rsidR="00820202" w:rsidRDefault="00820202">
            <w:pPr>
              <w:pStyle w:val="Avsndare"/>
              <w:framePr w:h="2483" w:wrap="notBeside" w:x="1504"/>
            </w:pPr>
          </w:p>
          <w:p w:rsidR="00820202" w:rsidRDefault="00820202">
            <w:pPr>
              <w:pStyle w:val="Avsndare"/>
              <w:framePr w:h="2483" w:wrap="notBeside" w:x="1504"/>
            </w:pPr>
            <w:r>
              <w:t>EU-kansliet</w:t>
            </w:r>
          </w:p>
          <w:p w:rsidR="00820202" w:rsidRDefault="00820202">
            <w:pPr>
              <w:pStyle w:val="Avsndare"/>
              <w:framePr w:h="2483" w:wrap="notBeside" w:x="1504"/>
            </w:pPr>
          </w:p>
          <w:p w:rsidR="00820202" w:rsidRDefault="00820202">
            <w:pPr>
              <w:pStyle w:val="Avsndare"/>
              <w:framePr w:h="2483" w:wrap="notBeside" w:x="1504"/>
            </w:pPr>
          </w:p>
          <w:p w:rsidR="00820202" w:rsidRDefault="00820202">
            <w:pPr>
              <w:pStyle w:val="Avsndare"/>
              <w:framePr w:h="2483" w:wrap="notBeside" w:x="1504"/>
            </w:pPr>
          </w:p>
          <w:p w:rsidR="00820202" w:rsidRDefault="00820202">
            <w:pPr>
              <w:pStyle w:val="Avsndare"/>
              <w:framePr w:h="2483" w:wrap="notBeside" w:x="1504"/>
              <w:rPr>
                <w:b/>
                <w:i w:val="0"/>
                <w:sz w:val="22"/>
              </w:rPr>
            </w:pPr>
          </w:p>
        </w:tc>
      </w:tr>
    </w:tbl>
    <w:p w:rsidR="00820202" w:rsidRDefault="00820202">
      <w:pPr>
        <w:framePr w:w="4400" w:h="2523" w:wrap="notBeside" w:vAnchor="page" w:hAnchor="page" w:x="6453" w:y="2445"/>
        <w:ind w:left="142"/>
      </w:pPr>
    </w:p>
    <w:p w:rsidR="00820202" w:rsidRDefault="00820202">
      <w:pPr>
        <w:pStyle w:val="UDrubrik"/>
        <w:tabs>
          <w:tab w:val="left" w:pos="1701"/>
          <w:tab w:val="left" w:pos="1985"/>
        </w:tabs>
        <w:rPr>
          <w:rFonts w:cs="Arial"/>
          <w:sz w:val="28"/>
        </w:rPr>
      </w:pPr>
      <w:bookmarkStart w:id="0" w:name="_Toc67391946"/>
      <w:bookmarkStart w:id="1" w:name="_Toc70473239"/>
      <w:r>
        <w:rPr>
          <w:rFonts w:cs="Arial"/>
          <w:sz w:val="28"/>
        </w:rPr>
        <w:t xml:space="preserve">Troliga A-punkter inför kommande rådsmöten som godkändes vid Coreper </w:t>
      </w:r>
      <w:bookmarkEnd w:id="0"/>
      <w:bookmarkEnd w:id="1"/>
      <w:r>
        <w:rPr>
          <w:rFonts w:cs="Arial"/>
          <w:sz w:val="28"/>
        </w:rPr>
        <w:t>I vecka 47.</w:t>
      </w:r>
    </w:p>
    <w:p w:rsidR="00820202" w:rsidRDefault="00820202" w:rsidP="00697CC7">
      <w:pPr>
        <w:pStyle w:val="BodyText"/>
      </w:pPr>
    </w:p>
    <w:p w:rsidR="00820202" w:rsidRDefault="00820202" w:rsidP="00697CC7">
      <w:pPr>
        <w:pStyle w:val="BodyText"/>
      </w:pPr>
      <w:r>
        <w:t xml:space="preserve">Översänds för skriftligt samråd vecka 47 till fredagen den 23 november 2012, </w:t>
      </w:r>
    </w:p>
    <w:p w:rsidR="00820202" w:rsidRDefault="00820202" w:rsidP="00697CC7">
      <w:pPr>
        <w:pStyle w:val="BodyText"/>
      </w:pPr>
      <w:r>
        <w:t>kl. 14.00.</w:t>
      </w:r>
    </w:p>
    <w:p w:rsidR="00820202" w:rsidRDefault="00820202">
      <w:pPr>
        <w:spacing w:line="240" w:lineRule="auto"/>
        <w:rPr>
          <w:rFonts w:ascii="Garamond" w:hAnsi="Garamond"/>
        </w:rPr>
      </w:pPr>
      <w:r>
        <w:br w:type="page"/>
      </w:r>
    </w:p>
    <w:p w:rsidR="00820202" w:rsidRPr="00697CC7" w:rsidRDefault="00820202" w:rsidP="00697CC7">
      <w:pPr>
        <w:pStyle w:val="BodyText"/>
      </w:pPr>
    </w:p>
    <w:p w:rsidR="00820202" w:rsidRDefault="00820202">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820202" w:rsidRDefault="00820202">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41270422" w:history="1">
        <w:r w:rsidRPr="00C45D32">
          <w:rPr>
            <w:rStyle w:val="Hyperlink"/>
            <w:noProof/>
          </w:rPr>
          <w:t>Frågor som lösts i förberedande instanser</w:t>
        </w:r>
        <w:r>
          <w:rPr>
            <w:noProof/>
            <w:webHidden/>
          </w:rPr>
          <w:tab/>
        </w:r>
        <w:r>
          <w:rPr>
            <w:noProof/>
            <w:webHidden/>
          </w:rPr>
          <w:fldChar w:fldCharType="begin"/>
        </w:r>
        <w:r>
          <w:rPr>
            <w:noProof/>
            <w:webHidden/>
          </w:rPr>
          <w:instrText xml:space="preserve"> PAGEREF _Toc341270422 \h </w:instrText>
        </w:r>
        <w:r>
          <w:rPr>
            <w:noProof/>
            <w:webHidden/>
          </w:rPr>
        </w:r>
        <w:r>
          <w:rPr>
            <w:noProof/>
            <w:webHidden/>
          </w:rPr>
          <w:fldChar w:fldCharType="separate"/>
        </w:r>
        <w:r>
          <w:rPr>
            <w:noProof/>
            <w:webHidden/>
          </w:rPr>
          <w:t>5</w:t>
        </w:r>
        <w:r>
          <w:rPr>
            <w:noProof/>
            <w:webHidden/>
          </w:rPr>
          <w:fldChar w:fldCharType="end"/>
        </w:r>
      </w:hyperlink>
    </w:p>
    <w:p w:rsidR="00820202" w:rsidRDefault="00820202">
      <w:pPr>
        <w:pStyle w:val="TOC1"/>
        <w:tabs>
          <w:tab w:val="right" w:leader="dot" w:pos="7644"/>
        </w:tabs>
        <w:rPr>
          <w:rFonts w:ascii="Calibri" w:hAnsi="Calibri"/>
          <w:b w:val="0"/>
          <w:bCs w:val="0"/>
          <w:caps w:val="0"/>
          <w:noProof/>
          <w:sz w:val="22"/>
          <w:szCs w:val="22"/>
          <w:lang w:eastAsia="sv-SE"/>
        </w:rPr>
      </w:pPr>
      <w:hyperlink w:anchor="_Toc341270423" w:history="1">
        <w:r w:rsidRPr="00C45D32">
          <w:rPr>
            <w:rStyle w:val="Hyperlink"/>
            <w:noProof/>
          </w:rPr>
          <w:t>Troliga A-punkter inför kommande rådsmöten som godkändes vid Coreper I 2012-11-21.</w:t>
        </w:r>
        <w:r>
          <w:rPr>
            <w:noProof/>
            <w:webHidden/>
          </w:rPr>
          <w:tab/>
        </w:r>
        <w:r>
          <w:rPr>
            <w:noProof/>
            <w:webHidden/>
          </w:rPr>
          <w:fldChar w:fldCharType="begin"/>
        </w:r>
        <w:r>
          <w:rPr>
            <w:noProof/>
            <w:webHidden/>
          </w:rPr>
          <w:instrText xml:space="preserve"> PAGEREF _Toc341270423 \h </w:instrText>
        </w:r>
        <w:r>
          <w:rPr>
            <w:noProof/>
            <w:webHidden/>
          </w:rPr>
        </w:r>
        <w:r>
          <w:rPr>
            <w:noProof/>
            <w:webHidden/>
          </w:rPr>
          <w:fldChar w:fldCharType="separate"/>
        </w:r>
        <w:r>
          <w:rPr>
            <w:noProof/>
            <w:webHidden/>
          </w:rPr>
          <w:t>5</w:t>
        </w:r>
        <w:r>
          <w:rPr>
            <w:noProof/>
            <w:webHidden/>
          </w:rPr>
          <w:fldChar w:fldCharType="end"/>
        </w:r>
      </w:hyperlink>
    </w:p>
    <w:p w:rsidR="00820202" w:rsidRDefault="00820202">
      <w:pPr>
        <w:pStyle w:val="TOC2"/>
        <w:tabs>
          <w:tab w:val="right" w:leader="dot" w:pos="7644"/>
        </w:tabs>
        <w:rPr>
          <w:rFonts w:ascii="Calibri" w:hAnsi="Calibri"/>
          <w:b w:val="0"/>
          <w:bCs w:val="0"/>
          <w:noProof/>
          <w:sz w:val="22"/>
          <w:szCs w:val="22"/>
          <w:lang w:eastAsia="sv-SE"/>
        </w:rPr>
      </w:pPr>
      <w:hyperlink w:anchor="_Toc341270424" w:history="1">
        <w:r w:rsidRPr="00C45D32">
          <w:rPr>
            <w:rStyle w:val="Hyperlink"/>
            <w:noProof/>
          </w:rPr>
          <w:t>1. Replies to written questions put to the Council by Members of the European Parliament(+)(a) n° E-008546/2012 put by Maria Badia i Cutchet and Raimon Obiols "Growth plan approved by the European council in June 2012" (b) n° E-008554/2012 put by Laurence J.A.J. Stassen and Lucas Hartong "Greece continues buying large numbers of weapons systems despite crisis"  (c) n° E-008979/2012 put by Ramon Tremosa i Balcells and Raül Romeva i Rueda "The director of El Mundo newspaper compares the Camp Nou stadium and the Catalan flag to the fascist salute and to 1936 Berlin in blatant opposition to the fundamental values of the European Union"</w:t>
        </w:r>
        <w:r>
          <w:rPr>
            <w:noProof/>
            <w:webHidden/>
          </w:rPr>
          <w:tab/>
        </w:r>
        <w:r>
          <w:rPr>
            <w:noProof/>
            <w:webHidden/>
          </w:rPr>
          <w:fldChar w:fldCharType="begin"/>
        </w:r>
        <w:r>
          <w:rPr>
            <w:noProof/>
            <w:webHidden/>
          </w:rPr>
          <w:instrText xml:space="preserve"> PAGEREF _Toc341270424 \h </w:instrText>
        </w:r>
        <w:r>
          <w:rPr>
            <w:noProof/>
            <w:webHidden/>
          </w:rPr>
        </w:r>
        <w:r>
          <w:rPr>
            <w:noProof/>
            <w:webHidden/>
          </w:rPr>
          <w:fldChar w:fldCharType="separate"/>
        </w:r>
        <w:r>
          <w:rPr>
            <w:noProof/>
            <w:webHidden/>
          </w:rPr>
          <w:t>5</w:t>
        </w:r>
        <w:r>
          <w:rPr>
            <w:noProof/>
            <w:webHidden/>
          </w:rPr>
          <w:fldChar w:fldCharType="end"/>
        </w:r>
      </w:hyperlink>
    </w:p>
    <w:p w:rsidR="00820202" w:rsidRDefault="00820202">
      <w:pPr>
        <w:pStyle w:val="TOC2"/>
        <w:tabs>
          <w:tab w:val="right" w:leader="dot" w:pos="7644"/>
        </w:tabs>
        <w:rPr>
          <w:rFonts w:ascii="Calibri" w:hAnsi="Calibri"/>
          <w:b w:val="0"/>
          <w:bCs w:val="0"/>
          <w:noProof/>
          <w:sz w:val="22"/>
          <w:szCs w:val="22"/>
          <w:lang w:eastAsia="sv-SE"/>
        </w:rPr>
      </w:pPr>
      <w:hyperlink w:anchor="_Toc341270425" w:history="1">
        <w:r w:rsidRPr="00C45D32">
          <w:rPr>
            <w:rStyle w:val="Hyperlink"/>
            <w:noProof/>
          </w:rPr>
          <w:t>2. Case law of the Court of Justice of the EU in cases involving the Council (1st January to 30 June 2012)= Information for the Permanent Representatives Committee (Part 1)</w:t>
        </w:r>
        <w:r>
          <w:rPr>
            <w:noProof/>
            <w:webHidden/>
          </w:rPr>
          <w:tab/>
        </w:r>
        <w:r>
          <w:rPr>
            <w:noProof/>
            <w:webHidden/>
          </w:rPr>
          <w:fldChar w:fldCharType="begin"/>
        </w:r>
        <w:r>
          <w:rPr>
            <w:noProof/>
            <w:webHidden/>
          </w:rPr>
          <w:instrText xml:space="preserve"> PAGEREF _Toc341270425 \h </w:instrText>
        </w:r>
        <w:r>
          <w:rPr>
            <w:noProof/>
            <w:webHidden/>
          </w:rPr>
        </w:r>
        <w:r>
          <w:rPr>
            <w:noProof/>
            <w:webHidden/>
          </w:rPr>
          <w:fldChar w:fldCharType="separate"/>
        </w:r>
        <w:r>
          <w:rPr>
            <w:noProof/>
            <w:webHidden/>
          </w:rPr>
          <w:t>6</w:t>
        </w:r>
        <w:r>
          <w:rPr>
            <w:noProof/>
            <w:webHidden/>
          </w:rPr>
          <w:fldChar w:fldCharType="end"/>
        </w:r>
      </w:hyperlink>
    </w:p>
    <w:p w:rsidR="00820202" w:rsidRDefault="00820202">
      <w:pPr>
        <w:pStyle w:val="TOC2"/>
        <w:tabs>
          <w:tab w:val="right" w:leader="dot" w:pos="7644"/>
        </w:tabs>
        <w:rPr>
          <w:rFonts w:ascii="Calibri" w:hAnsi="Calibri"/>
          <w:b w:val="0"/>
          <w:bCs w:val="0"/>
          <w:noProof/>
          <w:sz w:val="22"/>
          <w:szCs w:val="22"/>
          <w:lang w:eastAsia="sv-SE"/>
        </w:rPr>
      </w:pPr>
      <w:hyperlink w:anchor="_Toc341270426" w:history="1">
        <w:r w:rsidRPr="00C45D32">
          <w:rPr>
            <w:rStyle w:val="Hyperlink"/>
            <w:noProof/>
          </w:rPr>
          <w:t>3. Committee of the Regions Appointment of a Belgian member and a Belgian alternate member = Adoption</w:t>
        </w:r>
        <w:r>
          <w:rPr>
            <w:noProof/>
            <w:webHidden/>
          </w:rPr>
          <w:tab/>
        </w:r>
        <w:r>
          <w:rPr>
            <w:noProof/>
            <w:webHidden/>
          </w:rPr>
          <w:fldChar w:fldCharType="begin"/>
        </w:r>
        <w:r>
          <w:rPr>
            <w:noProof/>
            <w:webHidden/>
          </w:rPr>
          <w:instrText xml:space="preserve"> PAGEREF _Toc341270426 \h </w:instrText>
        </w:r>
        <w:r>
          <w:rPr>
            <w:noProof/>
            <w:webHidden/>
          </w:rPr>
        </w:r>
        <w:r>
          <w:rPr>
            <w:noProof/>
            <w:webHidden/>
          </w:rPr>
          <w:fldChar w:fldCharType="separate"/>
        </w:r>
        <w:r>
          <w:rPr>
            <w:noProof/>
            <w:webHidden/>
          </w:rPr>
          <w:t>6</w:t>
        </w:r>
        <w:r>
          <w:rPr>
            <w:noProof/>
            <w:webHidden/>
          </w:rPr>
          <w:fldChar w:fldCharType="end"/>
        </w:r>
      </w:hyperlink>
    </w:p>
    <w:p w:rsidR="00820202" w:rsidRDefault="00820202">
      <w:pPr>
        <w:pStyle w:val="TOC2"/>
        <w:tabs>
          <w:tab w:val="right" w:leader="dot" w:pos="7644"/>
        </w:tabs>
        <w:rPr>
          <w:rFonts w:ascii="Calibri" w:hAnsi="Calibri"/>
          <w:b w:val="0"/>
          <w:bCs w:val="0"/>
          <w:noProof/>
          <w:sz w:val="22"/>
          <w:szCs w:val="22"/>
          <w:lang w:eastAsia="sv-SE"/>
        </w:rPr>
      </w:pPr>
      <w:hyperlink w:anchor="_Toc341270427" w:history="1">
        <w:r w:rsidRPr="00C45D32">
          <w:rPr>
            <w:rStyle w:val="Hyperlink"/>
            <w:noProof/>
          </w:rPr>
          <w:t>4. Governing Board of the European Centre for the Development of Vocational Training (CEDEFOP) Renewal of the appointment in the category of representatives of Employers' organisations of: Ms Ana Maria SANTOS GOUVEIA LOPES (PT), Mr Martin HOSTAK (SK), Ms Kate LING (UK) = Adoption</w:t>
        </w:r>
        <w:r>
          <w:rPr>
            <w:noProof/>
            <w:webHidden/>
          </w:rPr>
          <w:tab/>
        </w:r>
        <w:r>
          <w:rPr>
            <w:noProof/>
            <w:webHidden/>
          </w:rPr>
          <w:fldChar w:fldCharType="begin"/>
        </w:r>
        <w:r>
          <w:rPr>
            <w:noProof/>
            <w:webHidden/>
          </w:rPr>
          <w:instrText xml:space="preserve"> PAGEREF _Toc341270427 \h </w:instrText>
        </w:r>
        <w:r>
          <w:rPr>
            <w:noProof/>
            <w:webHidden/>
          </w:rPr>
        </w:r>
        <w:r>
          <w:rPr>
            <w:noProof/>
            <w:webHidden/>
          </w:rPr>
          <w:fldChar w:fldCharType="separate"/>
        </w:r>
        <w:r>
          <w:rPr>
            <w:noProof/>
            <w:webHidden/>
          </w:rPr>
          <w:t>6</w:t>
        </w:r>
        <w:r>
          <w:rPr>
            <w:noProof/>
            <w:webHidden/>
          </w:rPr>
          <w:fldChar w:fldCharType="end"/>
        </w:r>
      </w:hyperlink>
    </w:p>
    <w:p w:rsidR="00820202" w:rsidRDefault="00820202">
      <w:pPr>
        <w:pStyle w:val="TOC2"/>
        <w:tabs>
          <w:tab w:val="right" w:leader="dot" w:pos="7644"/>
        </w:tabs>
        <w:rPr>
          <w:rFonts w:ascii="Calibri" w:hAnsi="Calibri"/>
          <w:b w:val="0"/>
          <w:bCs w:val="0"/>
          <w:noProof/>
          <w:sz w:val="22"/>
          <w:szCs w:val="22"/>
          <w:lang w:eastAsia="sv-SE"/>
        </w:rPr>
      </w:pPr>
      <w:hyperlink w:anchor="_Toc341270428" w:history="1">
        <w:r w:rsidRPr="00C45D32">
          <w:rPr>
            <w:rStyle w:val="Hyperlink"/>
            <w:noProof/>
          </w:rPr>
          <w:t>5. Proposal for a Council Decision on the position to be taken on behalf of the European Union within the Stabilisation and Association Council established by the Stabilisation and Association Agreement between the European Communities and their Member States, of the one part, and the Republic of Albania, of the other part, with regard to the provisions on the coordination of social security systems (Legislative deliberation) = Adoption</w:t>
        </w:r>
        <w:r>
          <w:rPr>
            <w:noProof/>
            <w:webHidden/>
          </w:rPr>
          <w:tab/>
        </w:r>
        <w:r>
          <w:rPr>
            <w:noProof/>
            <w:webHidden/>
          </w:rPr>
          <w:fldChar w:fldCharType="begin"/>
        </w:r>
        <w:r>
          <w:rPr>
            <w:noProof/>
            <w:webHidden/>
          </w:rPr>
          <w:instrText xml:space="preserve"> PAGEREF _Toc341270428 \h </w:instrText>
        </w:r>
        <w:r>
          <w:rPr>
            <w:noProof/>
            <w:webHidden/>
          </w:rPr>
        </w:r>
        <w:r>
          <w:rPr>
            <w:noProof/>
            <w:webHidden/>
          </w:rPr>
          <w:fldChar w:fldCharType="separate"/>
        </w:r>
        <w:r>
          <w:rPr>
            <w:noProof/>
            <w:webHidden/>
          </w:rPr>
          <w:t>6</w:t>
        </w:r>
        <w:r>
          <w:rPr>
            <w:noProof/>
            <w:webHidden/>
          </w:rPr>
          <w:fldChar w:fldCharType="end"/>
        </w:r>
      </w:hyperlink>
    </w:p>
    <w:p w:rsidR="00820202" w:rsidRDefault="00820202">
      <w:pPr>
        <w:pStyle w:val="TOC2"/>
        <w:tabs>
          <w:tab w:val="right" w:leader="dot" w:pos="7644"/>
        </w:tabs>
        <w:rPr>
          <w:rFonts w:ascii="Calibri" w:hAnsi="Calibri"/>
          <w:b w:val="0"/>
          <w:bCs w:val="0"/>
          <w:noProof/>
          <w:sz w:val="22"/>
          <w:szCs w:val="22"/>
          <w:lang w:eastAsia="sv-SE"/>
        </w:rPr>
      </w:pPr>
      <w:hyperlink w:anchor="_Toc341270429" w:history="1">
        <w:r w:rsidRPr="00C45D32">
          <w:rPr>
            <w:rStyle w:val="Hyperlink"/>
            <w:noProof/>
          </w:rPr>
          <w:t>6. Proposal for a Council Decision on the position to be taken on behalf of the European Union within the Stabilisation and Association Council established by the Stabilisation and Association Agreement between the European Communities and their Member States, of the one part, and the Republic of Montenegro, of the other part, with regard to the provisions on the coordination of social security systems (Legislative deliberation)= Adoption</w:t>
        </w:r>
        <w:r>
          <w:rPr>
            <w:noProof/>
            <w:webHidden/>
          </w:rPr>
          <w:tab/>
        </w:r>
        <w:r>
          <w:rPr>
            <w:noProof/>
            <w:webHidden/>
          </w:rPr>
          <w:fldChar w:fldCharType="begin"/>
        </w:r>
        <w:r>
          <w:rPr>
            <w:noProof/>
            <w:webHidden/>
          </w:rPr>
          <w:instrText xml:space="preserve"> PAGEREF _Toc341270429 \h </w:instrText>
        </w:r>
        <w:r>
          <w:rPr>
            <w:noProof/>
            <w:webHidden/>
          </w:rPr>
        </w:r>
        <w:r>
          <w:rPr>
            <w:noProof/>
            <w:webHidden/>
          </w:rPr>
          <w:fldChar w:fldCharType="separate"/>
        </w:r>
        <w:r>
          <w:rPr>
            <w:noProof/>
            <w:webHidden/>
          </w:rPr>
          <w:t>8</w:t>
        </w:r>
        <w:r>
          <w:rPr>
            <w:noProof/>
            <w:webHidden/>
          </w:rPr>
          <w:fldChar w:fldCharType="end"/>
        </w:r>
      </w:hyperlink>
    </w:p>
    <w:p w:rsidR="00820202" w:rsidRDefault="00820202">
      <w:pPr>
        <w:pStyle w:val="TOC2"/>
        <w:tabs>
          <w:tab w:val="right" w:leader="dot" w:pos="7644"/>
        </w:tabs>
        <w:rPr>
          <w:rFonts w:ascii="Calibri" w:hAnsi="Calibri"/>
          <w:b w:val="0"/>
          <w:bCs w:val="0"/>
          <w:noProof/>
          <w:sz w:val="22"/>
          <w:szCs w:val="22"/>
          <w:lang w:eastAsia="sv-SE"/>
        </w:rPr>
      </w:pPr>
      <w:hyperlink w:anchor="_Toc341270430" w:history="1">
        <w:r w:rsidRPr="00C45D32">
          <w:rPr>
            <w:rStyle w:val="Hyperlink"/>
            <w:noProof/>
          </w:rPr>
          <w:t>7. Proposal for a Council Decision on the position to be taken by the European Union within the Cooperation Committee established by the Agreement on Cooperation and Customs Union between the European Economic Community and its Member States, of the one part, and the Republic of San Marino, of the other part, with regard to the adoption of provisions on the coordination of social security systems (Legislative deliberation) = Adoption</w:t>
        </w:r>
        <w:r>
          <w:rPr>
            <w:noProof/>
            <w:webHidden/>
          </w:rPr>
          <w:tab/>
        </w:r>
        <w:r>
          <w:rPr>
            <w:noProof/>
            <w:webHidden/>
          </w:rPr>
          <w:fldChar w:fldCharType="begin"/>
        </w:r>
        <w:r>
          <w:rPr>
            <w:noProof/>
            <w:webHidden/>
          </w:rPr>
          <w:instrText xml:space="preserve"> PAGEREF _Toc341270430 \h </w:instrText>
        </w:r>
        <w:r>
          <w:rPr>
            <w:noProof/>
            <w:webHidden/>
          </w:rPr>
        </w:r>
        <w:r>
          <w:rPr>
            <w:noProof/>
            <w:webHidden/>
          </w:rPr>
          <w:fldChar w:fldCharType="separate"/>
        </w:r>
        <w:r>
          <w:rPr>
            <w:noProof/>
            <w:webHidden/>
          </w:rPr>
          <w:t>9</w:t>
        </w:r>
        <w:r>
          <w:rPr>
            <w:noProof/>
            <w:webHidden/>
          </w:rPr>
          <w:fldChar w:fldCharType="end"/>
        </w:r>
      </w:hyperlink>
    </w:p>
    <w:p w:rsidR="00820202" w:rsidRDefault="00820202">
      <w:pPr>
        <w:pStyle w:val="TOC2"/>
        <w:tabs>
          <w:tab w:val="right" w:leader="dot" w:pos="7644"/>
        </w:tabs>
        <w:rPr>
          <w:rFonts w:ascii="Calibri" w:hAnsi="Calibri"/>
          <w:b w:val="0"/>
          <w:bCs w:val="0"/>
          <w:noProof/>
          <w:sz w:val="22"/>
          <w:szCs w:val="22"/>
          <w:lang w:eastAsia="sv-SE"/>
        </w:rPr>
      </w:pPr>
      <w:hyperlink w:anchor="_Toc341270431" w:history="1">
        <w:r w:rsidRPr="00C45D32">
          <w:rPr>
            <w:rStyle w:val="Hyperlink"/>
            <w:noProof/>
          </w:rPr>
          <w:t>8. Proposal for a Council Decision on the position to be taken on behalf of the European Union within the Association Council set up by the Agreement establishing an association between the European Economic Community and Turkey with regard to the provisions on the coordination of social security systems (Legislative deliberation) = Adoption</w:t>
        </w:r>
        <w:r>
          <w:rPr>
            <w:noProof/>
            <w:webHidden/>
          </w:rPr>
          <w:tab/>
        </w:r>
        <w:r>
          <w:rPr>
            <w:noProof/>
            <w:webHidden/>
          </w:rPr>
          <w:fldChar w:fldCharType="begin"/>
        </w:r>
        <w:r>
          <w:rPr>
            <w:noProof/>
            <w:webHidden/>
          </w:rPr>
          <w:instrText xml:space="preserve"> PAGEREF _Toc341270431 \h </w:instrText>
        </w:r>
        <w:r>
          <w:rPr>
            <w:noProof/>
            <w:webHidden/>
          </w:rPr>
        </w:r>
        <w:r>
          <w:rPr>
            <w:noProof/>
            <w:webHidden/>
          </w:rPr>
          <w:fldChar w:fldCharType="separate"/>
        </w:r>
        <w:r>
          <w:rPr>
            <w:noProof/>
            <w:webHidden/>
          </w:rPr>
          <w:t>10</w:t>
        </w:r>
        <w:r>
          <w:rPr>
            <w:noProof/>
            <w:webHidden/>
          </w:rPr>
          <w:fldChar w:fldCharType="end"/>
        </w:r>
      </w:hyperlink>
    </w:p>
    <w:p w:rsidR="00820202" w:rsidRDefault="00820202">
      <w:pPr>
        <w:pStyle w:val="TOC2"/>
        <w:tabs>
          <w:tab w:val="right" w:leader="dot" w:pos="7644"/>
        </w:tabs>
        <w:rPr>
          <w:rFonts w:ascii="Calibri" w:hAnsi="Calibri"/>
          <w:b w:val="0"/>
          <w:bCs w:val="0"/>
          <w:noProof/>
          <w:sz w:val="22"/>
          <w:szCs w:val="22"/>
          <w:lang w:eastAsia="sv-SE"/>
        </w:rPr>
      </w:pPr>
      <w:hyperlink w:anchor="_Toc341270432" w:history="1">
        <w:r w:rsidRPr="00C45D32">
          <w:rPr>
            <w:rStyle w:val="Hyperlink"/>
            <w:noProof/>
          </w:rPr>
          <w:t>9. Proposal for a Council Decision on establishing the European Union position on a draft Decision of the Ministerial Council of the Energy Community concerning the implementation of Article 9 of Directive 2009/73/EC by the Republic of Moldova = Adoption</w:t>
        </w:r>
        <w:r>
          <w:rPr>
            <w:noProof/>
            <w:webHidden/>
          </w:rPr>
          <w:tab/>
        </w:r>
        <w:r>
          <w:rPr>
            <w:noProof/>
            <w:webHidden/>
          </w:rPr>
          <w:fldChar w:fldCharType="begin"/>
        </w:r>
        <w:r>
          <w:rPr>
            <w:noProof/>
            <w:webHidden/>
          </w:rPr>
          <w:instrText xml:space="preserve"> PAGEREF _Toc341270432 \h </w:instrText>
        </w:r>
        <w:r>
          <w:rPr>
            <w:noProof/>
            <w:webHidden/>
          </w:rPr>
        </w:r>
        <w:r>
          <w:rPr>
            <w:noProof/>
            <w:webHidden/>
          </w:rPr>
          <w:fldChar w:fldCharType="separate"/>
        </w:r>
        <w:r>
          <w:rPr>
            <w:noProof/>
            <w:webHidden/>
          </w:rPr>
          <w:t>11</w:t>
        </w:r>
        <w:r>
          <w:rPr>
            <w:noProof/>
            <w:webHidden/>
          </w:rPr>
          <w:fldChar w:fldCharType="end"/>
        </w:r>
      </w:hyperlink>
    </w:p>
    <w:p w:rsidR="00820202" w:rsidRDefault="00820202">
      <w:pPr>
        <w:pStyle w:val="TOC2"/>
        <w:tabs>
          <w:tab w:val="right" w:leader="dot" w:pos="7644"/>
        </w:tabs>
        <w:rPr>
          <w:rFonts w:ascii="Calibri" w:hAnsi="Calibri"/>
          <w:b w:val="0"/>
          <w:bCs w:val="0"/>
          <w:noProof/>
          <w:sz w:val="22"/>
          <w:szCs w:val="22"/>
          <w:lang w:eastAsia="sv-SE"/>
        </w:rPr>
      </w:pPr>
      <w:hyperlink w:anchor="_Toc341270433" w:history="1">
        <w:r w:rsidRPr="00C45D32">
          <w:rPr>
            <w:rStyle w:val="Hyperlink"/>
            <w:noProof/>
          </w:rPr>
          <w:t>10. Proposal for a Council Regulation on the allocation of the fishing opportunities under the Protocol agreed between the European Union and the Republic of Madagascar setting out fishing opportunities and the financial contribution provided for in the Fisheries Partnership Agreement between the two parties currently in force = Adoption</w:t>
        </w:r>
        <w:r>
          <w:rPr>
            <w:noProof/>
            <w:webHidden/>
          </w:rPr>
          <w:tab/>
        </w:r>
        <w:r>
          <w:rPr>
            <w:noProof/>
            <w:webHidden/>
          </w:rPr>
          <w:fldChar w:fldCharType="begin"/>
        </w:r>
        <w:r>
          <w:rPr>
            <w:noProof/>
            <w:webHidden/>
          </w:rPr>
          <w:instrText xml:space="preserve"> PAGEREF _Toc341270433 \h </w:instrText>
        </w:r>
        <w:r>
          <w:rPr>
            <w:noProof/>
            <w:webHidden/>
          </w:rPr>
        </w:r>
        <w:r>
          <w:rPr>
            <w:noProof/>
            <w:webHidden/>
          </w:rPr>
          <w:fldChar w:fldCharType="separate"/>
        </w:r>
        <w:r>
          <w:rPr>
            <w:noProof/>
            <w:webHidden/>
          </w:rPr>
          <w:t>12</w:t>
        </w:r>
        <w:r>
          <w:rPr>
            <w:noProof/>
            <w:webHidden/>
          </w:rPr>
          <w:fldChar w:fldCharType="end"/>
        </w:r>
      </w:hyperlink>
    </w:p>
    <w:p w:rsidR="00820202" w:rsidRDefault="00820202">
      <w:pPr>
        <w:pStyle w:val="TOC2"/>
        <w:tabs>
          <w:tab w:val="right" w:leader="dot" w:pos="7644"/>
        </w:tabs>
        <w:rPr>
          <w:rFonts w:ascii="Calibri" w:hAnsi="Calibri"/>
          <w:b w:val="0"/>
          <w:bCs w:val="0"/>
          <w:noProof/>
          <w:sz w:val="22"/>
          <w:szCs w:val="22"/>
          <w:lang w:eastAsia="sv-SE"/>
        </w:rPr>
      </w:pPr>
      <w:hyperlink w:anchor="_Toc341270434" w:history="1">
        <w:r w:rsidRPr="00C45D32">
          <w:rPr>
            <w:rStyle w:val="Hyperlink"/>
            <w:noProof/>
          </w:rPr>
          <w:t>11. Proposal for a Council Decision on the signature, on behalf of the European Union, and on the provisional application of the Protocol agreed between the European Union and the Republic of Madagascar setting out fishing opportunities and the financial contribution provided for in the Fisheries Partnership Agreement between the two parties currently in force = Adoption</w:t>
        </w:r>
        <w:r>
          <w:rPr>
            <w:noProof/>
            <w:webHidden/>
          </w:rPr>
          <w:tab/>
        </w:r>
        <w:r>
          <w:rPr>
            <w:noProof/>
            <w:webHidden/>
          </w:rPr>
          <w:fldChar w:fldCharType="begin"/>
        </w:r>
        <w:r>
          <w:rPr>
            <w:noProof/>
            <w:webHidden/>
          </w:rPr>
          <w:instrText xml:space="preserve"> PAGEREF _Toc341270434 \h </w:instrText>
        </w:r>
        <w:r>
          <w:rPr>
            <w:noProof/>
            <w:webHidden/>
          </w:rPr>
        </w:r>
        <w:r>
          <w:rPr>
            <w:noProof/>
            <w:webHidden/>
          </w:rPr>
          <w:fldChar w:fldCharType="separate"/>
        </w:r>
        <w:r>
          <w:rPr>
            <w:noProof/>
            <w:webHidden/>
          </w:rPr>
          <w:t>14</w:t>
        </w:r>
        <w:r>
          <w:rPr>
            <w:noProof/>
            <w:webHidden/>
          </w:rPr>
          <w:fldChar w:fldCharType="end"/>
        </w:r>
      </w:hyperlink>
    </w:p>
    <w:p w:rsidR="00820202" w:rsidRDefault="00820202">
      <w:pPr>
        <w:pStyle w:val="TOC2"/>
        <w:tabs>
          <w:tab w:val="right" w:leader="dot" w:pos="7644"/>
        </w:tabs>
        <w:rPr>
          <w:rFonts w:ascii="Calibri" w:hAnsi="Calibri"/>
          <w:b w:val="0"/>
          <w:bCs w:val="0"/>
          <w:noProof/>
          <w:sz w:val="22"/>
          <w:szCs w:val="22"/>
          <w:lang w:eastAsia="sv-SE"/>
        </w:rPr>
      </w:pPr>
      <w:hyperlink w:anchor="_Toc341270435" w:history="1">
        <w:r w:rsidRPr="00C45D32">
          <w:rPr>
            <w:rStyle w:val="Hyperlink"/>
            <w:noProof/>
          </w:rPr>
          <w:t>12. Proposal for a Council Decision on the conclusion of the Protocol agreed between the European Union and the Republic of Madagascar setting out fishing opportunities and the financial contribution provided for in the Fisheries Partnership Agreement between the two parties currently in force = Request by the Council for the consent of the European Parliament</w:t>
        </w:r>
        <w:r>
          <w:rPr>
            <w:noProof/>
            <w:webHidden/>
          </w:rPr>
          <w:tab/>
        </w:r>
        <w:r>
          <w:rPr>
            <w:noProof/>
            <w:webHidden/>
          </w:rPr>
          <w:fldChar w:fldCharType="begin"/>
        </w:r>
        <w:r>
          <w:rPr>
            <w:noProof/>
            <w:webHidden/>
          </w:rPr>
          <w:instrText xml:space="preserve"> PAGEREF _Toc341270435 \h </w:instrText>
        </w:r>
        <w:r>
          <w:rPr>
            <w:noProof/>
            <w:webHidden/>
          </w:rPr>
        </w:r>
        <w:r>
          <w:rPr>
            <w:noProof/>
            <w:webHidden/>
          </w:rPr>
          <w:fldChar w:fldCharType="separate"/>
        </w:r>
        <w:r>
          <w:rPr>
            <w:noProof/>
            <w:webHidden/>
          </w:rPr>
          <w:t>16</w:t>
        </w:r>
        <w:r>
          <w:rPr>
            <w:noProof/>
            <w:webHidden/>
          </w:rPr>
          <w:fldChar w:fldCharType="end"/>
        </w:r>
      </w:hyperlink>
    </w:p>
    <w:p w:rsidR="00820202" w:rsidRDefault="00820202">
      <w:pPr>
        <w:pStyle w:val="TOC2"/>
        <w:tabs>
          <w:tab w:val="right" w:leader="dot" w:pos="7644"/>
        </w:tabs>
        <w:rPr>
          <w:rFonts w:ascii="Calibri" w:hAnsi="Calibri"/>
          <w:b w:val="0"/>
          <w:bCs w:val="0"/>
          <w:noProof/>
          <w:sz w:val="22"/>
          <w:szCs w:val="22"/>
          <w:lang w:eastAsia="sv-SE"/>
        </w:rPr>
      </w:pPr>
      <w:hyperlink w:anchor="_Toc341270436" w:history="1">
        <w:r w:rsidRPr="00C45D32">
          <w:rPr>
            <w:rStyle w:val="Hyperlink"/>
            <w:noProof/>
          </w:rPr>
          <w:t>13. Commission Delegated Directive ../.../EU of 10.10.2012 amending, for the purposes of adapting to technical progress, Annex III to Directive 2011/65/EU of the European Parliament and of the Council as regards an exemption for applications containing cadmium = Intention not to raise objection to a delegated act</w:t>
        </w:r>
        <w:r>
          <w:rPr>
            <w:noProof/>
            <w:webHidden/>
          </w:rPr>
          <w:tab/>
        </w:r>
        <w:r>
          <w:rPr>
            <w:noProof/>
            <w:webHidden/>
          </w:rPr>
          <w:fldChar w:fldCharType="begin"/>
        </w:r>
        <w:r>
          <w:rPr>
            <w:noProof/>
            <w:webHidden/>
          </w:rPr>
          <w:instrText xml:space="preserve"> PAGEREF _Toc341270436 \h </w:instrText>
        </w:r>
        <w:r>
          <w:rPr>
            <w:noProof/>
            <w:webHidden/>
          </w:rPr>
        </w:r>
        <w:r>
          <w:rPr>
            <w:noProof/>
            <w:webHidden/>
          </w:rPr>
          <w:fldChar w:fldCharType="separate"/>
        </w:r>
        <w:r>
          <w:rPr>
            <w:noProof/>
            <w:webHidden/>
          </w:rPr>
          <w:t>18</w:t>
        </w:r>
        <w:r>
          <w:rPr>
            <w:noProof/>
            <w:webHidden/>
          </w:rPr>
          <w:fldChar w:fldCharType="end"/>
        </w:r>
      </w:hyperlink>
    </w:p>
    <w:p w:rsidR="00820202" w:rsidRDefault="00820202">
      <w:pPr>
        <w:pStyle w:val="TOC2"/>
        <w:tabs>
          <w:tab w:val="right" w:leader="dot" w:pos="7644"/>
        </w:tabs>
        <w:rPr>
          <w:rFonts w:ascii="Calibri" w:hAnsi="Calibri"/>
          <w:b w:val="0"/>
          <w:bCs w:val="0"/>
          <w:noProof/>
          <w:sz w:val="22"/>
          <w:szCs w:val="22"/>
          <w:lang w:eastAsia="sv-SE"/>
        </w:rPr>
      </w:pPr>
      <w:hyperlink w:anchor="_Toc341270437" w:history="1">
        <w:r w:rsidRPr="00C45D32">
          <w:rPr>
            <w:rStyle w:val="Hyperlink"/>
            <w:noProof/>
          </w:rPr>
          <w:t>14. Commission Delegated Directive ../.../EU of 10.10.2012 amending, for the purposes of adapting to technical progress, Annex III to Directive 2011/65/EU of the European Parliament and of the Council as regards an exemption for applications containing lead = Intention not to raise objection to a delegated act</w:t>
        </w:r>
        <w:r>
          <w:rPr>
            <w:noProof/>
            <w:webHidden/>
          </w:rPr>
          <w:tab/>
        </w:r>
        <w:r>
          <w:rPr>
            <w:noProof/>
            <w:webHidden/>
          </w:rPr>
          <w:fldChar w:fldCharType="begin"/>
        </w:r>
        <w:r>
          <w:rPr>
            <w:noProof/>
            <w:webHidden/>
          </w:rPr>
          <w:instrText xml:space="preserve"> PAGEREF _Toc341270437 \h </w:instrText>
        </w:r>
        <w:r>
          <w:rPr>
            <w:noProof/>
            <w:webHidden/>
          </w:rPr>
        </w:r>
        <w:r>
          <w:rPr>
            <w:noProof/>
            <w:webHidden/>
          </w:rPr>
          <w:fldChar w:fldCharType="separate"/>
        </w:r>
        <w:r>
          <w:rPr>
            <w:noProof/>
            <w:webHidden/>
          </w:rPr>
          <w:t>19</w:t>
        </w:r>
        <w:r>
          <w:rPr>
            <w:noProof/>
            <w:webHidden/>
          </w:rPr>
          <w:fldChar w:fldCharType="end"/>
        </w:r>
      </w:hyperlink>
    </w:p>
    <w:p w:rsidR="00820202" w:rsidRDefault="00820202">
      <w:pPr>
        <w:pStyle w:val="TOC2"/>
        <w:tabs>
          <w:tab w:val="right" w:leader="dot" w:pos="7644"/>
        </w:tabs>
        <w:rPr>
          <w:rFonts w:ascii="Calibri" w:hAnsi="Calibri"/>
          <w:b w:val="0"/>
          <w:bCs w:val="0"/>
          <w:noProof/>
          <w:sz w:val="22"/>
          <w:szCs w:val="22"/>
          <w:lang w:eastAsia="sv-SE"/>
        </w:rPr>
      </w:pPr>
      <w:hyperlink w:anchor="_Toc341270438" w:history="1">
        <w:r w:rsidRPr="00C45D32">
          <w:rPr>
            <w:rStyle w:val="Hyperlink"/>
            <w:noProof/>
          </w:rPr>
          <w:t>15. Commission Regulation (EU) No .../.. of XXX amending Directive 2007/46/EC of the European Parliament and of the Council and Commission Regulation (EC) No 692/2008 as regards the determination of CO2 emissions from vehicles submitted to multi-stage type-approval = Decision not to oppose adoption</w:t>
        </w:r>
        <w:r>
          <w:rPr>
            <w:noProof/>
            <w:webHidden/>
          </w:rPr>
          <w:tab/>
        </w:r>
        <w:r>
          <w:rPr>
            <w:noProof/>
            <w:webHidden/>
          </w:rPr>
          <w:fldChar w:fldCharType="begin"/>
        </w:r>
        <w:r>
          <w:rPr>
            <w:noProof/>
            <w:webHidden/>
          </w:rPr>
          <w:instrText xml:space="preserve"> PAGEREF _Toc341270438 \h </w:instrText>
        </w:r>
        <w:r>
          <w:rPr>
            <w:noProof/>
            <w:webHidden/>
          </w:rPr>
        </w:r>
        <w:r>
          <w:rPr>
            <w:noProof/>
            <w:webHidden/>
          </w:rPr>
          <w:fldChar w:fldCharType="separate"/>
        </w:r>
        <w:r>
          <w:rPr>
            <w:noProof/>
            <w:webHidden/>
          </w:rPr>
          <w:t>20</w:t>
        </w:r>
        <w:r>
          <w:rPr>
            <w:noProof/>
            <w:webHidden/>
          </w:rPr>
          <w:fldChar w:fldCharType="end"/>
        </w:r>
      </w:hyperlink>
    </w:p>
    <w:p w:rsidR="00820202" w:rsidRDefault="00820202">
      <w:pPr>
        <w:pStyle w:val="TOC2"/>
        <w:tabs>
          <w:tab w:val="right" w:leader="dot" w:pos="7644"/>
        </w:tabs>
        <w:rPr>
          <w:rFonts w:ascii="Calibri" w:hAnsi="Calibri"/>
          <w:b w:val="0"/>
          <w:bCs w:val="0"/>
          <w:noProof/>
          <w:sz w:val="22"/>
          <w:szCs w:val="22"/>
          <w:lang w:eastAsia="sv-SE"/>
        </w:rPr>
      </w:pPr>
      <w:hyperlink w:anchor="_Toc341270439" w:history="1">
        <w:r w:rsidRPr="00C45D32">
          <w:rPr>
            <w:rStyle w:val="Hyperlink"/>
            <w:noProof/>
          </w:rPr>
          <w:t>16. Commission Directive ../.../EU of XXX adapting for the second time the Annexes to Directive 2008/68/EC of the European Parliament and of the Council on the inland transport of dangerous goods to scientific and technical progress = Decision not to oppose the adoption</w:t>
        </w:r>
        <w:r>
          <w:rPr>
            <w:noProof/>
            <w:webHidden/>
          </w:rPr>
          <w:tab/>
        </w:r>
        <w:r>
          <w:rPr>
            <w:noProof/>
            <w:webHidden/>
          </w:rPr>
          <w:fldChar w:fldCharType="begin"/>
        </w:r>
        <w:r>
          <w:rPr>
            <w:noProof/>
            <w:webHidden/>
          </w:rPr>
          <w:instrText xml:space="preserve"> PAGEREF _Toc341270439 \h </w:instrText>
        </w:r>
        <w:r>
          <w:rPr>
            <w:noProof/>
            <w:webHidden/>
          </w:rPr>
        </w:r>
        <w:r>
          <w:rPr>
            <w:noProof/>
            <w:webHidden/>
          </w:rPr>
          <w:fldChar w:fldCharType="separate"/>
        </w:r>
        <w:r>
          <w:rPr>
            <w:noProof/>
            <w:webHidden/>
          </w:rPr>
          <w:t>21</w:t>
        </w:r>
        <w:r>
          <w:rPr>
            <w:noProof/>
            <w:webHidden/>
          </w:rPr>
          <w:fldChar w:fldCharType="end"/>
        </w:r>
      </w:hyperlink>
    </w:p>
    <w:p w:rsidR="00820202" w:rsidRDefault="00820202">
      <w:pPr>
        <w:pStyle w:val="TOC2"/>
        <w:tabs>
          <w:tab w:val="right" w:leader="dot" w:pos="7644"/>
        </w:tabs>
        <w:rPr>
          <w:rFonts w:ascii="Calibri" w:hAnsi="Calibri"/>
          <w:b w:val="0"/>
          <w:bCs w:val="0"/>
          <w:noProof/>
          <w:sz w:val="22"/>
          <w:szCs w:val="22"/>
          <w:lang w:eastAsia="sv-SE"/>
        </w:rPr>
      </w:pPr>
      <w:hyperlink w:anchor="_Toc341270440" w:history="1">
        <w:r w:rsidRPr="00C45D32">
          <w:rPr>
            <w:rStyle w:val="Hyperlink"/>
            <w:noProof/>
          </w:rPr>
          <w:t>17. Report from the Commission to the Council Summary European Archives Group - Archives in Europe Facing the challenges of the digital era = 2nd Progress Report to the Council</w:t>
        </w:r>
        <w:r>
          <w:rPr>
            <w:noProof/>
            <w:webHidden/>
          </w:rPr>
          <w:tab/>
        </w:r>
        <w:r>
          <w:rPr>
            <w:noProof/>
            <w:webHidden/>
          </w:rPr>
          <w:fldChar w:fldCharType="begin"/>
        </w:r>
        <w:r>
          <w:rPr>
            <w:noProof/>
            <w:webHidden/>
          </w:rPr>
          <w:instrText xml:space="preserve"> PAGEREF _Toc341270440 \h </w:instrText>
        </w:r>
        <w:r>
          <w:rPr>
            <w:noProof/>
            <w:webHidden/>
          </w:rPr>
        </w:r>
        <w:r>
          <w:rPr>
            <w:noProof/>
            <w:webHidden/>
          </w:rPr>
          <w:fldChar w:fldCharType="separate"/>
        </w:r>
        <w:r>
          <w:rPr>
            <w:noProof/>
            <w:webHidden/>
          </w:rPr>
          <w:t>22</w:t>
        </w:r>
        <w:r>
          <w:rPr>
            <w:noProof/>
            <w:webHidden/>
          </w:rPr>
          <w:fldChar w:fldCharType="end"/>
        </w:r>
      </w:hyperlink>
    </w:p>
    <w:p w:rsidR="00820202" w:rsidRDefault="00820202">
      <w:pPr>
        <w:pStyle w:val="TOC2"/>
        <w:tabs>
          <w:tab w:val="right" w:leader="dot" w:pos="7644"/>
        </w:tabs>
        <w:rPr>
          <w:rFonts w:ascii="Calibri" w:hAnsi="Calibri"/>
          <w:b w:val="0"/>
          <w:bCs w:val="0"/>
          <w:noProof/>
          <w:sz w:val="22"/>
          <w:szCs w:val="22"/>
          <w:lang w:eastAsia="sv-SE"/>
        </w:rPr>
      </w:pPr>
      <w:hyperlink w:anchor="_Toc341270441" w:history="1">
        <w:r w:rsidRPr="00C45D32">
          <w:rPr>
            <w:rStyle w:val="Hyperlink"/>
            <w:noProof/>
          </w:rPr>
          <w:t>18. Seventh meeting of the EU-Russia Permanent Partnership Council on Energy (Nicosia, 12 December 2012) = Draft annotated agenda</w:t>
        </w:r>
        <w:r>
          <w:rPr>
            <w:noProof/>
            <w:webHidden/>
          </w:rPr>
          <w:tab/>
        </w:r>
        <w:r>
          <w:rPr>
            <w:noProof/>
            <w:webHidden/>
          </w:rPr>
          <w:fldChar w:fldCharType="begin"/>
        </w:r>
        <w:r>
          <w:rPr>
            <w:noProof/>
            <w:webHidden/>
          </w:rPr>
          <w:instrText xml:space="preserve"> PAGEREF _Toc341270441 \h </w:instrText>
        </w:r>
        <w:r>
          <w:rPr>
            <w:noProof/>
            <w:webHidden/>
          </w:rPr>
        </w:r>
        <w:r>
          <w:rPr>
            <w:noProof/>
            <w:webHidden/>
          </w:rPr>
          <w:fldChar w:fldCharType="separate"/>
        </w:r>
        <w:r>
          <w:rPr>
            <w:noProof/>
            <w:webHidden/>
          </w:rPr>
          <w:t>23</w:t>
        </w:r>
        <w:r>
          <w:rPr>
            <w:noProof/>
            <w:webHidden/>
          </w:rPr>
          <w:fldChar w:fldCharType="end"/>
        </w:r>
      </w:hyperlink>
    </w:p>
    <w:p w:rsidR="00820202" w:rsidRDefault="00820202">
      <w:pPr>
        <w:pStyle w:val="TOC2"/>
        <w:tabs>
          <w:tab w:val="right" w:leader="dot" w:pos="7644"/>
        </w:tabs>
        <w:rPr>
          <w:rFonts w:ascii="Calibri" w:hAnsi="Calibri"/>
          <w:b w:val="0"/>
          <w:bCs w:val="0"/>
          <w:noProof/>
          <w:sz w:val="22"/>
          <w:szCs w:val="22"/>
          <w:lang w:eastAsia="sv-SE"/>
        </w:rPr>
      </w:pPr>
      <w:hyperlink w:anchor="_Toc341270442" w:history="1">
        <w:r w:rsidRPr="00C45D32">
          <w:rPr>
            <w:rStyle w:val="Hyperlink"/>
            <w:noProof/>
          </w:rPr>
          <w:t>19. European Economic Area = Establishment of the European Union's common position for the 38th meeting of the EEA Council</w:t>
        </w:r>
        <w:r>
          <w:rPr>
            <w:noProof/>
            <w:webHidden/>
          </w:rPr>
          <w:tab/>
        </w:r>
        <w:r>
          <w:rPr>
            <w:noProof/>
            <w:webHidden/>
          </w:rPr>
          <w:fldChar w:fldCharType="begin"/>
        </w:r>
        <w:r>
          <w:rPr>
            <w:noProof/>
            <w:webHidden/>
          </w:rPr>
          <w:instrText xml:space="preserve"> PAGEREF _Toc341270442 \h </w:instrText>
        </w:r>
        <w:r>
          <w:rPr>
            <w:noProof/>
            <w:webHidden/>
          </w:rPr>
        </w:r>
        <w:r>
          <w:rPr>
            <w:noProof/>
            <w:webHidden/>
          </w:rPr>
          <w:fldChar w:fldCharType="separate"/>
        </w:r>
        <w:r>
          <w:rPr>
            <w:noProof/>
            <w:webHidden/>
          </w:rPr>
          <w:t>24</w:t>
        </w:r>
        <w:r>
          <w:rPr>
            <w:noProof/>
            <w:webHidden/>
          </w:rPr>
          <w:fldChar w:fldCharType="end"/>
        </w:r>
      </w:hyperlink>
    </w:p>
    <w:p w:rsidR="00820202" w:rsidRDefault="00820202">
      <w:pPr>
        <w:pStyle w:val="TOC1"/>
        <w:tabs>
          <w:tab w:val="right" w:leader="dot" w:pos="7644"/>
        </w:tabs>
        <w:rPr>
          <w:rFonts w:ascii="Calibri" w:hAnsi="Calibri"/>
          <w:b w:val="0"/>
          <w:bCs w:val="0"/>
          <w:caps w:val="0"/>
          <w:noProof/>
          <w:sz w:val="22"/>
          <w:szCs w:val="22"/>
          <w:lang w:eastAsia="sv-SE"/>
        </w:rPr>
      </w:pPr>
      <w:hyperlink w:anchor="_Toc341270443" w:history="1">
        <w:r w:rsidRPr="00C45D32">
          <w:rPr>
            <w:rStyle w:val="Hyperlink"/>
            <w:noProof/>
          </w:rPr>
          <w:t>Troliga A-punkter inför kommande rådsmöten som godkändes vid SJK 2012-11-19.</w:t>
        </w:r>
        <w:r>
          <w:rPr>
            <w:noProof/>
            <w:webHidden/>
          </w:rPr>
          <w:tab/>
        </w:r>
        <w:r>
          <w:rPr>
            <w:noProof/>
            <w:webHidden/>
          </w:rPr>
          <w:fldChar w:fldCharType="begin"/>
        </w:r>
        <w:r>
          <w:rPr>
            <w:noProof/>
            <w:webHidden/>
          </w:rPr>
          <w:instrText xml:space="preserve"> PAGEREF _Toc341270443 \h </w:instrText>
        </w:r>
        <w:r>
          <w:rPr>
            <w:noProof/>
            <w:webHidden/>
          </w:rPr>
        </w:r>
        <w:r>
          <w:rPr>
            <w:noProof/>
            <w:webHidden/>
          </w:rPr>
          <w:fldChar w:fldCharType="separate"/>
        </w:r>
        <w:r>
          <w:rPr>
            <w:noProof/>
            <w:webHidden/>
          </w:rPr>
          <w:t>25</w:t>
        </w:r>
        <w:r>
          <w:rPr>
            <w:noProof/>
            <w:webHidden/>
          </w:rPr>
          <w:fldChar w:fldCharType="end"/>
        </w:r>
      </w:hyperlink>
    </w:p>
    <w:p w:rsidR="00820202" w:rsidRDefault="00820202">
      <w:pPr>
        <w:pStyle w:val="TOC2"/>
        <w:tabs>
          <w:tab w:val="right" w:leader="dot" w:pos="7644"/>
        </w:tabs>
        <w:rPr>
          <w:rFonts w:ascii="Calibri" w:hAnsi="Calibri"/>
          <w:b w:val="0"/>
          <w:bCs w:val="0"/>
          <w:noProof/>
          <w:sz w:val="22"/>
          <w:szCs w:val="22"/>
          <w:lang w:eastAsia="sv-SE"/>
        </w:rPr>
      </w:pPr>
      <w:hyperlink w:anchor="_Toc341270444" w:history="1">
        <w:r w:rsidRPr="00C45D32">
          <w:rPr>
            <w:rStyle w:val="Hyperlink"/>
            <w:noProof/>
          </w:rPr>
          <w:t>20. Förslag till europaparlamentets och rådets förordning (EU) nr / om särskilda åtgärder inom jordbruket till förmån för unionens yttre randområden.</w:t>
        </w:r>
        <w:r>
          <w:rPr>
            <w:noProof/>
            <w:webHidden/>
          </w:rPr>
          <w:tab/>
        </w:r>
        <w:r>
          <w:rPr>
            <w:noProof/>
            <w:webHidden/>
          </w:rPr>
          <w:fldChar w:fldCharType="begin"/>
        </w:r>
        <w:r>
          <w:rPr>
            <w:noProof/>
            <w:webHidden/>
          </w:rPr>
          <w:instrText xml:space="preserve"> PAGEREF _Toc341270444 \h </w:instrText>
        </w:r>
        <w:r>
          <w:rPr>
            <w:noProof/>
            <w:webHidden/>
          </w:rPr>
        </w:r>
        <w:r>
          <w:rPr>
            <w:noProof/>
            <w:webHidden/>
          </w:rPr>
          <w:fldChar w:fldCharType="separate"/>
        </w:r>
        <w:r>
          <w:rPr>
            <w:noProof/>
            <w:webHidden/>
          </w:rPr>
          <w:t>25</w:t>
        </w:r>
        <w:r>
          <w:rPr>
            <w:noProof/>
            <w:webHidden/>
          </w:rPr>
          <w:fldChar w:fldCharType="end"/>
        </w:r>
      </w:hyperlink>
    </w:p>
    <w:p w:rsidR="00820202" w:rsidRDefault="00820202">
      <w:pPr>
        <w:pStyle w:val="TOC2"/>
        <w:tabs>
          <w:tab w:val="right" w:leader="dot" w:pos="7644"/>
        </w:tabs>
        <w:rPr>
          <w:rFonts w:ascii="Calibri" w:hAnsi="Calibri"/>
          <w:b w:val="0"/>
          <w:bCs w:val="0"/>
          <w:noProof/>
          <w:sz w:val="22"/>
          <w:szCs w:val="22"/>
          <w:lang w:eastAsia="sv-SE"/>
        </w:rPr>
      </w:pPr>
      <w:hyperlink w:anchor="_Toc341270445" w:history="1">
        <w:r w:rsidRPr="00C45D32">
          <w:rPr>
            <w:rStyle w:val="Hyperlink"/>
            <w:noProof/>
          </w:rPr>
          <w:t>21. Förslag till europaparlamentets och rådets förordning (EU) nr / om särskilda åtgärder inom jordbruket till förmån för de mindre Egeiska öarna.</w:t>
        </w:r>
        <w:r>
          <w:rPr>
            <w:noProof/>
            <w:webHidden/>
          </w:rPr>
          <w:tab/>
        </w:r>
        <w:r>
          <w:rPr>
            <w:noProof/>
            <w:webHidden/>
          </w:rPr>
          <w:fldChar w:fldCharType="begin"/>
        </w:r>
        <w:r>
          <w:rPr>
            <w:noProof/>
            <w:webHidden/>
          </w:rPr>
          <w:instrText xml:space="preserve"> PAGEREF _Toc341270445 \h </w:instrText>
        </w:r>
        <w:r>
          <w:rPr>
            <w:noProof/>
            <w:webHidden/>
          </w:rPr>
        </w:r>
        <w:r>
          <w:rPr>
            <w:noProof/>
            <w:webHidden/>
          </w:rPr>
          <w:fldChar w:fldCharType="separate"/>
        </w:r>
        <w:r>
          <w:rPr>
            <w:noProof/>
            <w:webHidden/>
          </w:rPr>
          <w:t>25</w:t>
        </w:r>
        <w:r>
          <w:rPr>
            <w:noProof/>
            <w:webHidden/>
          </w:rPr>
          <w:fldChar w:fldCharType="end"/>
        </w:r>
      </w:hyperlink>
    </w:p>
    <w:p w:rsidR="00820202" w:rsidRDefault="00820202">
      <w:pPr>
        <w:pStyle w:val="RKnormal"/>
        <w:ind w:left="0"/>
        <w:rPr>
          <w:b/>
          <w:bCs/>
        </w:rPr>
      </w:pPr>
      <w:r>
        <w:rPr>
          <w:b/>
          <w:bCs/>
        </w:rPr>
        <w:fldChar w:fldCharType="end"/>
      </w:r>
    </w:p>
    <w:p w:rsidR="00820202" w:rsidRDefault="00820202">
      <w:pPr>
        <w:pStyle w:val="Heading1"/>
        <w:tabs>
          <w:tab w:val="clear" w:pos="1134"/>
          <w:tab w:val="left" w:pos="0"/>
        </w:tabs>
      </w:pPr>
      <w:r>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341270422"/>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820202" w:rsidRDefault="00820202">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820202" w:rsidRDefault="00820202">
      <w:pPr>
        <w:pStyle w:val="Heading1"/>
        <w:spacing w:before="0" w:after="0"/>
      </w:pPr>
      <w:r>
        <w:t xml:space="preserve"> </w:t>
      </w:r>
      <w:bookmarkStart w:id="54" w:name="Punkt"/>
      <w:bookmarkEnd w:id="54"/>
    </w:p>
    <w:p w:rsidR="00820202" w:rsidRDefault="00820202" w:rsidP="00697CC7">
      <w:pPr>
        <w:pStyle w:val="Heading1"/>
      </w:pPr>
      <w:bookmarkStart w:id="55" w:name="_Toc341270423"/>
      <w:r>
        <w:t>Troliga A-punkter inför kommande rådsmöten som godkändes vid Coreper I 2012-11-21.</w:t>
      </w:r>
      <w:bookmarkEnd w:id="55"/>
    </w:p>
    <w:p w:rsidR="00820202" w:rsidRDefault="00820202">
      <w:pPr>
        <w:pStyle w:val="RKnormal"/>
        <w:tabs>
          <w:tab w:val="clear" w:pos="1843"/>
          <w:tab w:val="left" w:pos="0"/>
        </w:tabs>
        <w:ind w:left="0"/>
      </w:pPr>
      <w:r>
        <w:t xml:space="preserve"> </w:t>
      </w:r>
    </w:p>
    <w:p w:rsidR="00820202" w:rsidRDefault="00820202" w:rsidP="00F33AB8">
      <w:pPr>
        <w:pStyle w:val="Heading2"/>
      </w:pPr>
      <w:bookmarkStart w:id="56" w:name="_Toc341270424"/>
      <w:r>
        <w:t>1. Replies to written questions put to the Council by Members of the European Parliament(+)</w:t>
      </w:r>
    </w:p>
    <w:p w:rsidR="00820202" w:rsidRPr="00F33AB8" w:rsidRDefault="00820202" w:rsidP="00E16FC7">
      <w:r>
        <w:t>(a) n° E-008546/2012 put by Maria Badia i Cutchet and Raimon Obiols "Growth plan approved by the European council in June 2012" (b) n° E-008554/2012 put by Laurence J.A.J. Stassen and Lucas Hartong "Greece continues buying large numbers of weapons systems despite crisis"  (c) n° E-008979/2012 put by Ramon Tremosa i Balcells and Raül Romeva i Rueda "The director of El Mundo newspaper compares the Camp Nou stadium and the Catalan flag to the fascist salute and to 1936 Berlin in blatant opposition to the fundamental values of the European Union"</w:t>
      </w:r>
      <w:bookmarkEnd w:id="56"/>
    </w:p>
    <w:p w:rsidR="00820202" w:rsidRDefault="00820202" w:rsidP="00F33AB8"/>
    <w:p w:rsidR="00820202" w:rsidRPr="00F33AB8" w:rsidRDefault="00820202" w:rsidP="00F33AB8">
      <w:r>
        <w:t>15616/12, 15618/12, 15978/12</w:t>
      </w:r>
    </w:p>
    <w:p w:rsidR="00820202" w:rsidRDefault="00820202">
      <w:pPr>
        <w:pStyle w:val="RKnormal"/>
        <w:tabs>
          <w:tab w:val="clear" w:pos="1843"/>
          <w:tab w:val="left" w:pos="0"/>
        </w:tabs>
        <w:ind w:left="0"/>
      </w:pPr>
    </w:p>
    <w:p w:rsidR="00820202" w:rsidRPr="00F33AB8" w:rsidRDefault="00820202" w:rsidP="00F33AB8">
      <w:r>
        <w:t>Ansvarigt departement: Statsrådsberedningen</w:t>
      </w:r>
    </w:p>
    <w:p w:rsidR="00820202" w:rsidRDefault="00820202">
      <w:pPr>
        <w:pStyle w:val="RKnormal"/>
        <w:tabs>
          <w:tab w:val="clear" w:pos="1843"/>
          <w:tab w:val="left" w:pos="0"/>
        </w:tabs>
        <w:ind w:left="0"/>
      </w:pPr>
    </w:p>
    <w:p w:rsidR="00820202" w:rsidRPr="00F33AB8" w:rsidRDefault="00820202" w:rsidP="00F33AB8">
      <w:r>
        <w:t>Ansvarigt statsråd: Birgitta Ohlsson</w:t>
      </w:r>
    </w:p>
    <w:p w:rsidR="00820202" w:rsidRDefault="00820202">
      <w:pPr>
        <w:pStyle w:val="RKnormal"/>
        <w:tabs>
          <w:tab w:val="clear" w:pos="1843"/>
          <w:tab w:val="left" w:pos="0"/>
        </w:tabs>
        <w:ind w:left="0"/>
      </w:pPr>
    </w:p>
    <w:p w:rsidR="00820202" w:rsidRPr="00F33AB8" w:rsidRDefault="00820202" w:rsidP="00F33AB8">
      <w:r>
        <w:t>Godkänd av Coreper I den 21 november 2012</w:t>
      </w:r>
    </w:p>
    <w:p w:rsidR="00820202" w:rsidRDefault="00820202">
      <w:pPr>
        <w:pStyle w:val="RKnormal"/>
        <w:tabs>
          <w:tab w:val="clear" w:pos="1843"/>
          <w:tab w:val="left" w:pos="0"/>
        </w:tabs>
        <w:ind w:left="0"/>
      </w:pPr>
    </w:p>
    <w:p w:rsidR="00820202" w:rsidRDefault="00820202" w:rsidP="00BC26FD">
      <w:r>
        <w:t xml:space="preserve">Föranleder ingen annotering. </w:t>
      </w:r>
    </w:p>
    <w:p w:rsidR="00820202" w:rsidRDefault="00820202">
      <w:pPr>
        <w:spacing w:line="240" w:lineRule="auto"/>
        <w:rPr>
          <w:rFonts w:ascii="Arial" w:hAnsi="Arial" w:cs="Arial"/>
          <w:b/>
          <w:i/>
          <w:iCs/>
          <w:kern w:val="28"/>
        </w:rPr>
      </w:pPr>
      <w:r>
        <w:br w:type="page"/>
      </w:r>
    </w:p>
    <w:p w:rsidR="00820202" w:rsidRPr="00F33AB8" w:rsidRDefault="00820202" w:rsidP="00F33AB8">
      <w:pPr>
        <w:pStyle w:val="Heading2"/>
      </w:pPr>
      <w:bookmarkStart w:id="57" w:name="_Toc341270425"/>
      <w:r>
        <w:t>2. Case law of the Court of Justice of the EU in cases involving the Council (1st January to 30 June 2012)= Information for the Permanent Representatives Committee (Part 1)</w:t>
      </w:r>
      <w:bookmarkEnd w:id="57"/>
    </w:p>
    <w:p w:rsidR="00820202" w:rsidRPr="00F33AB8" w:rsidRDefault="00820202" w:rsidP="00F33AB8">
      <w:r>
        <w:t>15698/12</w:t>
      </w:r>
    </w:p>
    <w:p w:rsidR="00820202" w:rsidRDefault="00820202">
      <w:pPr>
        <w:pStyle w:val="RKnormal"/>
        <w:tabs>
          <w:tab w:val="clear" w:pos="1843"/>
          <w:tab w:val="left" w:pos="0"/>
        </w:tabs>
        <w:ind w:left="0"/>
      </w:pPr>
    </w:p>
    <w:p w:rsidR="00820202" w:rsidRPr="00F33AB8" w:rsidRDefault="00820202" w:rsidP="00F33AB8">
      <w:r>
        <w:t>Ansvarigt departement: Utrikesdepartementet</w:t>
      </w:r>
    </w:p>
    <w:p w:rsidR="00820202" w:rsidRDefault="00820202">
      <w:pPr>
        <w:pStyle w:val="RKnormal"/>
        <w:tabs>
          <w:tab w:val="clear" w:pos="1843"/>
          <w:tab w:val="left" w:pos="0"/>
        </w:tabs>
        <w:ind w:left="0"/>
      </w:pPr>
    </w:p>
    <w:p w:rsidR="00820202" w:rsidRPr="00F33AB8" w:rsidRDefault="00820202" w:rsidP="00F33AB8">
      <w:r>
        <w:t>Ansvarigt statsråd: Birgitta Ohlsson</w:t>
      </w:r>
    </w:p>
    <w:p w:rsidR="00820202" w:rsidRDefault="00820202">
      <w:pPr>
        <w:pStyle w:val="RKnormal"/>
        <w:tabs>
          <w:tab w:val="clear" w:pos="1843"/>
          <w:tab w:val="left" w:pos="0"/>
        </w:tabs>
        <w:ind w:left="0"/>
      </w:pPr>
    </w:p>
    <w:p w:rsidR="00820202" w:rsidRPr="00F33AB8" w:rsidRDefault="00820202" w:rsidP="00F33AB8">
      <w:r>
        <w:t>Godkänd av Coreper I den 21 november 2012</w:t>
      </w:r>
    </w:p>
    <w:p w:rsidR="00820202" w:rsidRDefault="00820202">
      <w:pPr>
        <w:pStyle w:val="RKnormal"/>
        <w:tabs>
          <w:tab w:val="clear" w:pos="1843"/>
          <w:tab w:val="left" w:pos="0"/>
        </w:tabs>
        <w:ind w:left="0"/>
      </w:pPr>
    </w:p>
    <w:p w:rsidR="00820202" w:rsidRDefault="00820202" w:rsidP="00BC26FD">
      <w:r>
        <w:t xml:space="preserve">Föranleder ingen annotering. </w:t>
      </w:r>
    </w:p>
    <w:p w:rsidR="00820202" w:rsidRPr="00F33AB8" w:rsidRDefault="00820202" w:rsidP="00F33AB8">
      <w:pPr>
        <w:pStyle w:val="Heading2"/>
      </w:pPr>
      <w:bookmarkStart w:id="58" w:name="_Toc341270426"/>
      <w:r>
        <w:t>3. Committee of the Regions Appointment of a Belgian member and a Belgian alternate member = Adoption</w:t>
      </w:r>
      <w:bookmarkEnd w:id="58"/>
    </w:p>
    <w:p w:rsidR="00820202" w:rsidRPr="00F33AB8" w:rsidRDefault="00820202" w:rsidP="00F33AB8">
      <w:r>
        <w:t>16149/12, 16150/12</w:t>
      </w:r>
    </w:p>
    <w:p w:rsidR="00820202" w:rsidRDefault="00820202">
      <w:pPr>
        <w:pStyle w:val="RKnormal"/>
        <w:tabs>
          <w:tab w:val="clear" w:pos="1843"/>
          <w:tab w:val="left" w:pos="0"/>
        </w:tabs>
        <w:ind w:left="0"/>
      </w:pPr>
    </w:p>
    <w:p w:rsidR="00820202" w:rsidRPr="00F33AB8" w:rsidRDefault="00820202" w:rsidP="00F33AB8">
      <w:r>
        <w:t>Ansvarigt departement: Finansdepartementet</w:t>
      </w:r>
    </w:p>
    <w:p w:rsidR="00820202" w:rsidRDefault="00820202">
      <w:pPr>
        <w:pStyle w:val="RKnormal"/>
        <w:tabs>
          <w:tab w:val="clear" w:pos="1843"/>
          <w:tab w:val="left" w:pos="0"/>
        </w:tabs>
        <w:ind w:left="0"/>
      </w:pPr>
    </w:p>
    <w:p w:rsidR="00820202" w:rsidRPr="00F33AB8" w:rsidRDefault="00820202" w:rsidP="00F33AB8">
      <w:r>
        <w:t>Ansvarigt statsråd: Peter Norman</w:t>
      </w:r>
    </w:p>
    <w:p w:rsidR="00820202" w:rsidRDefault="00820202">
      <w:pPr>
        <w:pStyle w:val="RKnormal"/>
        <w:tabs>
          <w:tab w:val="clear" w:pos="1843"/>
          <w:tab w:val="left" w:pos="0"/>
        </w:tabs>
        <w:ind w:left="0"/>
      </w:pPr>
    </w:p>
    <w:p w:rsidR="00820202" w:rsidRPr="00F33AB8" w:rsidRDefault="00820202" w:rsidP="00F33AB8">
      <w:r>
        <w:t>Godkänd av Coreper I den 21 november 2012</w:t>
      </w:r>
    </w:p>
    <w:p w:rsidR="00820202" w:rsidRDefault="00820202">
      <w:pPr>
        <w:pStyle w:val="RKnormal"/>
        <w:tabs>
          <w:tab w:val="clear" w:pos="1843"/>
          <w:tab w:val="left" w:pos="0"/>
        </w:tabs>
        <w:ind w:left="0"/>
      </w:pPr>
    </w:p>
    <w:p w:rsidR="00820202" w:rsidRDefault="00820202" w:rsidP="00BC26FD">
      <w:r>
        <w:t xml:space="preserve">Föranleder ingen annotering. </w:t>
      </w:r>
    </w:p>
    <w:p w:rsidR="00820202" w:rsidRPr="003717B2" w:rsidRDefault="00820202" w:rsidP="00F33AB8">
      <w:pPr>
        <w:pStyle w:val="Heading2"/>
      </w:pPr>
      <w:bookmarkStart w:id="59" w:name="_Toc341270427"/>
      <w:r w:rsidRPr="003717B2">
        <w:t>4. Governing Board of the European Centre for the Development of Vocational Training (CEDEFOP) Renewal of the appointment in the category of representatives of Employers' organisations of: Ms Ana Maria SANTOS GOUVEIA LOPES (PT), Mr Martin HOSTAK (SK), Ms Kate LING (UK) = Adoption</w:t>
      </w:r>
      <w:bookmarkEnd w:id="59"/>
    </w:p>
    <w:p w:rsidR="00820202" w:rsidRPr="003717B2" w:rsidRDefault="00820202" w:rsidP="00F33AB8">
      <w:r w:rsidRPr="003717B2">
        <w:t>16278/12</w:t>
      </w:r>
    </w:p>
    <w:p w:rsidR="00820202" w:rsidRPr="003717B2" w:rsidRDefault="00820202">
      <w:pPr>
        <w:pStyle w:val="RKnormal"/>
        <w:tabs>
          <w:tab w:val="clear" w:pos="1843"/>
          <w:tab w:val="left" w:pos="0"/>
        </w:tabs>
        <w:ind w:left="0"/>
      </w:pPr>
    </w:p>
    <w:p w:rsidR="00820202" w:rsidRPr="003717B2" w:rsidRDefault="00820202" w:rsidP="00F33AB8">
      <w:r w:rsidRPr="003717B2">
        <w:t>Ansvarigt departement: Utbildningsdepartementet</w:t>
      </w:r>
    </w:p>
    <w:p w:rsidR="00820202" w:rsidRPr="003717B2" w:rsidRDefault="00820202">
      <w:pPr>
        <w:pStyle w:val="RKnormal"/>
        <w:tabs>
          <w:tab w:val="clear" w:pos="1843"/>
          <w:tab w:val="left" w:pos="0"/>
        </w:tabs>
        <w:ind w:left="0"/>
      </w:pPr>
    </w:p>
    <w:p w:rsidR="00820202" w:rsidRPr="003717B2" w:rsidRDefault="00820202" w:rsidP="00F33AB8">
      <w:r w:rsidRPr="003717B2">
        <w:t>Ansvarigt statsråd: Nyamko Sabuni</w:t>
      </w:r>
    </w:p>
    <w:p w:rsidR="00820202" w:rsidRPr="003717B2" w:rsidRDefault="00820202">
      <w:pPr>
        <w:pStyle w:val="RKnormal"/>
        <w:tabs>
          <w:tab w:val="clear" w:pos="1843"/>
          <w:tab w:val="left" w:pos="0"/>
        </w:tabs>
        <w:ind w:left="0"/>
      </w:pPr>
    </w:p>
    <w:p w:rsidR="00820202" w:rsidRPr="003717B2" w:rsidRDefault="00820202" w:rsidP="00F33AB8">
      <w:r w:rsidRPr="003717B2">
        <w:t>Godkänd av Coreper I den 21 november 2012</w:t>
      </w:r>
    </w:p>
    <w:p w:rsidR="00820202" w:rsidRPr="003717B2" w:rsidRDefault="00820202" w:rsidP="00F33AB8"/>
    <w:p w:rsidR="00820202" w:rsidRPr="003717B2" w:rsidRDefault="00820202" w:rsidP="00F33AB8">
      <w:r w:rsidRPr="003717B2">
        <w:t>Föranleder ingen annotering.</w:t>
      </w:r>
    </w:p>
    <w:p w:rsidR="00820202" w:rsidRDefault="00820202">
      <w:pPr>
        <w:pStyle w:val="RKnormal"/>
        <w:tabs>
          <w:tab w:val="clear" w:pos="1843"/>
          <w:tab w:val="left" w:pos="0"/>
        </w:tabs>
        <w:ind w:left="0"/>
      </w:pPr>
      <w:r>
        <w:t xml:space="preserve"> </w:t>
      </w:r>
    </w:p>
    <w:p w:rsidR="00820202" w:rsidRDefault="00820202">
      <w:pPr>
        <w:spacing w:line="240" w:lineRule="auto"/>
        <w:rPr>
          <w:rFonts w:ascii="Arial" w:hAnsi="Arial" w:cs="Arial"/>
          <w:b/>
          <w:i/>
          <w:iCs/>
          <w:kern w:val="28"/>
        </w:rPr>
      </w:pPr>
      <w:bookmarkStart w:id="60" w:name="_Toc341270428"/>
      <w:r>
        <w:br w:type="page"/>
      </w:r>
    </w:p>
    <w:p w:rsidR="00820202" w:rsidRPr="00F33AB8" w:rsidRDefault="00820202" w:rsidP="00F33AB8">
      <w:pPr>
        <w:pStyle w:val="Heading2"/>
      </w:pPr>
      <w:r>
        <w:t>5. Proposal for a Council Decision on the position to be taken on behalf of the European Union within the Stabilisation and Association Council established by the Stabilisation and Association Agreement between the European Communities and their Member States, of the one part, and the Republic of Albania, of the other part, with regard to the provisions on the coordination of social security systems (Legislative deliberation) = Adoption</w:t>
      </w:r>
      <w:bookmarkEnd w:id="60"/>
    </w:p>
    <w:p w:rsidR="00820202" w:rsidRPr="00F33AB8" w:rsidRDefault="00820202" w:rsidP="00F33AB8">
      <w:r>
        <w:t>14795/12, 16123/12</w:t>
      </w:r>
    </w:p>
    <w:p w:rsidR="00820202" w:rsidRDefault="00820202">
      <w:pPr>
        <w:pStyle w:val="RKnormal"/>
        <w:tabs>
          <w:tab w:val="clear" w:pos="1843"/>
          <w:tab w:val="left" w:pos="0"/>
        </w:tabs>
        <w:ind w:left="0"/>
      </w:pPr>
    </w:p>
    <w:p w:rsidR="00820202" w:rsidRPr="00F33AB8" w:rsidRDefault="00820202" w:rsidP="00F33AB8">
      <w:r>
        <w:t>Ansvarigt departement: Socialdepartementet</w:t>
      </w:r>
    </w:p>
    <w:p w:rsidR="00820202" w:rsidRDefault="00820202">
      <w:pPr>
        <w:pStyle w:val="RKnormal"/>
        <w:tabs>
          <w:tab w:val="clear" w:pos="1843"/>
          <w:tab w:val="left" w:pos="0"/>
        </w:tabs>
        <w:ind w:left="0"/>
      </w:pPr>
    </w:p>
    <w:p w:rsidR="00820202" w:rsidRPr="00F33AB8" w:rsidRDefault="00820202" w:rsidP="00F33AB8">
      <w:r>
        <w:t>Ansvarigt statsråd: Ulf Kristersson</w:t>
      </w:r>
    </w:p>
    <w:p w:rsidR="00820202" w:rsidRDefault="00820202">
      <w:pPr>
        <w:pStyle w:val="RKnormal"/>
        <w:tabs>
          <w:tab w:val="clear" w:pos="1843"/>
          <w:tab w:val="left" w:pos="0"/>
        </w:tabs>
        <w:ind w:left="0"/>
      </w:pPr>
    </w:p>
    <w:p w:rsidR="00820202" w:rsidRPr="00F33AB8" w:rsidRDefault="00820202" w:rsidP="00F33AB8">
      <w:r>
        <w:t>Tidigare behandling i EU -nämnden: 2012-09-28</w:t>
      </w:r>
    </w:p>
    <w:p w:rsidR="00820202" w:rsidRDefault="00820202">
      <w:pPr>
        <w:pStyle w:val="RKnormal"/>
        <w:tabs>
          <w:tab w:val="clear" w:pos="1843"/>
          <w:tab w:val="left" w:pos="0"/>
        </w:tabs>
        <w:ind w:left="0"/>
      </w:pPr>
    </w:p>
    <w:p w:rsidR="00820202" w:rsidRPr="00F33AB8" w:rsidRDefault="00820202" w:rsidP="00F33AB8">
      <w:r>
        <w:t>Tidigare behandling vid rådsmöte: EPSCO-rådet</w:t>
      </w:r>
    </w:p>
    <w:p w:rsidR="00820202" w:rsidRDefault="00820202">
      <w:pPr>
        <w:pStyle w:val="RKnormal"/>
        <w:tabs>
          <w:tab w:val="clear" w:pos="1843"/>
          <w:tab w:val="left" w:pos="0"/>
        </w:tabs>
        <w:ind w:left="0"/>
      </w:pPr>
    </w:p>
    <w:p w:rsidR="00820202" w:rsidRPr="00F33AB8" w:rsidRDefault="00820202" w:rsidP="00F33AB8">
      <w:r>
        <w:t>Godkänd av Coreper I den 21 november 2012</w:t>
      </w:r>
    </w:p>
    <w:p w:rsidR="00820202" w:rsidRDefault="00820202">
      <w:pPr>
        <w:pStyle w:val="RKnormal"/>
        <w:tabs>
          <w:tab w:val="clear" w:pos="1843"/>
          <w:tab w:val="left" w:pos="0"/>
        </w:tabs>
        <w:ind w:left="0"/>
      </w:pPr>
    </w:p>
    <w:p w:rsidR="00820202" w:rsidRDefault="00820202" w:rsidP="00F33AB8">
      <w:r>
        <w:t>Regeringen avser att rösta ja till att rådet beslutar om den ståndpunkt som på Europeiska unionens vägnar ska intas i det stabiliserings- och associeringsråd som inrättats genom stabiliserings- och associeringsavtalen mellan Europeiska gemenskaperna och deras medlemsstater, å ena sidan, och Republiken Albanien, å andra sidan, vad gäller bestämmelserna om samordning av de sociala trygghetssystemen</w:t>
      </w:r>
    </w:p>
    <w:p w:rsidR="00820202" w:rsidRDefault="00820202" w:rsidP="00F33AB8"/>
    <w:p w:rsidR="00820202" w:rsidRDefault="00820202" w:rsidP="00F33AB8">
      <w:r>
        <w:t>Europeiska gemenskapen har ingått stabiliserings- och associeringsavtal med Albanien. För att principerna om samordning av social trygghet i avtalet ska få verkan, krävs ett mer detaljerat beslut av det stabiliserings- och associeringsråd som inrättats genom avtalet. För att fastställa den ståndpunkt som ska intas på unionens vägnar i stabiliseringsrådet krävs ett beslut av Europeiska unionens råd.</w:t>
      </w:r>
    </w:p>
    <w:p w:rsidR="00820202" w:rsidRDefault="00820202" w:rsidP="00F33AB8"/>
    <w:p w:rsidR="00820202" w:rsidRDefault="00820202" w:rsidP="00BC26FD">
      <w:r>
        <w:t xml:space="preserve">Den 30 mars 2012 lade kommissionen fram förslag på rådsbeslut rörande EU-ståndpunkt i stabiliserings- och associeringsrådet, associeringsrådet respektive samarbetsrådet i fråga om samordning av de sociala trygghetssystemen med Albanien, Montenegro, San Marino och Turkiet. De fyra förslagen har i allt väsentligt samma innehåll som de sex beslut som togs i rådet i oktober 2010 om EU:s ståndpunkt i de associeringsråd som upprättats rörande Algeriet, Israel, Kroatien, den före detta jugoslaviska republiken Makedonien, Marocko och Tunisien.  Samtliga förslag innehåller en bestämmelse om likabehandling, vilket innebär att respektive avtalslands arbetstagare som är lagligen anställda i en medlemsstat, samt deras familjemedlemmar som är lagligen bosatta tillsammans med arbetstagaren, inte får diskrimineras på grund av sitt medborgarskap i det land där de är anställda respektive bosatta. Bestämmelserna i de fyra förslagen är ömsesidiga och gäller i motsvarande mån även EU- och EES-medborgare som arbetar och bor i de respektive avtalsländerna. Förslagen innehåller vidare bland annat regler om exportabilitet och administrativa rutiner rörande samordning av social trygghet med de respektive länderna. </w:t>
      </w:r>
    </w:p>
    <w:p w:rsidR="00820202" w:rsidRPr="00F33AB8" w:rsidRDefault="00820202" w:rsidP="00F33AB8">
      <w:pPr>
        <w:pStyle w:val="Heading2"/>
      </w:pPr>
      <w:bookmarkStart w:id="61" w:name="_Toc341270429"/>
      <w:r>
        <w:t>6. Proposal for a Council Decision on the position to be taken on behalf of the European Union within the Stabilisation and Association Council established by the Stabilisation and Association Agreement between the European Communities and their Member States, of the one part, and the Republic of Montenegro, of the other part, with regard to the provisions on the coordination of social security systems (Legislative deliberation)= Adoption</w:t>
      </w:r>
      <w:bookmarkEnd w:id="61"/>
    </w:p>
    <w:p w:rsidR="00820202" w:rsidRPr="00F33AB8" w:rsidRDefault="00820202" w:rsidP="00F33AB8">
      <w:r>
        <w:t>14796/12, 16124/12</w:t>
      </w:r>
    </w:p>
    <w:p w:rsidR="00820202" w:rsidRDefault="00820202">
      <w:pPr>
        <w:pStyle w:val="RKnormal"/>
        <w:tabs>
          <w:tab w:val="clear" w:pos="1843"/>
          <w:tab w:val="left" w:pos="0"/>
        </w:tabs>
        <w:ind w:left="0"/>
      </w:pPr>
    </w:p>
    <w:p w:rsidR="00820202" w:rsidRPr="00F33AB8" w:rsidRDefault="00820202" w:rsidP="00F33AB8">
      <w:r>
        <w:t>Ansvarigt departement: Socialdepartementet</w:t>
      </w:r>
    </w:p>
    <w:p w:rsidR="00820202" w:rsidRDefault="00820202">
      <w:pPr>
        <w:pStyle w:val="RKnormal"/>
        <w:tabs>
          <w:tab w:val="clear" w:pos="1843"/>
          <w:tab w:val="left" w:pos="0"/>
        </w:tabs>
        <w:ind w:left="0"/>
      </w:pPr>
    </w:p>
    <w:p w:rsidR="00820202" w:rsidRPr="00F33AB8" w:rsidRDefault="00820202" w:rsidP="00F33AB8">
      <w:r>
        <w:t>Ansvarigt statsråd: Ulf Kristersson</w:t>
      </w:r>
    </w:p>
    <w:p w:rsidR="00820202" w:rsidRDefault="00820202">
      <w:pPr>
        <w:pStyle w:val="RKnormal"/>
        <w:tabs>
          <w:tab w:val="clear" w:pos="1843"/>
          <w:tab w:val="left" w:pos="0"/>
        </w:tabs>
        <w:ind w:left="0"/>
      </w:pPr>
    </w:p>
    <w:p w:rsidR="00820202" w:rsidRPr="00F33AB8" w:rsidRDefault="00820202" w:rsidP="00F33AB8">
      <w:r>
        <w:t>Tidigare behandling i EU-nämnden: 2012-09-28</w:t>
      </w:r>
    </w:p>
    <w:p w:rsidR="00820202" w:rsidRDefault="00820202">
      <w:pPr>
        <w:pStyle w:val="RKnormal"/>
        <w:tabs>
          <w:tab w:val="clear" w:pos="1843"/>
          <w:tab w:val="left" w:pos="0"/>
        </w:tabs>
        <w:ind w:left="0"/>
      </w:pPr>
    </w:p>
    <w:p w:rsidR="00820202" w:rsidRPr="00F33AB8" w:rsidRDefault="00820202" w:rsidP="00F33AB8">
      <w:r>
        <w:t>Tidigare behandling vid rådsmöte: EPSCO-rådet</w:t>
      </w:r>
    </w:p>
    <w:p w:rsidR="00820202" w:rsidRDefault="00820202">
      <w:pPr>
        <w:pStyle w:val="RKnormal"/>
        <w:tabs>
          <w:tab w:val="clear" w:pos="1843"/>
          <w:tab w:val="left" w:pos="0"/>
        </w:tabs>
        <w:ind w:left="0"/>
      </w:pPr>
    </w:p>
    <w:p w:rsidR="00820202" w:rsidRPr="00F33AB8" w:rsidRDefault="00820202" w:rsidP="00F33AB8">
      <w:r>
        <w:t>Godkänd av Coreper I den 21 november 2012</w:t>
      </w:r>
    </w:p>
    <w:p w:rsidR="00820202" w:rsidRDefault="00820202">
      <w:pPr>
        <w:pStyle w:val="RKnormal"/>
        <w:tabs>
          <w:tab w:val="clear" w:pos="1843"/>
          <w:tab w:val="left" w:pos="0"/>
        </w:tabs>
        <w:ind w:left="0"/>
      </w:pPr>
    </w:p>
    <w:p w:rsidR="00820202" w:rsidRDefault="00820202" w:rsidP="00F33AB8">
      <w:r>
        <w:t>Regeringen avser att rösta ja till att rådet beslutar om den ståndpunkt som på Europeiska unionens vägnar ska intas i det stabiliserings- och associeringsråd som inrättats genom stabiliserings- och associeringsavtalen mellan Europeiska gemenskaperna och deras medlemsstater, å ena sidan, och Montenegro vad gäller bestämmelserna om samordning av de sociala trygghetssystemen.</w:t>
      </w:r>
    </w:p>
    <w:p w:rsidR="00820202" w:rsidRDefault="00820202" w:rsidP="00F33AB8"/>
    <w:p w:rsidR="00820202" w:rsidRDefault="00820202" w:rsidP="00F33AB8">
      <w:r>
        <w:t>Europeiska gemenskapen har ingått stabiliserings- och associeringsavtal med Montenegro. För att principerna om samordning av social trygghet i avtalet ska få verkan, krävs ett mer detaljerat beslut av det stabiliserings- och associeringsråd som inrättats genom avtalet. För att fastställa den ståndpunkt som ska intas på unionens vägnar i stabiliserings- och associeringsrådet krävs ett beslut av Europeiska unionens råd.</w:t>
      </w:r>
    </w:p>
    <w:p w:rsidR="00820202" w:rsidRDefault="00820202" w:rsidP="00F33AB8"/>
    <w:p w:rsidR="00820202" w:rsidRDefault="00820202" w:rsidP="00BC26FD">
      <w:r>
        <w:t xml:space="preserve">Den 30 mars 2012 lade kommissionen fram förslag på rådsbeslut rörande EU-ståndpunkt i stabiliserings- och associeringsrådet, associeringsrådet respektive samarbetsrådet i fråga om samordning av de sociala trygghetssystemen med Albanien, Montenegro, San Marino och Turkiet. De fyra förslagen har i allt väsentligt samma innehåll som de sex beslut som togs i rådet i oktober 2010 om EU:s ståndpunkt i de associeringsråd som upprättats rörande Algeriet, Israel, Kroatien, den före detta jugoslaviska republiken Makedonien, Marocko och Tunisien.  Samtliga förslag innehåller en bestämmelse om likabehandling, vilket innebär att respektive avtalslands arbetstagare som är lagligen anställda i en medlemsstat, samt deras familjemedlemmar som är lagligen bosatta tillsammans med arbetstagaren, inte får diskrimineras på grund av sitt medborgarskap i det land där de är anställda respektive bosatta. Bestämmelserna i de fyra förslagen är ömsesidiga och gäller i motsvarande mån även EU- och EES-medborgare som arbetar och bor i de respektive avtalsländerna. Förslagen innehåller vidare bland annat regler om exportabilitet och administrativa rutiner rörande samordning av social trygghet med de respektive länderna. </w:t>
      </w:r>
    </w:p>
    <w:p w:rsidR="00820202" w:rsidRPr="00F33AB8" w:rsidRDefault="00820202" w:rsidP="00F33AB8">
      <w:pPr>
        <w:pStyle w:val="Heading2"/>
      </w:pPr>
      <w:bookmarkStart w:id="62" w:name="_Toc341270430"/>
      <w:r>
        <w:t>7. Proposal for a Council Decision on the position to be taken by the European Union within the Cooperation Committee established by the Agreement on Cooperation and Customs Union between the European Economic Community and its Member States, of the one part, and the Republic of San Marino, of the other part, with regard to the adoption of provisions on the coordination of social security systems (Legislative deliberation) = Adoption</w:t>
      </w:r>
      <w:bookmarkEnd w:id="62"/>
    </w:p>
    <w:p w:rsidR="00820202" w:rsidRPr="00F33AB8" w:rsidRDefault="00820202" w:rsidP="00F33AB8">
      <w:r>
        <w:t>14797/12, 16126/12</w:t>
      </w:r>
    </w:p>
    <w:p w:rsidR="00820202" w:rsidRDefault="00820202">
      <w:pPr>
        <w:pStyle w:val="RKnormal"/>
        <w:tabs>
          <w:tab w:val="clear" w:pos="1843"/>
          <w:tab w:val="left" w:pos="0"/>
        </w:tabs>
        <w:ind w:left="0"/>
      </w:pPr>
    </w:p>
    <w:p w:rsidR="00820202" w:rsidRPr="00F33AB8" w:rsidRDefault="00820202" w:rsidP="00F33AB8">
      <w:r>
        <w:t>Ansvarigt departement: Socialdepartementet</w:t>
      </w:r>
    </w:p>
    <w:p w:rsidR="00820202" w:rsidRDefault="00820202">
      <w:pPr>
        <w:pStyle w:val="RKnormal"/>
        <w:tabs>
          <w:tab w:val="clear" w:pos="1843"/>
          <w:tab w:val="left" w:pos="0"/>
        </w:tabs>
        <w:ind w:left="0"/>
      </w:pPr>
    </w:p>
    <w:p w:rsidR="00820202" w:rsidRPr="00F33AB8" w:rsidRDefault="00820202" w:rsidP="00F33AB8">
      <w:r>
        <w:t>Ansvarigt statsråd: Ulf Kristersson</w:t>
      </w:r>
    </w:p>
    <w:p w:rsidR="00820202" w:rsidRDefault="00820202">
      <w:pPr>
        <w:pStyle w:val="RKnormal"/>
        <w:tabs>
          <w:tab w:val="clear" w:pos="1843"/>
          <w:tab w:val="left" w:pos="0"/>
        </w:tabs>
        <w:ind w:left="0"/>
      </w:pPr>
    </w:p>
    <w:p w:rsidR="00820202" w:rsidRPr="00F33AB8" w:rsidRDefault="00820202" w:rsidP="00F33AB8">
      <w:r>
        <w:t>Tidigare behandling i EU -nämnden: 2012-09-28</w:t>
      </w:r>
    </w:p>
    <w:p w:rsidR="00820202" w:rsidRDefault="00820202">
      <w:pPr>
        <w:pStyle w:val="RKnormal"/>
        <w:tabs>
          <w:tab w:val="clear" w:pos="1843"/>
          <w:tab w:val="left" w:pos="0"/>
        </w:tabs>
        <w:ind w:left="0"/>
      </w:pPr>
    </w:p>
    <w:p w:rsidR="00820202" w:rsidRPr="00F33AB8" w:rsidRDefault="00820202" w:rsidP="00F33AB8">
      <w:r>
        <w:t>Tidigare behandling vid rådsmöte: EPSCO-rådet</w:t>
      </w:r>
    </w:p>
    <w:p w:rsidR="00820202" w:rsidRDefault="00820202">
      <w:pPr>
        <w:pStyle w:val="RKnormal"/>
        <w:tabs>
          <w:tab w:val="clear" w:pos="1843"/>
          <w:tab w:val="left" w:pos="0"/>
        </w:tabs>
        <w:ind w:left="0"/>
      </w:pPr>
    </w:p>
    <w:p w:rsidR="00820202" w:rsidRPr="00F33AB8" w:rsidRDefault="00820202" w:rsidP="00F33AB8">
      <w:r>
        <w:t>Godkänd av Coreper I den 21 november 2012</w:t>
      </w:r>
    </w:p>
    <w:p w:rsidR="00820202" w:rsidRDefault="00820202">
      <w:pPr>
        <w:pStyle w:val="RKnormal"/>
        <w:tabs>
          <w:tab w:val="clear" w:pos="1843"/>
          <w:tab w:val="left" w:pos="0"/>
        </w:tabs>
        <w:ind w:left="0"/>
      </w:pPr>
    </w:p>
    <w:p w:rsidR="00820202" w:rsidRDefault="00820202" w:rsidP="00F33AB8">
      <w:r>
        <w:t>Regeringen avser rösta ja till att rådet beslutar om den ståndpunkt som på Europeiska unionens vägnar ska intas i den samarbetskommitté som inrättats genom avtalet om samarbete och tullunionen mellan Europeiska ekonomiska gemenskapen och Republiken San Marino vad gäller bestämmelserna om samordning av de sociala trygghetssystemen.</w:t>
      </w:r>
    </w:p>
    <w:p w:rsidR="00820202" w:rsidRDefault="00820202" w:rsidP="00F33AB8"/>
    <w:p w:rsidR="00820202" w:rsidRDefault="00820202" w:rsidP="00F33AB8">
      <w:r>
        <w:t>Europeiska gemenskapen har ingått avtal om samarbete och tullunion med San Marino. För att principerna om samordning av social trygghet i avtalet ska få verkan, krävs ett mer detaljerat beslut av den samarbetskommitté som inrättats genom avtalet. För att fastställa den ståndpunkt som ska intas på unionens vägnar i samarbetskommittén krävs ett beslut av Europeiska unionens råd.</w:t>
      </w:r>
    </w:p>
    <w:p w:rsidR="00820202" w:rsidRDefault="00820202" w:rsidP="00F33AB8"/>
    <w:p w:rsidR="00820202" w:rsidRDefault="00820202" w:rsidP="00BC26FD">
      <w:r>
        <w:t xml:space="preserve">Den 30 mars 2012 lade kommissionen fram förslag på rådsbeslut rörande EU-ståndpunkt i stabiliserings- och associeringsrådet, associeringsrådet respektive samarbetsrådet i fråga om samordning av de sociala trygghetssystemen med Albanien, Montenegro, San Marino och Turkiet. De fyra förslagen har i allt väsentligt samma innehåll som de sex beslut som togs i rådet i oktober 2010 om EU:s ståndpunkt i de associeringsråd som upprättats rörande Algeriet, Israel, Kroatien, den före detta jugoslaviska republiken Makedonien, Marocko och Tunisien.  Samtliga förslag innehåller en bestämmelse om likabehandling, vilket innebär att respektive avtalslands arbetstagare som är lagligen anställda i en medlemsstat, samt deras familjemedlemmar som är lagligen bosatta tillsammans med arbetstagaren, inte får diskrimineras på grund av sitt medborgarskap i det land där de är anställda respektive bosatta. Bestämmelserna i de fyra förslagen är ömsesidiga och gäller i motsvarande mån även EU- och EES-medborgare som arbetar och bor i de respektive avtalsländerna. Förslagen innehåller vidare bland annat regler om exportabilitet och administrativa rutiner rörande samordning av social trygghet med de respektive länderna. </w:t>
      </w:r>
    </w:p>
    <w:p w:rsidR="00820202" w:rsidRPr="00F33AB8" w:rsidRDefault="00820202" w:rsidP="00F33AB8">
      <w:pPr>
        <w:pStyle w:val="Heading2"/>
      </w:pPr>
      <w:bookmarkStart w:id="63" w:name="_Toc341270431"/>
      <w:r>
        <w:t>8. Proposal for a Council Decision on the position to be taken on behalf of the European Union within the Association Council set up by the Agreement establishing an association between the European Economic Community and Turkey with regard to the provisions on the coordination of social security systems (Legislative deliberation) = Adoption</w:t>
      </w:r>
      <w:bookmarkEnd w:id="63"/>
    </w:p>
    <w:p w:rsidR="00820202" w:rsidRPr="00F33AB8" w:rsidRDefault="00820202" w:rsidP="00F33AB8">
      <w:r>
        <w:t>14798/12, 16127/12</w:t>
      </w:r>
    </w:p>
    <w:p w:rsidR="00820202" w:rsidRDefault="00820202">
      <w:pPr>
        <w:pStyle w:val="RKnormal"/>
        <w:tabs>
          <w:tab w:val="clear" w:pos="1843"/>
          <w:tab w:val="left" w:pos="0"/>
        </w:tabs>
        <w:ind w:left="0"/>
      </w:pPr>
    </w:p>
    <w:p w:rsidR="00820202" w:rsidRPr="00F33AB8" w:rsidRDefault="00820202" w:rsidP="00F33AB8">
      <w:r>
        <w:t>Ansvarigt departement: Socialdepartementet</w:t>
      </w:r>
    </w:p>
    <w:p w:rsidR="00820202" w:rsidRDefault="00820202">
      <w:pPr>
        <w:pStyle w:val="RKnormal"/>
        <w:tabs>
          <w:tab w:val="clear" w:pos="1843"/>
          <w:tab w:val="left" w:pos="0"/>
        </w:tabs>
        <w:ind w:left="0"/>
      </w:pPr>
    </w:p>
    <w:p w:rsidR="00820202" w:rsidRPr="00F33AB8" w:rsidRDefault="00820202" w:rsidP="00F33AB8">
      <w:r>
        <w:t>Ansvarigt statsråd: Ulf Kristersson</w:t>
      </w:r>
    </w:p>
    <w:p w:rsidR="00820202" w:rsidRDefault="00820202">
      <w:pPr>
        <w:pStyle w:val="RKnormal"/>
        <w:tabs>
          <w:tab w:val="clear" w:pos="1843"/>
          <w:tab w:val="left" w:pos="0"/>
        </w:tabs>
        <w:ind w:left="0"/>
      </w:pPr>
    </w:p>
    <w:p w:rsidR="00820202" w:rsidRPr="00F33AB8" w:rsidRDefault="00820202" w:rsidP="00F33AB8">
      <w:r>
        <w:t>Tidigare behandling i EU -nämnden: 2012-09-28</w:t>
      </w:r>
    </w:p>
    <w:p w:rsidR="00820202" w:rsidRDefault="00820202">
      <w:pPr>
        <w:pStyle w:val="RKnormal"/>
        <w:tabs>
          <w:tab w:val="clear" w:pos="1843"/>
          <w:tab w:val="left" w:pos="0"/>
        </w:tabs>
        <w:ind w:left="0"/>
      </w:pPr>
    </w:p>
    <w:p w:rsidR="00820202" w:rsidRPr="00F33AB8" w:rsidRDefault="00820202" w:rsidP="00F33AB8">
      <w:r>
        <w:t>Tidigare behandling vid rådsmöte: EPSCO-rådet</w:t>
      </w:r>
    </w:p>
    <w:p w:rsidR="00820202" w:rsidRDefault="00820202">
      <w:pPr>
        <w:pStyle w:val="RKnormal"/>
        <w:tabs>
          <w:tab w:val="clear" w:pos="1843"/>
          <w:tab w:val="left" w:pos="0"/>
        </w:tabs>
        <w:ind w:left="0"/>
      </w:pPr>
    </w:p>
    <w:p w:rsidR="00820202" w:rsidRPr="00F33AB8" w:rsidRDefault="00820202" w:rsidP="00F33AB8">
      <w:r>
        <w:t>Godkänd av Coreper I den 21 november 2012</w:t>
      </w:r>
    </w:p>
    <w:p w:rsidR="00820202" w:rsidRDefault="00820202" w:rsidP="00F33AB8"/>
    <w:p w:rsidR="00820202" w:rsidRDefault="00820202" w:rsidP="00F33AB8">
      <w:r>
        <w:t xml:space="preserve">Regeringen avser att rösta ja till att rådet beslutar om den ståndpunkt som på Europeiska unionens vägnar ska intas i det associeringsråd som inrättats genom avtalet om upprättande av en associering mellan Europeiska ekonomiska gemenskapen och Turkiet vad gäller bestämmelserna om samordning av de sociala trygghetssystemen. </w:t>
      </w:r>
    </w:p>
    <w:p w:rsidR="00820202" w:rsidRDefault="00820202" w:rsidP="00F33AB8"/>
    <w:p w:rsidR="00820202" w:rsidRDefault="00820202" w:rsidP="00F33AB8">
      <w:r>
        <w:t>Europeiska gemenskapen har ingått avtal om upprättande av en associering mellan Europeiska ekonomiska gemenskapen och Turkiet. För att principerna om samordning av social trygghet i avtalet ska få verkan, krävs ett mer detaljerat beslut av det associeringsråd som inrättats genom avtalet. För att fastställa den ståndpunkt som ska intas på unionens vägnar i associeringsrådet krävs ett beslut av Europeiska unionens råd.</w:t>
      </w:r>
    </w:p>
    <w:p w:rsidR="00820202" w:rsidRDefault="00820202" w:rsidP="00F33AB8"/>
    <w:p w:rsidR="00820202" w:rsidRDefault="00820202" w:rsidP="00F33AB8">
      <w:r>
        <w:t xml:space="preserve">Den 30 mars 2012 lade kommissionen fram förslag på rådsbeslut rörande EU-ståndpunkt i stabiliserings- och associeringsrådet, associeringsrådet respektive samarbetsrådet i fråga om samordning av de sociala trygghetssystemen med Albanien, Montenegro, San Marino och Turkiet. De fyra förslagen har i allt väsentligt samma innehåll som de sex beslut som togs i rådet i oktober 2010 om EU:s ståndpunkt i de associeringsråd som upprättats rörande Algeriet, Israel, Kroatien, den före detta jugoslaviska republiken Makedonien, Marocko och Tunisien.  </w:t>
      </w:r>
    </w:p>
    <w:p w:rsidR="00820202" w:rsidRDefault="00820202" w:rsidP="00F33AB8"/>
    <w:p w:rsidR="00820202" w:rsidRDefault="00820202" w:rsidP="00BC26FD">
      <w:r>
        <w:t xml:space="preserve">Samtliga förslag innehåller en bestämmelse om likabehandling, vilket innebär att respektive avtalslands arbetstagare som är lagligen anställda i en medlemsstat, samt deras familjemedlemmar som är lagligen bosatta tillsammans med arbetstagaren, inte får diskrimineras på grund av sitt medborgarskap i det land där de är anställda respektive bosatta. Bestämmelserna i de fyra förslagen är ömsesidiga och gäller i motsvarande mån även EU- och EES-medborgare som arbetar och bor i de respektive avtalsländerna. Förslagen innehåller vidare bland annat regler om exportabilitet och administrativa rutiner rörande samordning av social trygghet med de respektive länderna. </w:t>
      </w:r>
    </w:p>
    <w:p w:rsidR="00820202" w:rsidRDefault="00820202">
      <w:pPr>
        <w:spacing w:line="240" w:lineRule="auto"/>
        <w:rPr>
          <w:rFonts w:ascii="Arial" w:hAnsi="Arial" w:cs="Arial"/>
          <w:b/>
          <w:i/>
          <w:iCs/>
          <w:kern w:val="28"/>
        </w:rPr>
      </w:pPr>
      <w:bookmarkStart w:id="64" w:name="_Toc341270432"/>
      <w:r>
        <w:br w:type="page"/>
      </w:r>
    </w:p>
    <w:p w:rsidR="00820202" w:rsidRPr="00F33AB8" w:rsidRDefault="00820202" w:rsidP="00F33AB8">
      <w:pPr>
        <w:pStyle w:val="Heading2"/>
      </w:pPr>
      <w:r>
        <w:t>9. Proposal for a Council Decision on establishing the European Union position on a draft Decision of the Ministerial Council of the Energy Community concerning the implementation of Article 9 of Directive 2009/73/EC by the Republic of Moldova = Adoption</w:t>
      </w:r>
      <w:bookmarkEnd w:id="64"/>
    </w:p>
    <w:p w:rsidR="00820202" w:rsidRPr="00F33AB8" w:rsidRDefault="00820202" w:rsidP="00F33AB8">
      <w:r>
        <w:t>15486/12, 15882/12, 16091/12</w:t>
      </w:r>
    </w:p>
    <w:p w:rsidR="00820202" w:rsidRDefault="00820202">
      <w:pPr>
        <w:pStyle w:val="RKnormal"/>
        <w:tabs>
          <w:tab w:val="clear" w:pos="1843"/>
          <w:tab w:val="left" w:pos="0"/>
        </w:tabs>
        <w:ind w:left="0"/>
      </w:pPr>
    </w:p>
    <w:p w:rsidR="00820202" w:rsidRPr="00F33AB8" w:rsidRDefault="00820202" w:rsidP="00F33AB8">
      <w:r>
        <w:t>Ansvarigt departement: Näringsdepartementet</w:t>
      </w:r>
    </w:p>
    <w:p w:rsidR="00820202" w:rsidRDefault="00820202">
      <w:pPr>
        <w:pStyle w:val="RKnormal"/>
        <w:tabs>
          <w:tab w:val="clear" w:pos="1843"/>
          <w:tab w:val="left" w:pos="0"/>
        </w:tabs>
        <w:ind w:left="0"/>
      </w:pPr>
    </w:p>
    <w:p w:rsidR="00820202" w:rsidRPr="00F33AB8" w:rsidRDefault="00820202" w:rsidP="00F33AB8">
      <w:r>
        <w:t>Ansvarigt statsråd: Anna-Karin Hatt</w:t>
      </w:r>
    </w:p>
    <w:p w:rsidR="00820202" w:rsidRDefault="00820202">
      <w:pPr>
        <w:pStyle w:val="RKnormal"/>
        <w:tabs>
          <w:tab w:val="clear" w:pos="1843"/>
          <w:tab w:val="left" w:pos="0"/>
        </w:tabs>
        <w:ind w:left="0"/>
      </w:pPr>
    </w:p>
    <w:p w:rsidR="00820202" w:rsidRPr="00F33AB8" w:rsidRDefault="00820202" w:rsidP="00F33AB8">
      <w:r>
        <w:t>Godkänd av Coreper I den 21 november 2012</w:t>
      </w:r>
    </w:p>
    <w:p w:rsidR="00820202" w:rsidRDefault="00820202">
      <w:pPr>
        <w:pStyle w:val="RKnormal"/>
        <w:tabs>
          <w:tab w:val="clear" w:pos="1843"/>
          <w:tab w:val="left" w:pos="0"/>
        </w:tabs>
        <w:ind w:left="0"/>
      </w:pPr>
    </w:p>
    <w:p w:rsidR="00820202" w:rsidRDefault="00820202" w:rsidP="00F33AB8">
      <w:r>
        <w:t xml:space="preserve">Avsikt med behandlingen i rådet: </w:t>
      </w:r>
    </w:p>
    <w:p w:rsidR="00820202" w:rsidRDefault="00820202" w:rsidP="00F33AB8">
      <w:r>
        <w:t>Antagande av rådsbeslut om EUs position om ett utkast till beslut i Energigemenskapen i sydöstra Europa om Moldaviens implementering av artikel 9 i gasmarknadsdirektivet (2009/73/EU).</w:t>
      </w:r>
    </w:p>
    <w:p w:rsidR="00820202" w:rsidRDefault="00820202" w:rsidP="00F33AB8"/>
    <w:p w:rsidR="00820202" w:rsidRDefault="00820202" w:rsidP="00F33AB8">
      <w:r>
        <w:t xml:space="preserve">Hur regeringen ställer sig till den blivande A-punkten:  </w:t>
      </w:r>
    </w:p>
    <w:p w:rsidR="00820202" w:rsidRDefault="00820202" w:rsidP="00F33AB8">
      <w:r>
        <w:t xml:space="preserve">Regeringen avser att rösta ja till det föreslagna beslutet. </w:t>
      </w:r>
    </w:p>
    <w:p w:rsidR="00820202" w:rsidRDefault="00820202" w:rsidP="00F33AB8"/>
    <w:p w:rsidR="00820202" w:rsidRDefault="00820202" w:rsidP="00F33AB8">
      <w:r>
        <w:t xml:space="preserve">Bakgrund: </w:t>
      </w:r>
    </w:p>
    <w:p w:rsidR="00820202" w:rsidRDefault="00820202" w:rsidP="00F33AB8">
      <w:r>
        <w:t xml:space="preserve">Energigemenskapen i sydöstra Europa (Energy Community) är en sammanslutning länder på västra Balkan och östra Europa (Serbien, Kroatien, Bosnien, Makedonien, Albanien, Kosovo, Montenegro, Moldavien, Ukraina), samt EU, som syftar till att utvidga EU:s inre marknad för energi genom att länderna förbinder sig att implementera EU:s acquis på energiområdet. </w:t>
      </w:r>
    </w:p>
    <w:p w:rsidR="00820202" w:rsidRDefault="00820202" w:rsidP="00F33AB8"/>
    <w:p w:rsidR="00820202" w:rsidRDefault="00820202" w:rsidP="00F33AB8">
      <w:r>
        <w:t xml:space="preserve">Kommissionen representerar EU i förhandlingarna och agerar utifrån ett på förhand fastställt mandat som rådet beslutat om. Ett sådant beslut måste fattas av rådet då det enligt fördraget råder delad kompetens mellan medlemsstaterna och kommissionen på energiområdet. </w:t>
      </w:r>
    </w:p>
    <w:p w:rsidR="00820202" w:rsidRDefault="00820202" w:rsidP="00F33AB8"/>
    <w:p w:rsidR="00820202" w:rsidRDefault="00820202" w:rsidP="00BC26FD">
      <w:r>
        <w:t xml:space="preserve">Det nu aktuella rådsbeslutet innebär att kommissionen ges ett sådant mandat inför antagande av ett beslut i Energigemenskapens ministerråd. Beslutet avser implementeringen av EU:s gasmarknadsdirektiv i gemenskapen vilket Energigemenskapens ministerråd fattat beslut om ska ske senast 2016. Vid ett möte i Energigemenskapens ministerråd den 18 oktober 2012 bad Moldaviens formellt om en utsträckt tidsfrist till år 2020 för att implementera gasmarknadsdirektivets (2009/73/EU) artikel 9 om ägandeskapsåtskillnad. Moldavien pekade i sammanhanget på särskilda omständigheter i landets gassektor. EU föreslås acceptera en utsträckt tidsfrist samtidigt som stor vikt läggs vid ytterligare åtgärder för att bistå Moldavien i att implementera bestämmelsen. Till exempel ska en särskild expertgrupp tillsättas.  </w:t>
      </w:r>
    </w:p>
    <w:p w:rsidR="00820202" w:rsidRPr="00F33AB8" w:rsidRDefault="00820202" w:rsidP="00F33AB8">
      <w:pPr>
        <w:pStyle w:val="Heading2"/>
      </w:pPr>
      <w:bookmarkStart w:id="65" w:name="_Toc341270433"/>
      <w:r>
        <w:t>10. Proposal for a Council Regulation on the allocation of the fishing opportunities under the Protocol agreed between the European Union and the Republic of Madagascar setting out fishing opportunities and the financial contribution provided for in the Fisheries Partnership Agreement between the two parties currently in force = Adoption</w:t>
      </w:r>
      <w:bookmarkEnd w:id="65"/>
    </w:p>
    <w:p w:rsidR="00820202" w:rsidRPr="00F33AB8" w:rsidRDefault="00820202" w:rsidP="00F33AB8">
      <w:r>
        <w:t>14151/1/12, 16251/1/12</w:t>
      </w:r>
    </w:p>
    <w:p w:rsidR="00820202" w:rsidRDefault="00820202">
      <w:pPr>
        <w:pStyle w:val="RKnormal"/>
        <w:tabs>
          <w:tab w:val="clear" w:pos="1843"/>
          <w:tab w:val="left" w:pos="0"/>
        </w:tabs>
        <w:ind w:left="0"/>
      </w:pPr>
    </w:p>
    <w:p w:rsidR="00820202" w:rsidRPr="00F33AB8" w:rsidRDefault="00820202" w:rsidP="00F33AB8">
      <w:r>
        <w:t>Ansvarigt departement: Landsbygdsdepartementet</w:t>
      </w:r>
    </w:p>
    <w:p w:rsidR="00820202" w:rsidRDefault="00820202">
      <w:pPr>
        <w:pStyle w:val="RKnormal"/>
        <w:tabs>
          <w:tab w:val="clear" w:pos="1843"/>
          <w:tab w:val="left" w:pos="0"/>
        </w:tabs>
        <w:ind w:left="0"/>
      </w:pPr>
    </w:p>
    <w:p w:rsidR="00820202" w:rsidRPr="00F33AB8" w:rsidRDefault="00820202" w:rsidP="00F33AB8">
      <w:r>
        <w:t>Ansvarigt statsråd: Eskil Erlandsson</w:t>
      </w:r>
    </w:p>
    <w:p w:rsidR="00820202" w:rsidRDefault="00820202">
      <w:pPr>
        <w:pStyle w:val="RKnormal"/>
        <w:tabs>
          <w:tab w:val="clear" w:pos="1843"/>
          <w:tab w:val="left" w:pos="0"/>
        </w:tabs>
        <w:ind w:left="0"/>
      </w:pPr>
    </w:p>
    <w:p w:rsidR="00820202" w:rsidRPr="00F33AB8" w:rsidRDefault="00820202" w:rsidP="00F33AB8">
      <w:r>
        <w:t>Godkänd av Coreper I den 21 november 2012</w:t>
      </w:r>
    </w:p>
    <w:p w:rsidR="00820202" w:rsidRDefault="00820202">
      <w:pPr>
        <w:pStyle w:val="RKnormal"/>
        <w:tabs>
          <w:tab w:val="clear" w:pos="1843"/>
          <w:tab w:val="left" w:pos="0"/>
        </w:tabs>
        <w:ind w:left="0"/>
      </w:pPr>
    </w:p>
    <w:p w:rsidR="00820202" w:rsidRDefault="00820202" w:rsidP="00F33AB8">
      <w:r>
        <w:t xml:space="preserve">Avsikt med behandlingen i rådet: Rådet föreslås godkänna ett antagande av förslaget till förordning avseende fördelning av fiskemöjligheter, och dels godkänna ett antagande av ett beslut om signering, tillfällig tillämpning och ekonomisk ersättning. Rådet föreslås även godkänna att rådet begär EPs godkännande inför ett antagande av beslutet om själva ingåendet av protokollet. </w:t>
      </w:r>
    </w:p>
    <w:p w:rsidR="00820202" w:rsidRDefault="00820202" w:rsidP="00F33AB8"/>
    <w:p w:rsidR="00820202" w:rsidRDefault="00820202" w:rsidP="00F33AB8">
      <w:r>
        <w:t xml:space="preserve">Hur regeringen ställer sig till den blivande A-punkten: </w:t>
      </w:r>
    </w:p>
    <w:p w:rsidR="00820202" w:rsidRDefault="00820202" w:rsidP="00F33AB8">
      <w:r>
        <w:t>Regeringens samlade bedömning är att Sverige ska rösta nej till kommissionens förslag till nytt protokoll inom ramen för partnerskapsavtalet om fiske mellan EU och Madagaskar. Till omröstningen avser regeringen lämna följande deklaration från Sverige: “Sverige har invändningar mot protokollet inom ramen för partnerskapsavtalet om fiske mellan Europeiska unionen och Republiken Madagaskar. Invändningarna gäller i) det konstitutionella läget i Madagaskar ii) ett höjt referenstonnage i protokollet.</w:t>
      </w:r>
    </w:p>
    <w:p w:rsidR="00820202" w:rsidRDefault="00820202" w:rsidP="00F33AB8">
      <w:r>
        <w:t>i)</w:t>
      </w:r>
      <w:r>
        <w:tab/>
        <w:t>En statskupp ägde rum i Madagaskar 2009 och sedan dess har landet styrts av en regim utan grundlagsenlig legitimitet. I takt med att förberedelser för ett återupprättande av konstitutionellt styre långsamt framskrider har EU återupptagit valda delar av sitt utvecklingsbistånd. Sedan kommissionen fick mandat att förhandla protokollet har emellertid inte EU:s förväntningar på framsteg i enlighet med fredsuppgörelsen i Madagaskar infriats.</w:t>
      </w:r>
    </w:p>
    <w:p w:rsidR="00820202" w:rsidRDefault="00820202" w:rsidP="00F33AB8"/>
    <w:p w:rsidR="00820202" w:rsidRDefault="00820202" w:rsidP="00F33AB8">
      <w:r>
        <w:t>ii)</w:t>
      </w:r>
      <w:r>
        <w:tab/>
        <w:t>Mot bakgrund av IOTC har beslutat att fisketrycket på gulfenad tonfisk och storögd tonfisk ska sänkas inom den regionala fiskeriorganisationens område, anser Sverige att det är motstridigt att i ett nytt protokoll höja referenstonnaget. Även om detta inte nödvändigtvis innebär att fångsterna kommer att öka kan ett höjt referenstonnage sända fel signal om beståndssituationen. Det är viktigt att EU inte uppfattas som att man underminerar rekommendationerna från den regionala fiskeriorganisationen genom de bilaterala avtalen i regionen. Istället menar Sverige att EU tydligt bör deklarera att man kommer att verka för att fångsterna i samtliga bilaterala avtal i förvaltningsområdet begränsas och därmed bidrar till att det totala fisket inte överstiger de nivåer som IOTC anger.</w:t>
      </w:r>
    </w:p>
    <w:p w:rsidR="00820202" w:rsidRDefault="00820202" w:rsidP="00F33AB8"/>
    <w:p w:rsidR="00820202" w:rsidRDefault="00820202" w:rsidP="00F33AB8">
      <w:r>
        <w:t>Mot denna bakgrund är den samlade bedömningen att Sverige inte kan stödja ingåendet av det nya protokollet. Sverige röstar därför nej till protokollet inom ramen för partnerskapsavtalet om fiske mellan EU och Republiken Madagaskar.”</w:t>
      </w:r>
    </w:p>
    <w:p w:rsidR="00820202" w:rsidRDefault="00820202" w:rsidP="00F33AB8"/>
    <w:p w:rsidR="00820202" w:rsidRDefault="00820202" w:rsidP="00F33AB8">
      <w:r>
        <w:t>Regeringens invändningar gäller dels det instabila konstitutionella läget i Madagaskar, men också att förslaget innebär en höjning av referenstonnaget. Mot bakgrund av att IOTC (Indiska oceanens tonfiskkommission) förespråkar en sänkning av fisketrycket för gulfenad tonfisk och storögd tonfisk anser regeringen att ett höjt referenstonnage skulle sända ut fel signaler.</w:t>
      </w:r>
    </w:p>
    <w:p w:rsidR="00820202" w:rsidRDefault="00820202" w:rsidP="00F33AB8"/>
    <w:p w:rsidR="00820202" w:rsidRDefault="00820202" w:rsidP="00F33AB8">
      <w:r>
        <w:t xml:space="preserve">Bakgrund: </w:t>
      </w:r>
    </w:p>
    <w:p w:rsidR="00820202" w:rsidRDefault="00820202" w:rsidP="00F33AB8">
      <w:r>
        <w:t xml:space="preserve">Den 15 november 2007 antog rådet en förordning om ingående av ett partnerskapsavtal om fiske mellan EU och Madagaskar. Partnerna har förhandlat fram ett nytt protokoll som omfattar en period på två år räknat från dagen för undertecknandet. I protokollet ges fiskemöjligheter för 96 fartyg enligt följande fördelning: 40 notfartyg för tonfiske, 34 fartyg som bedriver fiske med flytlinor med ett tonnage på mer än 100 GT, 22 fartyg som bedriver fiske med flytlinor med ett tonnage på mindre än 100 GT. Den ekonomiska ersättningen uppgår totalt till 3 050 000 euro varav 550 000 euro per år är avsatt för utvecklingen av Madagaskars sektoriella fiskeripolitik.  </w:t>
      </w:r>
    </w:p>
    <w:p w:rsidR="00820202" w:rsidRDefault="00820202" w:rsidP="00F33AB8"/>
    <w:p w:rsidR="00820202" w:rsidRDefault="00820202" w:rsidP="00F33AB8">
      <w:r>
        <w:t xml:space="preserve">IOTC, Indiska oceanens tonfiskkommission, har beslutat att fisketrycket på gulfenad och storögd tonfisk ska sänkas inom den regionala fiskeriorganisationens område. </w:t>
      </w:r>
    </w:p>
    <w:p w:rsidR="00820202" w:rsidRDefault="00820202" w:rsidP="00F33AB8"/>
    <w:p w:rsidR="00820202" w:rsidRDefault="00820202" w:rsidP="00BC26FD">
      <w:r>
        <w:t xml:space="preserve">En statskupp ägde rum i Madagaskar 2009 och sedan dess har landet styrts av en regim utan grundlagsenlig legitimitet. I takt med att förberedelserna för ett återupprättande av konstitionellt styre långsamt fortskrider har EU återupptagit valda delar av sitt utvecklingsbistånd. EU:s förväntningar på framsteg i enlighet med fredsuppgörelsen har dock inte infriats. </w:t>
      </w:r>
    </w:p>
    <w:p w:rsidR="00820202" w:rsidRPr="00F33AB8" w:rsidRDefault="00820202" w:rsidP="00F33AB8">
      <w:pPr>
        <w:pStyle w:val="Heading2"/>
      </w:pPr>
      <w:bookmarkStart w:id="66" w:name="_Toc341270434"/>
      <w:r>
        <w:t>11. Proposal for a Council Decision on the signature, on behalf of the European Union, and on the provisional application of the Protocol agreed between the European Union and the Republic of Madagascar setting out fishing opportunities and the financial contribution provided for in the Fisheries Partnership Agreement between the two parties currently in force = Adoption</w:t>
      </w:r>
      <w:bookmarkEnd w:id="66"/>
    </w:p>
    <w:p w:rsidR="00820202" w:rsidRPr="00F33AB8" w:rsidRDefault="00820202" w:rsidP="00F33AB8">
      <w:r>
        <w:t>14159/1/12, 16251/1/12</w:t>
      </w:r>
    </w:p>
    <w:p w:rsidR="00820202" w:rsidRDefault="00820202">
      <w:pPr>
        <w:pStyle w:val="RKnormal"/>
        <w:tabs>
          <w:tab w:val="clear" w:pos="1843"/>
          <w:tab w:val="left" w:pos="0"/>
        </w:tabs>
        <w:ind w:left="0"/>
      </w:pPr>
    </w:p>
    <w:p w:rsidR="00820202" w:rsidRPr="00F33AB8" w:rsidRDefault="00820202" w:rsidP="00F33AB8">
      <w:r>
        <w:t>Ansvarigt departement: Landsbygdsdepartementet</w:t>
      </w:r>
    </w:p>
    <w:p w:rsidR="00820202" w:rsidRDefault="00820202">
      <w:pPr>
        <w:pStyle w:val="RKnormal"/>
        <w:tabs>
          <w:tab w:val="clear" w:pos="1843"/>
          <w:tab w:val="left" w:pos="0"/>
        </w:tabs>
        <w:ind w:left="0"/>
      </w:pPr>
    </w:p>
    <w:p w:rsidR="00820202" w:rsidRPr="00F33AB8" w:rsidRDefault="00820202" w:rsidP="00F33AB8">
      <w:r>
        <w:t>Ansvarigt statsråd: Eskil Erlandsson</w:t>
      </w:r>
    </w:p>
    <w:p w:rsidR="00820202" w:rsidRDefault="00820202">
      <w:pPr>
        <w:pStyle w:val="RKnormal"/>
        <w:tabs>
          <w:tab w:val="clear" w:pos="1843"/>
          <w:tab w:val="left" w:pos="0"/>
        </w:tabs>
        <w:ind w:left="0"/>
      </w:pPr>
    </w:p>
    <w:p w:rsidR="00820202" w:rsidRPr="00F33AB8" w:rsidRDefault="00820202" w:rsidP="00F33AB8">
      <w:r>
        <w:t>Godkänd av Coreper I den 21 november 2012</w:t>
      </w:r>
    </w:p>
    <w:p w:rsidR="00820202" w:rsidRDefault="00820202">
      <w:pPr>
        <w:pStyle w:val="RKnormal"/>
        <w:tabs>
          <w:tab w:val="clear" w:pos="1843"/>
          <w:tab w:val="left" w:pos="0"/>
        </w:tabs>
        <w:ind w:left="0"/>
      </w:pPr>
    </w:p>
    <w:p w:rsidR="00820202" w:rsidRDefault="00820202" w:rsidP="00F33AB8">
      <w:r>
        <w:t xml:space="preserve">Avsikt med behandlingen i rådet: Rådet föreslås godkänna ett antagande av förslaget till förordning avseende fördelning av fiskemöjligheter, och dels godkänna ett antagande av ett beslut om signering, tillfällig tillämpning och ekonomisk ersättning. Rådet föreslås även godkänna att rådet begär EPs godkännande inför ett antagande av beslutet om själva ingåendet av protokollet. </w:t>
      </w:r>
    </w:p>
    <w:p w:rsidR="00820202" w:rsidRDefault="00820202" w:rsidP="00F33AB8"/>
    <w:p w:rsidR="00820202" w:rsidRDefault="00820202" w:rsidP="00F33AB8">
      <w:r>
        <w:t xml:space="preserve">Hur regeringen ställer sig till den blivande A-punkten: </w:t>
      </w:r>
    </w:p>
    <w:p w:rsidR="00820202" w:rsidRDefault="00820202" w:rsidP="00F33AB8">
      <w:r>
        <w:t>Regeringens samlade bedömning är att Sverige ska rösta nej till kommissionens förslag till nytt protokoll inom ramen för partnerskapsavtalet om fiske mellan EU och Madagaskar. Till omröstningen avser regeringen lämna följande deklaration från Sverige: “Sverige har invändningar mot protokollet inom ramen för partnerskapsavtalet om fiske mellan Europeiska unionen och Republiken Madagaskar. Invändningarna gäller i) det konstitutionella läget i Madagaskar ii) ett höjt referenstonnage i protokollet.</w:t>
      </w:r>
    </w:p>
    <w:p w:rsidR="00820202" w:rsidRDefault="00820202" w:rsidP="00F33AB8">
      <w:r>
        <w:t>i)</w:t>
      </w:r>
      <w:r>
        <w:tab/>
        <w:t>En statskupp ägde rum i Madagaskar 2009 och sedan dess har landet styrts av en regim utan grundlagsenlig legitimitet. I takt med att förberedelser för ett återupprättande av konstitutionellt styre långsamt framskrider har EU återupptagit valda delar av sitt utvecklingsbistånd. Sedan kommissionen fick mandat att förhandla protokollet har emellertid inte EU:s förväntningar på framsteg i enlighet med fredsuppgörelsen i Madagaskar infriats.</w:t>
      </w:r>
    </w:p>
    <w:p w:rsidR="00820202" w:rsidRDefault="00820202" w:rsidP="00F33AB8"/>
    <w:p w:rsidR="00820202" w:rsidRDefault="00820202" w:rsidP="00F33AB8">
      <w:r>
        <w:t>ii)</w:t>
      </w:r>
      <w:r>
        <w:tab/>
        <w:t>Mot bakgrund av IOTC har beslutat att fisketrycket på gulfenad tonfisk och storögd tonfisk ska sänkas inom den regionala fiskeriorganisationens område, anser Sverige att det är motstridigt att i ett nytt protokoll höja referenstonnaget. Även om detta inte nödvändigtvis innebär att fångsterna kommer att öka kan ett höjt referenstonnage sända fel signal om beståndssituationen. Det är viktigt att EU inte uppfattas som att man underminerar rekommendationerna från den regionala fiskeriorganisationen genom de bilaterala avtalen i regionen. Istället menar Sverige att EU tydligt bör deklarera att man kommer att verka för att fångsterna i samtliga bilaterala avtal i förvaltningsområdet begränsas och därmed bidrar till att det totala fisket inte överstiger de nivåer som IOTC anger.</w:t>
      </w:r>
    </w:p>
    <w:p w:rsidR="00820202" w:rsidRDefault="00820202" w:rsidP="00F33AB8"/>
    <w:p w:rsidR="00820202" w:rsidRDefault="00820202" w:rsidP="00F33AB8">
      <w:r>
        <w:t>Mot denna bakgrund är den samlade bedömningen att Sverige inte kan stödja ingåendet av det nya protokollet. Sverige röstar därför nej till protokollet inom ramen för partnerskapsavtalet om fiske mellan EU och Republiken Madagaskar.”</w:t>
      </w:r>
    </w:p>
    <w:p w:rsidR="00820202" w:rsidRDefault="00820202" w:rsidP="00F33AB8"/>
    <w:p w:rsidR="00820202" w:rsidRDefault="00820202" w:rsidP="00F33AB8">
      <w:r>
        <w:t>Regeringens invändningar gäller dels det instabila konstitutionella läget i Madagaskar, men också att förslaget innebär en höjning av referenstonnaget. Mot bakgrund av att IOTC (Indiska oceanens tonfiskkommission) förespråkar en sänkning av fisketrycket för gulfenad tonfisk och storögd tonfisk anser regeringen att ett höjt referenstonnage skulle sända ut fel signaler.</w:t>
      </w:r>
    </w:p>
    <w:p w:rsidR="00820202" w:rsidRDefault="00820202" w:rsidP="00F33AB8"/>
    <w:p w:rsidR="00820202" w:rsidRDefault="00820202" w:rsidP="00F33AB8">
      <w:r>
        <w:t xml:space="preserve">Bakgrund: </w:t>
      </w:r>
    </w:p>
    <w:p w:rsidR="00820202" w:rsidRDefault="00820202" w:rsidP="00F33AB8">
      <w:bookmarkStart w:id="67" w:name="_GoBack"/>
      <w:bookmarkEnd w:id="67"/>
      <w:r>
        <w:t xml:space="preserve">Den 15 november 2007 antog rådet en förordning om ingående av ett partnerskapsavtal om fiske mellan EU och Madagaskar. Partnerna har förhandlat fram ett nytt protokoll som omfattar en period på två år räknat från dagen för undertecknandet. I protokollet ges fiskemöjligheter för 96 fartyg enligt följande fördelning: 40 notfartyg för tonfiske, 34 fartyg som bedriver fiske med flytlinor med ett tonnage på mer än 100 GT, 22 fartyg som bedriver fiske med flytlinor med ett tonnage på mindre än 100 GT. Den ekonomiska ersättningen uppgår totalt till 3 050 000 euro varav 550 000 euro per år är avsatt för utvecklingen av Madagaskars sektoriella fiskeripolitik.  </w:t>
      </w:r>
    </w:p>
    <w:p w:rsidR="00820202" w:rsidRDefault="00820202" w:rsidP="00F33AB8"/>
    <w:p w:rsidR="00820202" w:rsidRDefault="00820202" w:rsidP="00F33AB8">
      <w:r>
        <w:t xml:space="preserve">IOTC, Indiska oceanens tonfiskkommission, har beslutat att fisketrycket på gulfenad och storögd tonfisk ska sänkas inom den regionala fiskeriorganisationens område. </w:t>
      </w:r>
    </w:p>
    <w:p w:rsidR="00820202" w:rsidRDefault="00820202" w:rsidP="00F33AB8"/>
    <w:p w:rsidR="00820202" w:rsidRDefault="00820202" w:rsidP="00BC26FD">
      <w:r>
        <w:t xml:space="preserve">En statskupp ägde rum i Madagaskar 2009 och sedan dess har landet styrts av en regim utan grundlagsenlig legitimitet. I takt med att förberedelserna för ett återupprättande av konstitionellt styre långsamt fortskrider har EU återupptagit valda delar av sitt utvecklingsbistånd. EU:s förväntningar på framsteg i enlighet med fredsuppgörelsen har dock inte infriats. </w:t>
      </w:r>
    </w:p>
    <w:p w:rsidR="00820202" w:rsidRDefault="00820202">
      <w:pPr>
        <w:spacing w:line="240" w:lineRule="auto"/>
        <w:rPr>
          <w:rFonts w:ascii="Arial" w:hAnsi="Arial" w:cs="Arial"/>
          <w:b/>
          <w:i/>
          <w:iCs/>
          <w:kern w:val="28"/>
        </w:rPr>
      </w:pPr>
      <w:bookmarkStart w:id="68" w:name="_Toc341270435"/>
      <w:r>
        <w:br w:type="page"/>
      </w:r>
    </w:p>
    <w:p w:rsidR="00820202" w:rsidRPr="00F33AB8" w:rsidRDefault="00820202" w:rsidP="00F33AB8">
      <w:pPr>
        <w:pStyle w:val="Heading2"/>
      </w:pPr>
      <w:r>
        <w:t>12. Proposal for a Council Decision on the conclusion of the Protocol agreed between the European Union and the Republic of Madagascar setting out fishing opportunities and the financial contribution provided for in the Fisheries Partnership Agreement between the two parties currently in force = Request by the Council for the consent of the European Parliament</w:t>
      </w:r>
      <w:bookmarkEnd w:id="68"/>
    </w:p>
    <w:p w:rsidR="00820202" w:rsidRPr="00F33AB8" w:rsidRDefault="00820202" w:rsidP="00F33AB8">
      <w:r>
        <w:t>14164/1/12, 16251/1/12</w:t>
      </w:r>
    </w:p>
    <w:p w:rsidR="00820202" w:rsidRDefault="00820202">
      <w:pPr>
        <w:pStyle w:val="RKnormal"/>
        <w:tabs>
          <w:tab w:val="clear" w:pos="1843"/>
          <w:tab w:val="left" w:pos="0"/>
        </w:tabs>
        <w:ind w:left="0"/>
      </w:pPr>
    </w:p>
    <w:p w:rsidR="00820202" w:rsidRPr="00F33AB8" w:rsidRDefault="00820202" w:rsidP="00F33AB8">
      <w:r>
        <w:t>Ansvarigt departement: Landsbygdsdepartementet</w:t>
      </w:r>
    </w:p>
    <w:p w:rsidR="00820202" w:rsidRDefault="00820202">
      <w:pPr>
        <w:pStyle w:val="RKnormal"/>
        <w:tabs>
          <w:tab w:val="clear" w:pos="1843"/>
          <w:tab w:val="left" w:pos="0"/>
        </w:tabs>
        <w:ind w:left="0"/>
      </w:pPr>
    </w:p>
    <w:p w:rsidR="00820202" w:rsidRPr="00F33AB8" w:rsidRDefault="00820202" w:rsidP="00F33AB8">
      <w:r>
        <w:t>Ansvarigt statsråd: Eskil Erlandsson</w:t>
      </w:r>
    </w:p>
    <w:p w:rsidR="00820202" w:rsidRDefault="00820202">
      <w:pPr>
        <w:pStyle w:val="RKnormal"/>
        <w:tabs>
          <w:tab w:val="clear" w:pos="1843"/>
          <w:tab w:val="left" w:pos="0"/>
        </w:tabs>
        <w:ind w:left="0"/>
      </w:pPr>
    </w:p>
    <w:p w:rsidR="00820202" w:rsidRPr="00F33AB8" w:rsidRDefault="00820202" w:rsidP="00F33AB8">
      <w:r>
        <w:t>Godkänd av Coreper I den 21 november 2012</w:t>
      </w:r>
    </w:p>
    <w:p w:rsidR="00820202" w:rsidRDefault="00820202">
      <w:pPr>
        <w:pStyle w:val="RKnormal"/>
        <w:tabs>
          <w:tab w:val="clear" w:pos="1843"/>
          <w:tab w:val="left" w:pos="0"/>
        </w:tabs>
        <w:ind w:left="0"/>
      </w:pPr>
    </w:p>
    <w:p w:rsidR="00820202" w:rsidRDefault="00820202" w:rsidP="00F33AB8">
      <w:r>
        <w:t xml:space="preserve">Avsikt med behandlingen i rådet: </w:t>
      </w:r>
    </w:p>
    <w:p w:rsidR="00820202" w:rsidRDefault="00820202" w:rsidP="00F33AB8">
      <w:r>
        <w:t xml:space="preserve">Rådet föreslås godkänna ett antagande av förslaget till förordning avseende fördelning av fiskemöjligheter, och dels godkänna ett antagande av ett beslut om signering, tillfällig tillämpning och ekonomisk ersättning. Rådet föreslås även godkänna att rådet begär EPs godkännande inför ett antagande av beslutet om själva ingåendet av protokollet. </w:t>
      </w:r>
    </w:p>
    <w:p w:rsidR="00820202" w:rsidRDefault="00820202" w:rsidP="00F33AB8"/>
    <w:p w:rsidR="00820202" w:rsidRDefault="00820202" w:rsidP="00F33AB8">
      <w:r>
        <w:t xml:space="preserve">Hur regeringen ställer sig till den blivande A-punkten: </w:t>
      </w:r>
    </w:p>
    <w:p w:rsidR="00820202" w:rsidRDefault="00820202" w:rsidP="00F33AB8">
      <w:r>
        <w:t>Regeringens samlade bedömning är att Sverige ska rösta nej till kommissionens förslag till nytt protokoll inom ramen för partnerskapsavtalet om fiske mellan EU och Madagaskar. Till omröstningen avser regeringen lämna följande deklaration från Sverige: “Sverige har invändningar mot protokollet inom ramen för partnerskapsavtalet om fiske mellan Europeiska unionen och Republiken Madagaskar. Invändningarna gäller i) det konstitutionella läget i Madagaskar ii) ett höjt referenstonnage i protokollet.</w:t>
      </w:r>
    </w:p>
    <w:p w:rsidR="00820202" w:rsidRDefault="00820202" w:rsidP="00F33AB8">
      <w:r>
        <w:t>i)</w:t>
      </w:r>
      <w:r>
        <w:tab/>
        <w:t>En statskupp ägde rum i Madagaskar 2009 och sedan dess har landet styrts av en regim utan grundlagsenlig legitimitet. I takt med att förberedelser för ett återupprättande av konstitutionellt styre långsamt framskrider har EU återupptagit valda delar av sitt utvecklingsbistånd. Sedan kommissionen fick mandat att förhandla protokollet har emellertid inte EU:s förväntningar på framsteg i enlighet med fredsuppgörelsen i Madagaskar infriats.</w:t>
      </w:r>
    </w:p>
    <w:p w:rsidR="00820202" w:rsidRDefault="00820202" w:rsidP="00F33AB8"/>
    <w:p w:rsidR="00820202" w:rsidRDefault="00820202" w:rsidP="00F33AB8">
      <w:r>
        <w:t>ii)</w:t>
      </w:r>
      <w:r>
        <w:tab/>
        <w:t>Mot bakgrund av IOTC har beslutat att fisketrycket på gulfenad tonfisk och storögd tonfisk ska sänkas inom den regionala fiskeriorganisationens område, anser Sverige att det är motstridigt att i ett nytt protokoll höja referenstonnaget. Även om detta inte nödvändigtvis innebär att fångsterna kommer att öka kan ett höjt referenstonnage sända fel signal om beståndssituationen. Det är viktigt att EU inte uppfattas som att man underminerar rekommendationerna från den regionala fiskeriorganisationen genom de bilaterala avtalen i regionen. Istället menar Sverige att EU tydligt bör deklarera att man kommer att verka för att fångsterna i samtliga bilaterala avtal i förvaltningsområdet begränsas och därmed bidrar till att det totala fisket inte överstiger de nivåer som IOTC anger.</w:t>
      </w:r>
    </w:p>
    <w:p w:rsidR="00820202" w:rsidRDefault="00820202" w:rsidP="00F33AB8"/>
    <w:p w:rsidR="00820202" w:rsidRDefault="00820202" w:rsidP="00F33AB8">
      <w:r>
        <w:t>Mot denna bakgrund är den samlade bedömningen att Sverige inte kan stödja ingåendet av det nya protokollet. Sverige röstar därför nej till protokollet inom ramen för partnerskapsavtalet om fiske mellan EU och Republiken Madagaskar.”</w:t>
      </w:r>
    </w:p>
    <w:p w:rsidR="00820202" w:rsidRDefault="00820202" w:rsidP="00F33AB8"/>
    <w:p w:rsidR="00820202" w:rsidRDefault="00820202" w:rsidP="00F33AB8">
      <w:r>
        <w:t>Regeringens invändningar gäller dels det instabila konstitutionella läget i Madagaskar, men också att förslaget innebär en höjning av referenstonnaget. Mot bakgrund av att IOTC (Indiska oceanens tonfiskkommission) förespråkar en sänkning av fisketrycket för gulfenad tonfisk och storögd tonfisk anser regeringen att ett höjt referenstonnage skulle sända ut fel signaler.</w:t>
      </w:r>
    </w:p>
    <w:p w:rsidR="00820202" w:rsidRDefault="00820202" w:rsidP="00F33AB8"/>
    <w:p w:rsidR="00820202" w:rsidRDefault="00820202" w:rsidP="00F33AB8">
      <w:r>
        <w:t xml:space="preserve">Bakgrund: </w:t>
      </w:r>
    </w:p>
    <w:p w:rsidR="00820202" w:rsidRDefault="00820202" w:rsidP="00F33AB8">
      <w:r>
        <w:t xml:space="preserve">Den 15 november 2007 antog rådet en förordning om ingående av ett partnerskapsavtal om fiske mellan EU och Madagaskar. Partnerna har förhandlat fram ett nytt protokoll som omfattar en period på två år räknat från dagen för undertecknandet. I protokollet ges fiskemöjligheter för 96 fartyg enligt följande fördelning: 40 notfartyg för tonfiske, 34 fartyg som bedriver fiske med flytlinor med ett tonnage på mer än 100 GT, 22 fartyg som bedriver fiske med flytlinor med ett tonnage på mindre än 100 GT. Den ekonomiska ersättningen uppgår totalt till 3 050 000 euro varav 550 000 euro per år är avsatt för utvecklingen av Madagaskars sektoriella fiskeripolitik.  </w:t>
      </w:r>
    </w:p>
    <w:p w:rsidR="00820202" w:rsidRDefault="00820202" w:rsidP="00F33AB8"/>
    <w:p w:rsidR="00820202" w:rsidRDefault="00820202" w:rsidP="00F33AB8">
      <w:r>
        <w:t xml:space="preserve">IOTC, Indiska oceanens tonfiskkommission, har beslutat att fisketrycket på gulfenad och storögd tonfisk ska sänkas inom den regionala fiskeriorganisationens område. </w:t>
      </w:r>
    </w:p>
    <w:p w:rsidR="00820202" w:rsidRDefault="00820202" w:rsidP="00F33AB8"/>
    <w:p w:rsidR="00820202" w:rsidRDefault="00820202" w:rsidP="00BC26FD">
      <w:r>
        <w:t xml:space="preserve">En statskupp ägde rum i Madagaskar 2009 och sedan dess har landet styrts av en regim utan grundlagsenlig legitimitet. I takt med att förberedelserna för ett återupprättande av konstitionellt styre långsamt fortskrider har EU återupptagit valda delar av sitt utvecklingsbistånd. EU:s förväntningar på framsteg i enlighet med fredsuppgörelsen har dock inte infriats.  </w:t>
      </w:r>
    </w:p>
    <w:p w:rsidR="00820202" w:rsidRPr="00F33AB8" w:rsidRDefault="00820202" w:rsidP="00F33AB8">
      <w:pPr>
        <w:pStyle w:val="Heading2"/>
      </w:pPr>
      <w:bookmarkStart w:id="69" w:name="_Toc341270436"/>
      <w:r>
        <w:t>13. Commission Delegated Directive ../.../EU of 10.10.2012 amending, for the purposes of adapting to technical progress, Annex III to Directive 2011/65/EU of the European Parliament and of the Council as regards an exemption for applications containing cadmium = Intention not to raise objection to a delegated act</w:t>
      </w:r>
      <w:bookmarkEnd w:id="69"/>
    </w:p>
    <w:p w:rsidR="00820202" w:rsidRPr="00F33AB8" w:rsidRDefault="00820202" w:rsidP="00F33AB8">
      <w:r>
        <w:t>16141/12, 14904/12</w:t>
      </w:r>
    </w:p>
    <w:p w:rsidR="00820202" w:rsidRDefault="00820202">
      <w:pPr>
        <w:pStyle w:val="RKnormal"/>
        <w:tabs>
          <w:tab w:val="clear" w:pos="1843"/>
          <w:tab w:val="left" w:pos="0"/>
        </w:tabs>
        <w:ind w:left="0"/>
      </w:pPr>
    </w:p>
    <w:p w:rsidR="00820202" w:rsidRPr="00F33AB8" w:rsidRDefault="00820202" w:rsidP="00F33AB8">
      <w:r>
        <w:t>Ansvarigt departement: Miljödepartementet</w:t>
      </w:r>
    </w:p>
    <w:p w:rsidR="00820202" w:rsidRDefault="00820202">
      <w:pPr>
        <w:pStyle w:val="RKnormal"/>
        <w:tabs>
          <w:tab w:val="clear" w:pos="1843"/>
          <w:tab w:val="left" w:pos="0"/>
        </w:tabs>
        <w:ind w:left="0"/>
      </w:pPr>
    </w:p>
    <w:p w:rsidR="00820202" w:rsidRPr="00F33AB8" w:rsidRDefault="00820202" w:rsidP="00F33AB8">
      <w:r>
        <w:t>Ansvarigt statsråd: Lena Ek</w:t>
      </w:r>
    </w:p>
    <w:p w:rsidR="00820202" w:rsidRDefault="00820202">
      <w:pPr>
        <w:pStyle w:val="RKnormal"/>
        <w:tabs>
          <w:tab w:val="clear" w:pos="1843"/>
          <w:tab w:val="left" w:pos="0"/>
        </w:tabs>
        <w:ind w:left="0"/>
      </w:pPr>
    </w:p>
    <w:p w:rsidR="00820202" w:rsidRPr="00F33AB8" w:rsidRDefault="00820202" w:rsidP="00F33AB8">
      <w:r>
        <w:t>Tidigare behandling vid rådsmöte: Miljörådet</w:t>
      </w:r>
    </w:p>
    <w:p w:rsidR="00820202" w:rsidRDefault="00820202">
      <w:pPr>
        <w:pStyle w:val="RKnormal"/>
        <w:tabs>
          <w:tab w:val="clear" w:pos="1843"/>
          <w:tab w:val="left" w:pos="0"/>
        </w:tabs>
        <w:ind w:left="0"/>
      </w:pPr>
    </w:p>
    <w:p w:rsidR="00820202" w:rsidRPr="00F33AB8" w:rsidRDefault="00820202" w:rsidP="00F33AB8">
      <w:r>
        <w:t>Godkänd av Coreper I den 21 november 2012</w:t>
      </w:r>
    </w:p>
    <w:p w:rsidR="00820202" w:rsidRDefault="00820202">
      <w:pPr>
        <w:pStyle w:val="RKnormal"/>
        <w:tabs>
          <w:tab w:val="clear" w:pos="1843"/>
          <w:tab w:val="left" w:pos="0"/>
        </w:tabs>
        <w:ind w:left="0"/>
      </w:pPr>
    </w:p>
    <w:p w:rsidR="00820202" w:rsidRDefault="00820202" w:rsidP="00F33AB8">
      <w:r>
        <w:t>RoHs direktivet har varit uppe för behandling senast juni 2010 inför antagandet av det omarbetade direktivet. Den aktuella frågan om två undantag från direktivet har inte varit uppe för behandling.</w:t>
      </w:r>
    </w:p>
    <w:p w:rsidR="00820202" w:rsidRDefault="00820202" w:rsidP="00F33AB8"/>
    <w:p w:rsidR="00820202" w:rsidRDefault="00820202" w:rsidP="00F33AB8">
      <w:r>
        <w:t xml:space="preserve">Avsikt med behandlingen i rådet: </w:t>
      </w:r>
    </w:p>
    <w:p w:rsidR="00820202" w:rsidRDefault="00820202" w:rsidP="00F33AB8">
      <w:r>
        <w:t xml:space="preserve">Rådet föreslås inte motsätta sig antagande av Kommissionens förordning om undantag för applikationer innehållande kadmium och bly. </w:t>
      </w:r>
    </w:p>
    <w:p w:rsidR="00820202" w:rsidRDefault="00820202" w:rsidP="00F33AB8"/>
    <w:p w:rsidR="00820202" w:rsidRDefault="00820202" w:rsidP="00F33AB8">
      <w:r>
        <w:t xml:space="preserve">Hur regeringen ställer sig till den blivande A-punkten: </w:t>
      </w:r>
    </w:p>
    <w:p w:rsidR="00820202" w:rsidRDefault="00820202" w:rsidP="00F33AB8">
      <w:r>
        <w:t>SE stöder rådets förslag till att inte motsätta sig ett antagande. Dessa undantag är en överföring av existerande undantag i det tidigare RoHS I direktivet. Kommissionen har samrått i den expertgrupp som finns kopplad till RoHS direktivet och SE hade där inget att erinra.</w:t>
      </w:r>
    </w:p>
    <w:p w:rsidR="00820202" w:rsidRDefault="00820202" w:rsidP="00F33AB8"/>
    <w:p w:rsidR="00820202" w:rsidRDefault="00820202" w:rsidP="00F33AB8">
      <w:r>
        <w:t xml:space="preserve">Bakgrund: </w:t>
      </w:r>
    </w:p>
    <w:p w:rsidR="00820202" w:rsidRDefault="00820202" w:rsidP="00776735">
      <w:r>
        <w:t xml:space="preserve">RoHS-direktivets syfte är att skydda människors hälsa och främja miljövänlig återvinning och bortskaffande av avfall som utgörs av eller innehåller elektriska och elektroniska produkter. RoHS-direktivet förbjuder användningen av metallerna kvicksilver, kadmium, bly, krom VI och flamskyddsmedlen PBB och PBDE i elektriska och elektroniska produkter både vid tillverkning inom EU och vid import från tredje land. Det finns möjligheter för tidsbegränsade undantag för visa specifika användningar och Kommissionen har delegerad befogenhet att anta sådana. De aktuella undantagen gäller Kadmium i fotoresistorer för analoga optokopplare i professionell audioutrustning samt bly i PZT-baserade dielektriska keramiska material för kondensatorer som ingår i integrerade kretsar eller diskreta halvledare. </w:t>
      </w:r>
    </w:p>
    <w:p w:rsidR="00820202" w:rsidRPr="00F33AB8" w:rsidRDefault="00820202" w:rsidP="00F33AB8">
      <w:pPr>
        <w:pStyle w:val="Heading2"/>
      </w:pPr>
      <w:bookmarkStart w:id="70" w:name="_Toc341270437"/>
      <w:r>
        <w:t>14. Commission Delegated Directive ../.../EU of 10.10.2012 amending, for the purposes of adapting to technical progress, Annex III to Directive 2011/65/EU of the European Parliament and of the Council as regards an exemption for applications containing lead = Intention not to raise objection to a delegated act</w:t>
      </w:r>
      <w:bookmarkEnd w:id="70"/>
    </w:p>
    <w:p w:rsidR="00820202" w:rsidRPr="00F33AB8" w:rsidRDefault="00820202" w:rsidP="00F33AB8">
      <w:r>
        <w:t>16142/12, 14902/12</w:t>
      </w:r>
    </w:p>
    <w:p w:rsidR="00820202" w:rsidRDefault="00820202">
      <w:pPr>
        <w:pStyle w:val="RKnormal"/>
        <w:tabs>
          <w:tab w:val="clear" w:pos="1843"/>
          <w:tab w:val="left" w:pos="0"/>
        </w:tabs>
        <w:ind w:left="0"/>
      </w:pPr>
    </w:p>
    <w:p w:rsidR="00820202" w:rsidRPr="00F33AB8" w:rsidRDefault="00820202" w:rsidP="00F33AB8">
      <w:r>
        <w:t>Ansvarigt departement: Miljödepartementet</w:t>
      </w:r>
    </w:p>
    <w:p w:rsidR="00820202" w:rsidRDefault="00820202">
      <w:pPr>
        <w:pStyle w:val="RKnormal"/>
        <w:tabs>
          <w:tab w:val="clear" w:pos="1843"/>
          <w:tab w:val="left" w:pos="0"/>
        </w:tabs>
        <w:ind w:left="0"/>
      </w:pPr>
    </w:p>
    <w:p w:rsidR="00820202" w:rsidRPr="00F33AB8" w:rsidRDefault="00820202" w:rsidP="00F33AB8">
      <w:r>
        <w:t>Ansvarigt statsråd: Lena Ek</w:t>
      </w:r>
    </w:p>
    <w:p w:rsidR="00820202" w:rsidRDefault="00820202">
      <w:pPr>
        <w:pStyle w:val="RKnormal"/>
        <w:tabs>
          <w:tab w:val="clear" w:pos="1843"/>
          <w:tab w:val="left" w:pos="0"/>
        </w:tabs>
        <w:ind w:left="0"/>
      </w:pPr>
    </w:p>
    <w:p w:rsidR="00820202" w:rsidRPr="00F33AB8" w:rsidRDefault="00820202" w:rsidP="00F33AB8">
      <w:r>
        <w:t>Tidigare behandling vid rådsmöte: Miljörådet</w:t>
      </w:r>
    </w:p>
    <w:p w:rsidR="00820202" w:rsidRDefault="00820202">
      <w:pPr>
        <w:pStyle w:val="RKnormal"/>
        <w:tabs>
          <w:tab w:val="clear" w:pos="1843"/>
          <w:tab w:val="left" w:pos="0"/>
        </w:tabs>
        <w:ind w:left="0"/>
      </w:pPr>
    </w:p>
    <w:p w:rsidR="00820202" w:rsidRPr="00F33AB8" w:rsidRDefault="00820202" w:rsidP="00F33AB8">
      <w:r>
        <w:t>Godkänd av Coreper I den 21 november 2012</w:t>
      </w:r>
    </w:p>
    <w:p w:rsidR="00820202" w:rsidRDefault="00820202">
      <w:pPr>
        <w:pStyle w:val="RKnormal"/>
        <w:tabs>
          <w:tab w:val="clear" w:pos="1843"/>
          <w:tab w:val="left" w:pos="0"/>
        </w:tabs>
        <w:ind w:left="0"/>
      </w:pPr>
    </w:p>
    <w:p w:rsidR="00820202" w:rsidRDefault="00820202" w:rsidP="00F33AB8">
      <w:r>
        <w:t>RoHs direktivet har varit uppe för behandling senast juni 2010 inför antagandet av det omarbetade direktivet. Den aktuella frågan om två undantag från direktivet har inte varit uppe för behandling.</w:t>
      </w:r>
    </w:p>
    <w:p w:rsidR="00820202" w:rsidRDefault="00820202" w:rsidP="00F33AB8"/>
    <w:p w:rsidR="00820202" w:rsidRDefault="00820202" w:rsidP="00F33AB8">
      <w:r>
        <w:t xml:space="preserve">Avsikt med behandlingen i rådet: </w:t>
      </w:r>
    </w:p>
    <w:p w:rsidR="00820202" w:rsidRDefault="00820202" w:rsidP="00F33AB8">
      <w:r>
        <w:t xml:space="preserve">Rådet föreslås inte motsätta sig antagande av Kommissionens förordning om undantag för applikationer innehållande kadmium och bly. </w:t>
      </w:r>
    </w:p>
    <w:p w:rsidR="00820202" w:rsidRDefault="00820202" w:rsidP="00F33AB8"/>
    <w:p w:rsidR="00820202" w:rsidRDefault="00820202" w:rsidP="00F33AB8">
      <w:r>
        <w:t xml:space="preserve">Hur regeringen ställer sig till den blivande A-punkten: </w:t>
      </w:r>
    </w:p>
    <w:p w:rsidR="00820202" w:rsidRDefault="00820202" w:rsidP="00F33AB8">
      <w:r>
        <w:t>SE stöder rådets förslag till att inte motsätta sig ett antagande. Dessa undantag är en överföring av existerande undantag i det tidigare RoHS I direktivet. Kommissionen har samrått i den expertgrupp som finns kopplad till RoHS direktivet och SE hade där inget att erinra.</w:t>
      </w:r>
    </w:p>
    <w:p w:rsidR="00820202" w:rsidRDefault="00820202" w:rsidP="00F33AB8"/>
    <w:p w:rsidR="00820202" w:rsidRDefault="00820202" w:rsidP="00F33AB8">
      <w:r>
        <w:t xml:space="preserve">Bakgrund: </w:t>
      </w:r>
    </w:p>
    <w:p w:rsidR="00820202" w:rsidRDefault="00820202" w:rsidP="00776735">
      <w:r>
        <w:t xml:space="preserve">RoHS-direktivets syfte är att skydda människors hälsa och främja miljövänlig återvinning och bortskaffande av avfall som utgörs av eller innehåller elektriska och elektroniska produkter. RoHS-direktivet förbjuder användningen av metallerna kvicksilver, kadmium, bly, krom VI och flamskyddsmedlen PBB och PBDE i elektriska och elektroniska produkter både vid tillverkning inom EU och vid import från tredje land. Det finns möjligheter för tidsbegränsade undantag för visa specifika användningar och Kommissionen har delegerad befogenhet att anta sådana. De aktuella undantagen gäller Kadmium i fotoresistorer för analoga optokopplare i professionell audioutrustning samt bly i PZT-baserade dielektriska keramiska material för kondensatorer som ingår i integrerade kretsar eller diskreta halvledare. </w:t>
      </w:r>
    </w:p>
    <w:p w:rsidR="00820202" w:rsidRPr="00F33AB8" w:rsidRDefault="00820202" w:rsidP="00F33AB8">
      <w:pPr>
        <w:pStyle w:val="Heading2"/>
      </w:pPr>
      <w:bookmarkStart w:id="71" w:name="_Toc341270438"/>
      <w:r>
        <w:t>15. Commission Regulation (EU) No .../.. of XXX amending Directive 2007/46/EC of the European Parliament and of the Council and Commission Regulation (EC) No 692/2008 as regards the determination of CO2 emissions from vehicles submitted to multi-stage type-approval = Decision not to oppose adoption</w:t>
      </w:r>
      <w:bookmarkEnd w:id="71"/>
    </w:p>
    <w:p w:rsidR="00820202" w:rsidRPr="00F33AB8" w:rsidRDefault="00820202" w:rsidP="00F33AB8">
      <w:r>
        <w:t>16143/12, 15606/12</w:t>
      </w:r>
    </w:p>
    <w:p w:rsidR="00820202" w:rsidRDefault="00820202">
      <w:pPr>
        <w:pStyle w:val="RKnormal"/>
        <w:tabs>
          <w:tab w:val="clear" w:pos="1843"/>
          <w:tab w:val="left" w:pos="0"/>
        </w:tabs>
        <w:ind w:left="0"/>
      </w:pPr>
    </w:p>
    <w:p w:rsidR="00820202" w:rsidRPr="00F33AB8" w:rsidRDefault="00820202" w:rsidP="00F33AB8">
      <w:r>
        <w:t>Ansvarigt departement: Miljödepartementet</w:t>
      </w:r>
    </w:p>
    <w:p w:rsidR="00820202" w:rsidRDefault="00820202">
      <w:pPr>
        <w:pStyle w:val="RKnormal"/>
        <w:tabs>
          <w:tab w:val="clear" w:pos="1843"/>
          <w:tab w:val="left" w:pos="0"/>
        </w:tabs>
        <w:ind w:left="0"/>
      </w:pPr>
    </w:p>
    <w:p w:rsidR="00820202" w:rsidRPr="00F33AB8" w:rsidRDefault="00820202" w:rsidP="00F33AB8">
      <w:r>
        <w:t>Ansvarigt statsråd: Lena Ek</w:t>
      </w:r>
    </w:p>
    <w:p w:rsidR="00820202" w:rsidRDefault="00820202">
      <w:pPr>
        <w:pStyle w:val="RKnormal"/>
        <w:tabs>
          <w:tab w:val="clear" w:pos="1843"/>
          <w:tab w:val="left" w:pos="0"/>
        </w:tabs>
        <w:ind w:left="0"/>
      </w:pPr>
    </w:p>
    <w:p w:rsidR="00820202" w:rsidRPr="00F33AB8" w:rsidRDefault="00820202" w:rsidP="00F33AB8">
      <w:r>
        <w:t>Tidigare behandling vid rådsmöte: Miljörådet</w:t>
      </w:r>
    </w:p>
    <w:p w:rsidR="00820202" w:rsidRDefault="00820202">
      <w:pPr>
        <w:pStyle w:val="RKnormal"/>
        <w:tabs>
          <w:tab w:val="clear" w:pos="1843"/>
          <w:tab w:val="left" w:pos="0"/>
        </w:tabs>
        <w:ind w:left="0"/>
      </w:pPr>
    </w:p>
    <w:p w:rsidR="00820202" w:rsidRPr="00F33AB8" w:rsidRDefault="00820202" w:rsidP="00F33AB8">
      <w:r>
        <w:t>Godkänd av Coreper I den 21 november 2012</w:t>
      </w:r>
    </w:p>
    <w:p w:rsidR="00820202" w:rsidRDefault="00820202">
      <w:pPr>
        <w:pStyle w:val="RKnormal"/>
        <w:tabs>
          <w:tab w:val="clear" w:pos="1843"/>
          <w:tab w:val="left" w:pos="0"/>
        </w:tabs>
        <w:ind w:left="0"/>
      </w:pPr>
    </w:p>
    <w:p w:rsidR="00820202" w:rsidRDefault="00820202" w:rsidP="00F33AB8">
      <w:r>
        <w:t xml:space="preserve">Avsikt med behandlingen i rådet: </w:t>
      </w:r>
    </w:p>
    <w:p w:rsidR="00820202" w:rsidRDefault="00820202" w:rsidP="00F33AB8">
      <w:r>
        <w:t xml:space="preserve">Rådet föreslås inte motsätta sig antagandet. </w:t>
      </w:r>
    </w:p>
    <w:p w:rsidR="00820202" w:rsidRDefault="00820202" w:rsidP="00F33AB8"/>
    <w:p w:rsidR="00820202" w:rsidRDefault="00820202" w:rsidP="00F33AB8">
      <w:r>
        <w:t xml:space="preserve">Hur regeringen ställer sig till den blivande a-punkten: </w:t>
      </w:r>
    </w:p>
    <w:p w:rsidR="00820202" w:rsidRDefault="00820202" w:rsidP="00F33AB8">
      <w:r>
        <w:t>Regeringen avser rösta ja till att rådet antar kommissionens förordning (EU) nr …/… av den XXX om ändring av Europaparlamentets och rådets direktiv 2007/46/EG och kommissionens förordning (EG) nr 692/2008 vad gäller fastställandet av koldioxidutsläpp från fordon som tillhandahållits för etappvis typgodkännande</w:t>
      </w:r>
    </w:p>
    <w:p w:rsidR="00820202" w:rsidRDefault="00820202" w:rsidP="00F33AB8"/>
    <w:p w:rsidR="00820202" w:rsidRDefault="00820202" w:rsidP="00F33AB8">
      <w:r>
        <w:t>Bakgrund:</w:t>
      </w:r>
    </w:p>
    <w:p w:rsidR="00820202" w:rsidRDefault="00820202" w:rsidP="00F33AB8">
      <w:r>
        <w:t xml:space="preserve">Genom förordning (EU) nr 443/2009 (CO2-krav för personbilar) och förordning (EU) nr 510/2011 (CO2-krav för lätta lastbilar) ska biltill-verkarna minska de genomsnittliga utsläppen av koldioxid från personbilar och lätta lastbilar. Utsläppen ska mätas enligt förordning (EU) nr 715/2007 (avgaskraven) och enligt förordning (EG) nr 692/2008 (detaljbestämmelser), s.k. provningsförfarandet. </w:t>
      </w:r>
    </w:p>
    <w:p w:rsidR="00820202" w:rsidRDefault="00820202" w:rsidP="00F33AB8"/>
    <w:p w:rsidR="00820202" w:rsidRDefault="00820202" w:rsidP="00776735">
      <w:r>
        <w:t xml:space="preserve">Kommissionen har genom kommittéförfarande beslutat om ändringar i provningsförfarandet för etappvis färdigbyggda fordon. De föreslagna åtgärderna är förenliga med den berörda kommitténs yttrande. </w:t>
      </w:r>
    </w:p>
    <w:p w:rsidR="00820202" w:rsidRDefault="00820202">
      <w:pPr>
        <w:spacing w:line="240" w:lineRule="auto"/>
        <w:rPr>
          <w:rFonts w:ascii="Arial" w:hAnsi="Arial" w:cs="Arial"/>
          <w:b/>
          <w:i/>
          <w:iCs/>
          <w:kern w:val="28"/>
        </w:rPr>
      </w:pPr>
      <w:bookmarkStart w:id="72" w:name="_Toc341270439"/>
      <w:r>
        <w:br w:type="page"/>
      </w:r>
    </w:p>
    <w:p w:rsidR="00820202" w:rsidRPr="00F33AB8" w:rsidRDefault="00820202" w:rsidP="00F33AB8">
      <w:pPr>
        <w:pStyle w:val="Heading2"/>
      </w:pPr>
      <w:r>
        <w:t>16. Commission Directive ../.../EU of XXX adapting for the second time the Annexes to Directive 2008/68/EC of the European Parliament and of the Council on the inland transport of dangerous goods to scientific and technical progress = Decision not to oppose the adoption</w:t>
      </w:r>
      <w:bookmarkEnd w:id="72"/>
    </w:p>
    <w:p w:rsidR="00820202" w:rsidRPr="00F33AB8" w:rsidRDefault="00820202" w:rsidP="00F33AB8">
      <w:r>
        <w:t>15825/12, 16071/12</w:t>
      </w:r>
    </w:p>
    <w:p w:rsidR="00820202" w:rsidRDefault="00820202">
      <w:pPr>
        <w:pStyle w:val="RKnormal"/>
        <w:tabs>
          <w:tab w:val="clear" w:pos="1843"/>
          <w:tab w:val="left" w:pos="0"/>
        </w:tabs>
        <w:ind w:left="0"/>
      </w:pPr>
    </w:p>
    <w:p w:rsidR="00820202" w:rsidRPr="00F33AB8" w:rsidRDefault="00820202" w:rsidP="00F33AB8">
      <w:r>
        <w:t>Ansvarigt departement: Försvarsdepartementet</w:t>
      </w:r>
    </w:p>
    <w:p w:rsidR="00820202" w:rsidRDefault="00820202">
      <w:pPr>
        <w:pStyle w:val="RKnormal"/>
        <w:tabs>
          <w:tab w:val="clear" w:pos="1843"/>
          <w:tab w:val="left" w:pos="0"/>
        </w:tabs>
        <w:ind w:left="0"/>
      </w:pPr>
    </w:p>
    <w:p w:rsidR="00820202" w:rsidRPr="00F33AB8" w:rsidRDefault="00820202" w:rsidP="00F33AB8">
      <w:r>
        <w:t>Ansvarigt statsråd: Karin Enström</w:t>
      </w:r>
    </w:p>
    <w:p w:rsidR="00820202" w:rsidRDefault="00820202">
      <w:pPr>
        <w:pStyle w:val="RKnormal"/>
        <w:tabs>
          <w:tab w:val="clear" w:pos="1843"/>
          <w:tab w:val="left" w:pos="0"/>
        </w:tabs>
        <w:ind w:left="0"/>
      </w:pPr>
    </w:p>
    <w:p w:rsidR="00820202" w:rsidRPr="00F33AB8" w:rsidRDefault="00820202" w:rsidP="00F33AB8">
      <w:r>
        <w:t>Godkänd av Coreper I den 21 november 2012</w:t>
      </w:r>
    </w:p>
    <w:p w:rsidR="00820202" w:rsidRDefault="00820202">
      <w:pPr>
        <w:pStyle w:val="RKnormal"/>
        <w:tabs>
          <w:tab w:val="clear" w:pos="1843"/>
          <w:tab w:val="left" w:pos="0"/>
        </w:tabs>
        <w:ind w:left="0"/>
      </w:pPr>
    </w:p>
    <w:p w:rsidR="00820202" w:rsidRDefault="00820202" w:rsidP="00F33AB8">
      <w:r>
        <w:t xml:space="preserve">Avsikt med behandlingen i rådet: </w:t>
      </w:r>
    </w:p>
    <w:p w:rsidR="00820202" w:rsidRDefault="00820202" w:rsidP="00F33AB8">
      <w:r>
        <w:t>Rådet föreslås anta direktivet.</w:t>
      </w:r>
    </w:p>
    <w:p w:rsidR="00820202" w:rsidRDefault="00820202" w:rsidP="00F33AB8"/>
    <w:p w:rsidR="00820202" w:rsidRDefault="00820202" w:rsidP="00F33AB8">
      <w:r>
        <w:t xml:space="preserve">Hur regeringen ställer sig till den blivande A-punkten: </w:t>
      </w:r>
    </w:p>
    <w:p w:rsidR="00820202" w:rsidRDefault="00820202" w:rsidP="00F33AB8">
      <w:r>
        <w:t>Regeringen avser rösta ja till kommissionens direktiv ”../.../EU of XXX adapting for the second time the Annexes to Directive 2008/68/EC of the European Parliament and of the Council on the inland transport of dangerous goods to scientific and technical progress.”</w:t>
      </w:r>
    </w:p>
    <w:p w:rsidR="00820202" w:rsidRDefault="00820202" w:rsidP="00F33AB8">
      <w:r>
        <w:t xml:space="preserve"> </w:t>
      </w:r>
    </w:p>
    <w:p w:rsidR="00820202" w:rsidRDefault="00820202" w:rsidP="00F33AB8">
      <w:r>
        <w:t>Förslaget innebär att skrivningar i annexet till direktivet 2008/68/EC om transport av farligt gods ändras från “avtalsparter” till ”medlemsstater” när så anses möjligt.</w:t>
      </w:r>
    </w:p>
    <w:p w:rsidR="00820202" w:rsidRDefault="00820202" w:rsidP="00F33AB8"/>
    <w:p w:rsidR="00820202" w:rsidRDefault="00820202" w:rsidP="00F33AB8">
      <w:r>
        <w:t xml:space="preserve">Bakgrund: </w:t>
      </w:r>
    </w:p>
    <w:p w:rsidR="00820202" w:rsidRDefault="00820202" w:rsidP="00F33AB8">
      <w:r>
        <w:t>De internationella överenskommelserna om internationell transport av farligt gods bygger på FN:s rekommendationer, och följande tre överenskommelser har genomförts inom den europeiska sektorn för transport på väg, järnväg och inre vattenvägar:</w:t>
      </w:r>
    </w:p>
    <w:p w:rsidR="00820202" w:rsidRDefault="00820202" w:rsidP="00F33AB8">
      <w:r>
        <w:t xml:space="preserve"> </w:t>
      </w:r>
    </w:p>
    <w:p w:rsidR="00820202" w:rsidRDefault="00820202" w:rsidP="00F33AB8">
      <w:r>
        <w:t>•Europeiska överenskommelsen om internationell transport av farligt gods på väg (ADR).</w:t>
      </w:r>
    </w:p>
    <w:p w:rsidR="00820202" w:rsidRDefault="00820202" w:rsidP="00F33AB8"/>
    <w:p w:rsidR="00820202" w:rsidRDefault="00820202" w:rsidP="00F33AB8">
      <w:r>
        <w:t xml:space="preserve">•Reglementet för internationell transport av farligt gods på järnväg (RID). </w:t>
      </w:r>
    </w:p>
    <w:p w:rsidR="00820202" w:rsidRDefault="00820202" w:rsidP="00F33AB8"/>
    <w:p w:rsidR="00820202" w:rsidRDefault="00820202" w:rsidP="00F33AB8">
      <w:r>
        <w:t xml:space="preserve">•Europeiska överenskommelsen om internationell transport av farligt gods på inre vattenvägar (ADN). </w:t>
      </w:r>
    </w:p>
    <w:p w:rsidR="00820202" w:rsidRDefault="00820202" w:rsidP="00F33AB8"/>
    <w:p w:rsidR="00820202" w:rsidRDefault="00820202" w:rsidP="00F33AB8">
      <w:r>
        <w:t>Ytterligare information återges i Regeringskansliets</w:t>
      </w:r>
    </w:p>
    <w:p w:rsidR="00820202" w:rsidRDefault="00820202" w:rsidP="00776735">
      <w:r>
        <w:t xml:space="preserve">Faktapromemoria  2006/07:FPM42 </w:t>
      </w:r>
    </w:p>
    <w:p w:rsidR="00820202" w:rsidRPr="00F33AB8" w:rsidRDefault="00820202" w:rsidP="00F33AB8">
      <w:pPr>
        <w:pStyle w:val="Heading2"/>
      </w:pPr>
      <w:bookmarkStart w:id="73" w:name="_Toc341270440"/>
      <w:r>
        <w:t>17. Report from the Commission to the Council Summary European Archives Group - Archives in Europe Facing the challenges of the digital era = 2nd Progress Report to the Council</w:t>
      </w:r>
      <w:bookmarkEnd w:id="73"/>
    </w:p>
    <w:p w:rsidR="00820202" w:rsidRPr="00F33AB8" w:rsidRDefault="00820202" w:rsidP="00F33AB8">
      <w:r>
        <w:t>14974/12, 16289/12</w:t>
      </w:r>
    </w:p>
    <w:p w:rsidR="00820202" w:rsidRDefault="00820202">
      <w:pPr>
        <w:pStyle w:val="RKnormal"/>
        <w:tabs>
          <w:tab w:val="clear" w:pos="1843"/>
          <w:tab w:val="left" w:pos="0"/>
        </w:tabs>
        <w:ind w:left="0"/>
      </w:pPr>
    </w:p>
    <w:p w:rsidR="00820202" w:rsidRPr="00F33AB8" w:rsidRDefault="00820202" w:rsidP="00F33AB8">
      <w:r>
        <w:t>Ansvarigt departement: Kulturdepartementet</w:t>
      </w:r>
    </w:p>
    <w:p w:rsidR="00820202" w:rsidRDefault="00820202">
      <w:pPr>
        <w:pStyle w:val="RKnormal"/>
        <w:tabs>
          <w:tab w:val="clear" w:pos="1843"/>
          <w:tab w:val="left" w:pos="0"/>
        </w:tabs>
        <w:ind w:left="0"/>
      </w:pPr>
    </w:p>
    <w:p w:rsidR="00820202" w:rsidRPr="00F33AB8" w:rsidRDefault="00820202" w:rsidP="00F33AB8">
      <w:r>
        <w:t>Ansvarigt statsråd: Lena Adelsohn Liljeroth</w:t>
      </w:r>
    </w:p>
    <w:p w:rsidR="00820202" w:rsidRDefault="00820202">
      <w:pPr>
        <w:pStyle w:val="RKnormal"/>
        <w:tabs>
          <w:tab w:val="clear" w:pos="1843"/>
          <w:tab w:val="left" w:pos="0"/>
        </w:tabs>
        <w:ind w:left="0"/>
      </w:pPr>
    </w:p>
    <w:p w:rsidR="00820202" w:rsidRPr="00F33AB8" w:rsidRDefault="00820202" w:rsidP="00F33AB8">
      <w:r>
        <w:t>Godkänd av Coreper I den 21 november 2012</w:t>
      </w:r>
    </w:p>
    <w:p w:rsidR="00820202" w:rsidRDefault="00820202">
      <w:pPr>
        <w:pStyle w:val="RKnormal"/>
        <w:tabs>
          <w:tab w:val="clear" w:pos="1843"/>
          <w:tab w:val="left" w:pos="0"/>
        </w:tabs>
        <w:ind w:left="0"/>
      </w:pPr>
    </w:p>
    <w:p w:rsidR="00820202" w:rsidRDefault="00820202" w:rsidP="00F33AB8">
      <w:r>
        <w:t>Avsikt med behandlingen i rådet: Presentation av lägesrapporten</w:t>
      </w:r>
    </w:p>
    <w:p w:rsidR="00820202" w:rsidRDefault="00820202" w:rsidP="00F33AB8"/>
    <w:p w:rsidR="00820202" w:rsidRDefault="00820202" w:rsidP="00F33AB8">
      <w:r>
        <w:t xml:space="preserve">Bakgrund: </w:t>
      </w:r>
    </w:p>
    <w:p w:rsidR="00820202" w:rsidRDefault="00820202" w:rsidP="00F33AB8">
      <w:r>
        <w:t xml:space="preserve">European Archives Group (EAG) etablerades som svar på rådets rekommendation 2005/835/EC rörande prioriteringen att öka samarbetet inom det europeiska arkivområdet. </w:t>
      </w:r>
    </w:p>
    <w:p w:rsidR="00820202" w:rsidRDefault="00820202" w:rsidP="00F33AB8"/>
    <w:p w:rsidR="00820202" w:rsidRDefault="00820202" w:rsidP="00F33AB8">
      <w:r>
        <w:t>I september 2012 antog EAG sin andra lägesrapport som avhandlar utmaningar för arkiven i den digitala eran. Rapporten fokuserar särskilt på arkivens förändrade roll, frågan om tillgång till digitala arkiv via internet eller på plats, relationen mellan arkiven och direktivet om vidareutnyttjande av publik information, digitalisering samt kostnader och finansiering.</w:t>
      </w:r>
    </w:p>
    <w:p w:rsidR="00820202" w:rsidRDefault="00820202" w:rsidP="00F33AB8"/>
    <w:p w:rsidR="00820202" w:rsidRDefault="00820202" w:rsidP="00776735">
      <w:r>
        <w:t xml:space="preserve">Hur regeringen ställer sig till den blivande A-punkten: Regeringen har tagit del av lägesrapporten </w:t>
      </w:r>
    </w:p>
    <w:p w:rsidR="00820202" w:rsidRPr="00F33AB8" w:rsidRDefault="00820202" w:rsidP="00F33AB8">
      <w:pPr>
        <w:pStyle w:val="Heading2"/>
      </w:pPr>
      <w:bookmarkStart w:id="74" w:name="_Toc341270441"/>
      <w:r>
        <w:t>18. Seventh meeting of the EU-Russia Permanent Partnership Council on Energy (Nicosia, 12 December 2012) = Draft annotated agenda</w:t>
      </w:r>
      <w:bookmarkEnd w:id="74"/>
    </w:p>
    <w:p w:rsidR="00820202" w:rsidRPr="00F33AB8" w:rsidRDefault="00820202" w:rsidP="00F33AB8">
      <w:r>
        <w:t>16192/12</w:t>
      </w:r>
    </w:p>
    <w:p w:rsidR="00820202" w:rsidRDefault="00820202">
      <w:pPr>
        <w:pStyle w:val="RKnormal"/>
        <w:tabs>
          <w:tab w:val="clear" w:pos="1843"/>
          <w:tab w:val="left" w:pos="0"/>
        </w:tabs>
        <w:ind w:left="0"/>
      </w:pPr>
    </w:p>
    <w:p w:rsidR="00820202" w:rsidRPr="00F33AB8" w:rsidRDefault="00820202" w:rsidP="00F33AB8">
      <w:r>
        <w:t>Ansvarigt departement: Näringsdepartementet</w:t>
      </w:r>
    </w:p>
    <w:p w:rsidR="00820202" w:rsidRDefault="00820202">
      <w:pPr>
        <w:pStyle w:val="RKnormal"/>
        <w:tabs>
          <w:tab w:val="clear" w:pos="1843"/>
          <w:tab w:val="left" w:pos="0"/>
        </w:tabs>
        <w:ind w:left="0"/>
      </w:pPr>
    </w:p>
    <w:p w:rsidR="00820202" w:rsidRPr="00F33AB8" w:rsidRDefault="00820202" w:rsidP="00F33AB8">
      <w:r>
        <w:t>Ansvarigt statsråd: Anna-Karin Hatt</w:t>
      </w:r>
    </w:p>
    <w:p w:rsidR="00820202" w:rsidRDefault="00820202">
      <w:pPr>
        <w:pStyle w:val="RKnormal"/>
        <w:tabs>
          <w:tab w:val="clear" w:pos="1843"/>
          <w:tab w:val="left" w:pos="0"/>
        </w:tabs>
        <w:ind w:left="0"/>
      </w:pPr>
    </w:p>
    <w:p w:rsidR="00820202" w:rsidRPr="00F33AB8" w:rsidRDefault="00820202" w:rsidP="00F33AB8">
      <w:r>
        <w:t>Förväntas godkännas av Coreper I den 22 november 2012</w:t>
      </w:r>
    </w:p>
    <w:p w:rsidR="00820202" w:rsidRDefault="00820202">
      <w:pPr>
        <w:pStyle w:val="RKnormal"/>
        <w:tabs>
          <w:tab w:val="clear" w:pos="1843"/>
          <w:tab w:val="left" w:pos="0"/>
        </w:tabs>
        <w:ind w:left="0"/>
      </w:pPr>
    </w:p>
    <w:p w:rsidR="00820202" w:rsidRDefault="00820202" w:rsidP="00F33AB8">
      <w:r>
        <w:t xml:space="preserve">Avsikt med behandlingen i rådet: </w:t>
      </w:r>
    </w:p>
    <w:p w:rsidR="00820202" w:rsidRDefault="00820202" w:rsidP="00F33AB8">
      <w:r>
        <w:t>Annoterad dagordning för möte i EU – Ryssland Permanent Partnership Council som kommer att hållas den 12 december.</w:t>
      </w:r>
    </w:p>
    <w:p w:rsidR="00820202" w:rsidRDefault="00820202" w:rsidP="00F33AB8"/>
    <w:p w:rsidR="00820202" w:rsidRDefault="00820202" w:rsidP="00F33AB8">
      <w:r>
        <w:t xml:space="preserve">Hur regeringen ställer sig till den blivande A-punkten: </w:t>
      </w:r>
    </w:p>
    <w:p w:rsidR="00820202" w:rsidRDefault="00820202" w:rsidP="00F33AB8">
      <w:r>
        <w:t>Regeringen kan ställa sig bakom förslaget till annoterad dagordning</w:t>
      </w:r>
    </w:p>
    <w:p w:rsidR="00820202" w:rsidRDefault="00820202" w:rsidP="00F33AB8"/>
    <w:p w:rsidR="00820202" w:rsidRDefault="00820202" w:rsidP="00F33AB8">
      <w:r>
        <w:t xml:space="preserve">Bakgrund: </w:t>
      </w:r>
    </w:p>
    <w:p w:rsidR="00820202" w:rsidRDefault="00820202" w:rsidP="00776735">
      <w:r>
        <w:t xml:space="preserve">En dialog mellan EU, företrätt av KOM, och Ryssland på energiområdet har förts sedan 2000-talets början. Över tiden har frågor om infrastruktur för energi och handel med energiråvaror kompletterats med diskussioner om energieffektivisering, satsningar på energi från förnybara energikällor och de energirelaterade klimatfrågorna. Inom ramen för det s.k. Permanent Partnership Council, PPC, företräds EU av KOM samt ordförandetrojkan (sittande EU ORDF, föregående EU ORDF och närmast kommande EU ORDF). Förslaget till annoterad dagordning för möte i PPC den 12 december innehåller följande ämnesområden: inledande budskap från EU och Ryssland; nyckelfrågor i energirelationen mellan EU och Ryssland d.v.s. energitillförsel inklusive transitfrågor, infrastruktur för el, olja och gas och marknadsaspekter, kärnkraftsfrågor inklusive kärnsäkerhet; en roadmap för energi i EU och Ryssland till 2050; rättslig grund för energisamarbetet mellan EU och Ryssland samt organisatoriska frågor för och arbetsplan för dialogen under 2013. Dagordningen har behandlats på rådsarbetsgruppsnivå i gruppen för energi och i COEST. Sverige har inga invändningar mot de punkter som finns i den annoterade dagordningen utan anser att den är väl balanserad. </w:t>
      </w:r>
    </w:p>
    <w:p w:rsidR="00820202" w:rsidRPr="00F33AB8" w:rsidRDefault="00820202" w:rsidP="00F33AB8">
      <w:pPr>
        <w:pStyle w:val="Heading2"/>
      </w:pPr>
      <w:bookmarkStart w:id="75" w:name="_Toc341270442"/>
      <w:r>
        <w:t>19. European Economic Area = Establishment of the European Union's common position for the 38th meeting of the EEA Council</w:t>
      </w:r>
      <w:bookmarkEnd w:id="75"/>
    </w:p>
    <w:p w:rsidR="00820202" w:rsidRPr="00F33AB8" w:rsidRDefault="00820202" w:rsidP="00F33AB8">
      <w:r>
        <w:t>15900/12</w:t>
      </w:r>
    </w:p>
    <w:p w:rsidR="00820202" w:rsidRDefault="00820202">
      <w:pPr>
        <w:pStyle w:val="RKnormal"/>
        <w:tabs>
          <w:tab w:val="clear" w:pos="1843"/>
          <w:tab w:val="left" w:pos="0"/>
        </w:tabs>
        <w:ind w:left="0"/>
      </w:pPr>
    </w:p>
    <w:p w:rsidR="00820202" w:rsidRPr="00F33AB8" w:rsidRDefault="00820202" w:rsidP="00F33AB8">
      <w:r>
        <w:t>Ansvarigt departement: Utrikesdepartementet</w:t>
      </w:r>
    </w:p>
    <w:p w:rsidR="00820202" w:rsidRDefault="00820202">
      <w:pPr>
        <w:pStyle w:val="RKnormal"/>
        <w:tabs>
          <w:tab w:val="clear" w:pos="1843"/>
          <w:tab w:val="left" w:pos="0"/>
        </w:tabs>
        <w:ind w:left="0"/>
      </w:pPr>
    </w:p>
    <w:p w:rsidR="00820202" w:rsidRPr="00F33AB8" w:rsidRDefault="00820202" w:rsidP="00F33AB8">
      <w:r>
        <w:t>Ansvarigt statsråd: Carl Bildt</w:t>
      </w:r>
    </w:p>
    <w:p w:rsidR="00820202" w:rsidRDefault="00820202">
      <w:pPr>
        <w:pStyle w:val="RKnormal"/>
        <w:tabs>
          <w:tab w:val="clear" w:pos="1843"/>
          <w:tab w:val="left" w:pos="0"/>
        </w:tabs>
        <w:ind w:left="0"/>
      </w:pPr>
    </w:p>
    <w:p w:rsidR="00820202" w:rsidRPr="00F33AB8" w:rsidRDefault="00820202" w:rsidP="00F33AB8">
      <w:r>
        <w:t>Tidigare behandling vid rådsmöte: Allmänna frågor och yttre förbindelser</w:t>
      </w:r>
    </w:p>
    <w:p w:rsidR="00820202" w:rsidRDefault="00820202">
      <w:pPr>
        <w:pStyle w:val="RKnormal"/>
        <w:tabs>
          <w:tab w:val="clear" w:pos="1843"/>
          <w:tab w:val="left" w:pos="0"/>
        </w:tabs>
        <w:ind w:left="0"/>
      </w:pPr>
    </w:p>
    <w:p w:rsidR="00820202" w:rsidRPr="00F33AB8" w:rsidRDefault="00820202" w:rsidP="00F33AB8">
      <w:r>
        <w:t>Godkänd av Coreper I den 21 november 2012</w:t>
      </w:r>
    </w:p>
    <w:p w:rsidR="00820202" w:rsidRDefault="00820202">
      <w:pPr>
        <w:pStyle w:val="RKnormal"/>
        <w:tabs>
          <w:tab w:val="clear" w:pos="1843"/>
          <w:tab w:val="left" w:pos="0"/>
        </w:tabs>
        <w:ind w:left="0"/>
      </w:pPr>
    </w:p>
    <w:p w:rsidR="00820202" w:rsidRDefault="00820202" w:rsidP="00F33AB8">
      <w:r>
        <w:t xml:space="preserve">Avsikt med behandlingen i rådet: Förslag till beslut om gemensam ståndpunkt om slutsatser vid möte med EES-rådet 26 november. </w:t>
      </w:r>
    </w:p>
    <w:p w:rsidR="00820202" w:rsidRDefault="00820202" w:rsidP="00F33AB8"/>
    <w:p w:rsidR="00820202" w:rsidRDefault="00820202" w:rsidP="00F33AB8">
      <w:r>
        <w:t xml:space="preserve">Hur regeringen ställer sig till den blivande A-punkten: </w:t>
      </w:r>
    </w:p>
    <w:p w:rsidR="00820202" w:rsidRDefault="00820202" w:rsidP="00F33AB8">
      <w:r>
        <w:t>Sverige stödjer förslaget</w:t>
      </w:r>
    </w:p>
    <w:p w:rsidR="00820202" w:rsidRDefault="00820202" w:rsidP="00F33AB8"/>
    <w:p w:rsidR="00820202" w:rsidRDefault="00820202" w:rsidP="00F33AB8">
      <w:r>
        <w:t xml:space="preserve">Bakgrund: </w:t>
      </w:r>
    </w:p>
    <w:p w:rsidR="00820202" w:rsidRDefault="00820202" w:rsidP="00F33AB8">
      <w:r>
        <w:t xml:space="preserve">EES-rådet (Europeiska Ekonomiska Samarbetsområdet) omfattar EU och de tre EFTA-staterna NO, ISL och LI. Huvudpunkten i dagordningen vid mötet den 26 november är en bedömning av arbetet i EES. Vid mötet kommer även slutsatser att antas i konsensus om arbetet i EES och samarbetet mellan EU och de tre EFTA-länderna. Slutsatserna ger en bred beskrivning över samarbetet i EES och av svenskt intresse är förhållandevis långtgående skrivningar till EU:s förmån om de norska livsmedelstullarna. Preliminär överenskommelse har nåtts mellan EEAS/EU och de tre EFTA-staterna om texten i slutsatserna. Ett undantag är dock ett avsnitt om makrillfiske, där EES-rådet föreslås uppmana till en snabb lösning på dispyten om rättigheter att fiska makrill i Nordatlanten. Inom EFTA råder skilda meningar i denna fråga mellan ISl och NO, varför EFTA -sidan inte förväntas kunna acceptera en text om denna sak. EFTA-gruppen har föreslagit att ordföranden på EU-sidan ska ha möjlighet att släppa kravet på text om makrillfisket senast kort innan mötet med EES-rådet. Så har proceduren varit i denna fråga vid de senaste mötena med EES-rådet. </w:t>
      </w:r>
    </w:p>
    <w:p w:rsidR="00820202" w:rsidRDefault="00820202" w:rsidP="00F33AB8"/>
    <w:p w:rsidR="00820202" w:rsidRPr="00F33AB8" w:rsidRDefault="00820202" w:rsidP="00F33AB8"/>
    <w:p w:rsidR="00820202" w:rsidRPr="007B61B6" w:rsidRDefault="00820202" w:rsidP="00776735">
      <w:pPr>
        <w:pStyle w:val="Heading1"/>
      </w:pPr>
      <w:bookmarkStart w:id="76" w:name="_Toc341270443"/>
      <w:r w:rsidRPr="00B1559C">
        <w:t xml:space="preserve">Troliga A-punkter inför kommande rådsmöten som godkändes vid </w:t>
      </w:r>
      <w:r>
        <w:t>SJK</w:t>
      </w:r>
      <w:r w:rsidRPr="00B1559C">
        <w:t xml:space="preserve"> </w:t>
      </w:r>
      <w:r>
        <w:t>2012-11-19.</w:t>
      </w:r>
      <w:bookmarkEnd w:id="76"/>
    </w:p>
    <w:p w:rsidR="00820202" w:rsidRDefault="00820202" w:rsidP="00776735">
      <w:pPr>
        <w:pStyle w:val="Heading2"/>
      </w:pPr>
      <w:bookmarkStart w:id="77" w:name="_Toc341270444"/>
      <w:r>
        <w:t>20. Förslag till europaparlamentets och rådets förordning (EU) nr / om särskilda åtgärder inom jordbruket till förmån för unionens yttre randområden.</w:t>
      </w:r>
      <w:bookmarkEnd w:id="77"/>
    </w:p>
    <w:p w:rsidR="00820202" w:rsidRDefault="00820202" w:rsidP="00776735">
      <w:pPr>
        <w:pStyle w:val="RKnormal"/>
        <w:ind w:left="0"/>
        <w:rPr>
          <w:bCs/>
          <w:lang w:val="de-DE"/>
        </w:rPr>
      </w:pPr>
      <w:r>
        <w:rPr>
          <w:lang w:val="de-DE"/>
        </w:rPr>
        <w:t>16287/12</w:t>
      </w:r>
    </w:p>
    <w:p w:rsidR="00820202" w:rsidRDefault="00820202" w:rsidP="00776735">
      <w:pPr>
        <w:pStyle w:val="RKnormal"/>
        <w:ind w:left="0"/>
        <w:rPr>
          <w:lang w:val="de-DE"/>
        </w:rPr>
      </w:pPr>
    </w:p>
    <w:p w:rsidR="00820202" w:rsidRPr="00826021" w:rsidRDefault="00820202" w:rsidP="007F6D16">
      <w:r w:rsidRPr="00826021">
        <w:t>Ansvarigt statsråd: Eskil Erlandsson</w:t>
      </w:r>
    </w:p>
    <w:p w:rsidR="00820202" w:rsidRPr="00826021" w:rsidRDefault="00820202" w:rsidP="00776735">
      <w:pPr>
        <w:pStyle w:val="RKnormal"/>
        <w:ind w:left="0"/>
      </w:pPr>
    </w:p>
    <w:p w:rsidR="00820202" w:rsidRDefault="00820202" w:rsidP="00776735">
      <w:pPr>
        <w:pStyle w:val="RKnormal"/>
        <w:ind w:left="0"/>
      </w:pPr>
      <w:r w:rsidRPr="00826021">
        <w:t xml:space="preserve">Avsikt med behandlingen i rådet: </w:t>
      </w:r>
    </w:p>
    <w:p w:rsidR="00820202" w:rsidRDefault="00820202" w:rsidP="00776735">
      <w:pPr>
        <w:pStyle w:val="RKnormal"/>
        <w:ind w:left="0"/>
      </w:pPr>
      <w:r w:rsidRPr="00826021">
        <w:t>Rådet föreslås anta förordningen om</w:t>
      </w:r>
      <w:r>
        <w:t xml:space="preserve"> särskilda åtgärder inom jordbruket till förmån för unionens yttre randområden i enlighet med Artikel 294(4) i fördraget om Europeiska unionens funktionssätt, efter språkgranskning av rådets och Europaparlamentets jurist-lingvister.</w:t>
      </w:r>
    </w:p>
    <w:p w:rsidR="00820202" w:rsidRDefault="00820202" w:rsidP="00776735">
      <w:pPr>
        <w:pStyle w:val="RKnormal"/>
        <w:ind w:left="0"/>
      </w:pPr>
    </w:p>
    <w:p w:rsidR="00820202" w:rsidRDefault="00820202" w:rsidP="00776735">
      <w:pPr>
        <w:pStyle w:val="RKnormal"/>
        <w:ind w:left="0"/>
      </w:pPr>
      <w:r w:rsidRPr="00826021">
        <w:t xml:space="preserve">Hur regeringen ställer sig till den blivande A-punkten: </w:t>
      </w:r>
    </w:p>
    <w:p w:rsidR="00820202" w:rsidRPr="00826021" w:rsidRDefault="00820202" w:rsidP="00776735">
      <w:pPr>
        <w:pStyle w:val="RKnormal"/>
        <w:ind w:left="0"/>
      </w:pPr>
      <w:r w:rsidRPr="00826021">
        <w:t>Regeringen avser att rösta nej till att</w:t>
      </w:r>
      <w:r>
        <w:t xml:space="preserve"> rådet antar förordningen om </w:t>
      </w:r>
      <w:r w:rsidRPr="00826021">
        <w:t>särskilda åtgärder inom jordbruket till förmån för unionens yttre randområden.</w:t>
      </w:r>
    </w:p>
    <w:p w:rsidR="00820202" w:rsidRPr="00826021" w:rsidRDefault="00820202" w:rsidP="00776735">
      <w:pPr>
        <w:pStyle w:val="RKnormal"/>
        <w:ind w:left="0"/>
      </w:pPr>
    </w:p>
    <w:p w:rsidR="00820202" w:rsidRDefault="00820202" w:rsidP="00776735">
      <w:pPr>
        <w:pStyle w:val="RKnormal"/>
        <w:ind w:left="0"/>
      </w:pPr>
      <w:r w:rsidRPr="00826021">
        <w:t xml:space="preserve">Bakgrund: </w:t>
      </w:r>
    </w:p>
    <w:p w:rsidR="00820202" w:rsidRDefault="00820202" w:rsidP="00776735">
      <w:pPr>
        <w:pStyle w:val="RKnormal"/>
        <w:ind w:left="0"/>
      </w:pPr>
      <w:r w:rsidRPr="00826021">
        <w:t>Förslaget innebär anpassning av Europaparlamentets och rådets förordning (EU) nr 247/2006 av den 30 januari 2006 om särskilda åtgärder</w:t>
      </w:r>
      <w:r>
        <w:t xml:space="preserve"> inom jordbruket till förmån för unionens yttre randområden, till artiklarna 290 och 291 i fördraget om Europeiska unionens funktionssätt. Dessutom innebär förslaget en icke oväsentlig ökning av utgifterna för stödordningen. Förslaget har behandlats av Europaparlamentet 4 oktober 2011. Trepartsförhandlingar har hållits 22 mars 2012, 16 oktober 2012 och 14 november 2012. </w:t>
      </w:r>
    </w:p>
    <w:p w:rsidR="00820202" w:rsidRDefault="00820202" w:rsidP="00776735">
      <w:pPr>
        <w:pStyle w:val="RKnormal"/>
        <w:ind w:left="0"/>
      </w:pPr>
    </w:p>
    <w:p w:rsidR="00820202" w:rsidRDefault="00820202" w:rsidP="00776735">
      <w:pPr>
        <w:pStyle w:val="RKnormal"/>
        <w:ind w:left="0"/>
      </w:pPr>
      <w:r>
        <w:t xml:space="preserve">Sverige har inte fått gehör för sin restriktiva hållning avseende ökade utgifter och inte heller fått svar på hur utgiftsutökningen ska finansieras. </w:t>
      </w:r>
    </w:p>
    <w:p w:rsidR="00820202" w:rsidRDefault="00820202" w:rsidP="00776735">
      <w:pPr>
        <w:pStyle w:val="Heading2"/>
      </w:pPr>
      <w:bookmarkStart w:id="78" w:name="_Toc341270445"/>
      <w:r>
        <w:t>21. Förslag till europaparlamentets och rådets förordning (EU) nr / om särskilda åtgärder inom jordbruket till förmån för de mindre Egeiska öarna.</w:t>
      </w:r>
      <w:bookmarkEnd w:id="78"/>
    </w:p>
    <w:p w:rsidR="00820202" w:rsidRDefault="00820202" w:rsidP="00776735">
      <w:pPr>
        <w:pStyle w:val="RKnormal"/>
        <w:ind w:left="0"/>
        <w:rPr>
          <w:bCs/>
          <w:lang w:val="de-DE"/>
        </w:rPr>
      </w:pPr>
      <w:r>
        <w:rPr>
          <w:lang w:val="de-DE"/>
        </w:rPr>
        <w:t>16285/12</w:t>
      </w:r>
    </w:p>
    <w:p w:rsidR="00820202" w:rsidRDefault="00820202" w:rsidP="00776735">
      <w:pPr>
        <w:pStyle w:val="RKnormal"/>
        <w:ind w:left="0"/>
        <w:rPr>
          <w:lang w:val="de-DE"/>
        </w:rPr>
      </w:pPr>
    </w:p>
    <w:p w:rsidR="00820202" w:rsidRPr="00826021" w:rsidRDefault="00820202" w:rsidP="007F6D16">
      <w:r w:rsidRPr="00826021">
        <w:t>Ansvarigt statsråd: Eskil Erlandsson</w:t>
      </w:r>
    </w:p>
    <w:p w:rsidR="00820202" w:rsidRPr="00826021" w:rsidRDefault="00820202" w:rsidP="00776735">
      <w:pPr>
        <w:pStyle w:val="RKnormal"/>
        <w:ind w:left="0"/>
      </w:pPr>
    </w:p>
    <w:p w:rsidR="00820202" w:rsidRDefault="00820202" w:rsidP="00776735">
      <w:pPr>
        <w:pStyle w:val="RKnormal"/>
        <w:ind w:left="0"/>
      </w:pPr>
      <w:r w:rsidRPr="00826021">
        <w:t xml:space="preserve">Avsikt med behandlingen i rådet: </w:t>
      </w:r>
    </w:p>
    <w:p w:rsidR="00820202" w:rsidRPr="00826021" w:rsidRDefault="00820202" w:rsidP="00776735">
      <w:pPr>
        <w:pStyle w:val="RKnormal"/>
        <w:ind w:left="0"/>
      </w:pPr>
      <w:r w:rsidRPr="00826021">
        <w:t>Rådet föreslås anta förordningen om särskilda åtgärder inom jordbruket till förmån för de mindre Egeiska öarna i enlighet med Artikel 294(4) i fördraget om Europeiska unionens funktionssätt, efter språkgranskning av rådets och Europaparlamentets jurist-lingvister.</w:t>
      </w:r>
    </w:p>
    <w:p w:rsidR="00820202" w:rsidRPr="00826021" w:rsidRDefault="00820202" w:rsidP="00776735">
      <w:pPr>
        <w:pStyle w:val="RKnormal"/>
        <w:ind w:left="0"/>
      </w:pPr>
    </w:p>
    <w:p w:rsidR="00820202" w:rsidRDefault="00820202" w:rsidP="00776735">
      <w:pPr>
        <w:pStyle w:val="RKnormal"/>
        <w:ind w:left="0"/>
      </w:pPr>
      <w:r w:rsidRPr="00826021">
        <w:t xml:space="preserve">Hur regeringen ställer sig till den blivande A-punkten: </w:t>
      </w:r>
    </w:p>
    <w:p w:rsidR="00820202" w:rsidRPr="00826021" w:rsidRDefault="00820202" w:rsidP="00776735">
      <w:pPr>
        <w:pStyle w:val="RKnormal"/>
        <w:ind w:left="0"/>
      </w:pPr>
      <w:r w:rsidRPr="00826021">
        <w:t xml:space="preserve">Regeringen avser att lägga ner sin röst om andra länder lägger ner sin röst av samma skäl som SE till att rådet antar förordningen om särskilda åtgärder inom jordbruket till förmån för de mindre Egeiska öarna. Annars avser regeringen att rösta ja till förordningen. </w:t>
      </w:r>
    </w:p>
    <w:p w:rsidR="00820202" w:rsidRPr="00826021" w:rsidRDefault="00820202" w:rsidP="00776735">
      <w:pPr>
        <w:pStyle w:val="RKnormal"/>
        <w:ind w:left="0"/>
      </w:pPr>
    </w:p>
    <w:p w:rsidR="00820202" w:rsidRDefault="00820202" w:rsidP="00776735">
      <w:pPr>
        <w:pStyle w:val="RKnormal"/>
        <w:ind w:left="0"/>
      </w:pPr>
      <w:r w:rsidRPr="00826021">
        <w:t xml:space="preserve">Bakgrund: </w:t>
      </w:r>
    </w:p>
    <w:p w:rsidR="00820202" w:rsidRPr="00826021" w:rsidRDefault="00820202" w:rsidP="00776735">
      <w:pPr>
        <w:pStyle w:val="RKnormal"/>
        <w:ind w:left="0"/>
      </w:pPr>
      <w:r w:rsidRPr="00826021">
        <w:t xml:space="preserve">Förslaget innebär anpassning av Europaparlamentets och rådets förordning (EU) nr 1405/2006 av den 18 september 2006 om särskilda åtgärder inom jordbruket till förmån för de mindre Egeiska öarna till artiklarna 290 och 291 i fördraget om Europeiska unionens funktionssätt. Dessutom innebär förslaget en liten utökning av utgifterna för stödordningen. Förslaget har behandlats av Europaparlamentet 3 oktober 2011. Trepartsförhandlingar har hållits 22 mars 2012, 16 oktober 2012 och 14 november 2012. </w:t>
      </w:r>
    </w:p>
    <w:p w:rsidR="00820202" w:rsidRPr="00826021" w:rsidRDefault="00820202" w:rsidP="00776735">
      <w:pPr>
        <w:pStyle w:val="RKnormal"/>
        <w:ind w:left="0"/>
      </w:pPr>
    </w:p>
    <w:p w:rsidR="00820202" w:rsidRDefault="00820202" w:rsidP="00776735">
      <w:pPr>
        <w:pStyle w:val="RKnormal"/>
        <w:ind w:left="0"/>
      </w:pPr>
      <w:r w:rsidRPr="00826021">
        <w:t>Sverige har inte fått gehör för sin restriktiva hållning avseende ökade</w:t>
      </w:r>
      <w:r>
        <w:t xml:space="preserve"> utgifter. </w:t>
      </w:r>
    </w:p>
    <w:p w:rsidR="00820202" w:rsidRDefault="00820202">
      <w:pPr>
        <w:pStyle w:val="RKnormal"/>
        <w:tabs>
          <w:tab w:val="clear" w:pos="1843"/>
          <w:tab w:val="left" w:pos="0"/>
        </w:tabs>
        <w:ind w:left="0"/>
      </w:pPr>
    </w:p>
    <w:sectPr w:rsidR="00820202" w:rsidSect="003B2377">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202" w:rsidRDefault="00820202">
      <w:r>
        <w:separator/>
      </w:r>
    </w:p>
  </w:endnote>
  <w:endnote w:type="continuationSeparator" w:id="0">
    <w:p w:rsidR="00820202" w:rsidRDefault="008202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202" w:rsidRDefault="00820202">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28</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26</w:t>
    </w:r>
    <w:r>
      <w:rPr>
        <w:rStyle w:val="PageNumber"/>
        <w:sz w:val="16"/>
      </w:rPr>
      <w:fldChar w:fldCharType="end"/>
    </w:r>
    <w:r>
      <w:rPr>
        <w:rStyle w:val="PageNumber"/>
        <w:sz w:val="16"/>
      </w:rPr>
      <w:t>)</w:t>
    </w:r>
  </w:p>
  <w:p w:rsidR="00820202" w:rsidRDefault="0082020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202" w:rsidRDefault="00820202">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28</w:t>
    </w:r>
    <w:r>
      <w:rPr>
        <w:rStyle w:val="PageNumber"/>
        <w:sz w:val="16"/>
      </w:rPr>
      <w:fldChar w:fldCharType="end"/>
    </w:r>
    <w:r>
      <w:rPr>
        <w:rStyle w:val="PageNumber"/>
        <w:sz w:val="16"/>
      </w:rPr>
      <w:t>)</w:t>
    </w:r>
  </w:p>
  <w:p w:rsidR="00820202" w:rsidRDefault="00820202">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202" w:rsidRDefault="008202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202" w:rsidRDefault="00820202">
      <w:r>
        <w:separator/>
      </w:r>
    </w:p>
  </w:footnote>
  <w:footnote w:type="continuationSeparator" w:id="0">
    <w:p w:rsidR="00820202" w:rsidRDefault="008202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202" w:rsidRDefault="00820202">
    <w:pPr>
      <w:pStyle w:val="Header"/>
      <w:framePr w:wrap="around" w:vAnchor="text" w:hAnchor="margin" w:xAlign="right" w:y="1"/>
      <w:rPr>
        <w:rStyle w:val="PageNumber"/>
      </w:rPr>
    </w:pPr>
  </w:p>
  <w:p w:rsidR="00820202" w:rsidRDefault="00820202">
    <w:pPr>
      <w:pStyle w:val="Header"/>
      <w:ind w:right="360"/>
    </w:pPr>
  </w:p>
  <w:p w:rsidR="00820202" w:rsidRDefault="00820202">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202" w:rsidRDefault="00820202">
    <w:pPr>
      <w:framePr w:w="2948" w:h="1321" w:hRule="exact" w:wrap="notBeside" w:vAnchor="page" w:hAnchor="page" w:x="1362" w:y="653"/>
    </w:pPr>
    <w:r w:rsidRPr="00831CFC">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6pt;visibility:visible">
          <v:imagedata r:id="rId1" o:title=""/>
        </v:shape>
      </w:pict>
    </w:r>
  </w:p>
  <w:p w:rsidR="00820202" w:rsidRDefault="00820202">
    <w:pPr>
      <w:pStyle w:val="Header"/>
    </w:pPr>
  </w:p>
  <w:p w:rsidR="00820202" w:rsidRDefault="00820202">
    <w:pPr>
      <w:pStyle w:val="Header"/>
      <w:ind w:right="360"/>
    </w:pPr>
  </w:p>
  <w:p w:rsidR="00820202" w:rsidRDefault="00820202">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202" w:rsidRDefault="00820202">
    <w:pPr>
      <w:framePr w:w="2948" w:h="1321" w:hRule="exact" w:wrap="notBeside" w:vAnchor="page" w:hAnchor="page" w:x="1362" w:y="653"/>
    </w:pPr>
    <w:r w:rsidRPr="00831CFC">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820202" w:rsidRDefault="008202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13269E8"/>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F33AB8"/>
    <w:rsid w:val="001B3B1E"/>
    <w:rsid w:val="002035CD"/>
    <w:rsid w:val="003717B2"/>
    <w:rsid w:val="003869E0"/>
    <w:rsid w:val="00396688"/>
    <w:rsid w:val="003B2377"/>
    <w:rsid w:val="004E5B16"/>
    <w:rsid w:val="005A23F9"/>
    <w:rsid w:val="005C212F"/>
    <w:rsid w:val="005F1820"/>
    <w:rsid w:val="00697CC7"/>
    <w:rsid w:val="00776735"/>
    <w:rsid w:val="007B61B6"/>
    <w:rsid w:val="007F6D16"/>
    <w:rsid w:val="00820202"/>
    <w:rsid w:val="00826021"/>
    <w:rsid w:val="00831CFC"/>
    <w:rsid w:val="00847B54"/>
    <w:rsid w:val="00936272"/>
    <w:rsid w:val="00A72123"/>
    <w:rsid w:val="00AF0928"/>
    <w:rsid w:val="00B1559C"/>
    <w:rsid w:val="00B163A4"/>
    <w:rsid w:val="00B57AB7"/>
    <w:rsid w:val="00BA6B91"/>
    <w:rsid w:val="00BC26FD"/>
    <w:rsid w:val="00BC728D"/>
    <w:rsid w:val="00C45D32"/>
    <w:rsid w:val="00D8439B"/>
    <w:rsid w:val="00DB30C8"/>
    <w:rsid w:val="00E16FC7"/>
    <w:rsid w:val="00EC3C7C"/>
    <w:rsid w:val="00ED5DCC"/>
    <w:rsid w:val="00F056A7"/>
    <w:rsid w:val="00F33AB8"/>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377"/>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3B2377"/>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3B2377"/>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3B2377"/>
    <w:pPr>
      <w:spacing w:after="120" w:line="240" w:lineRule="atLeast"/>
      <w:outlineLvl w:val="2"/>
    </w:pPr>
    <w:rPr>
      <w:b w:val="0"/>
    </w:rPr>
  </w:style>
  <w:style w:type="paragraph" w:styleId="Heading4">
    <w:name w:val="heading 4"/>
    <w:basedOn w:val="Heading3"/>
    <w:next w:val="RKnormal"/>
    <w:link w:val="Heading4Char"/>
    <w:uiPriority w:val="99"/>
    <w:qFormat/>
    <w:rsid w:val="003B2377"/>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3B2377"/>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9C4"/>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D609C4"/>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D609C4"/>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D609C4"/>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D609C4"/>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3B2377"/>
    <w:pPr>
      <w:tabs>
        <w:tab w:val="left" w:pos="1843"/>
        <w:tab w:val="left" w:pos="2835"/>
      </w:tabs>
      <w:spacing w:line="240" w:lineRule="atLeast"/>
      <w:ind w:left="1843"/>
    </w:pPr>
  </w:style>
  <w:style w:type="paragraph" w:customStyle="1" w:styleId="Avsndare">
    <w:name w:val="Avsändare"/>
    <w:basedOn w:val="Normal"/>
    <w:uiPriority w:val="99"/>
    <w:rsid w:val="003B2377"/>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3B2377"/>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D609C4"/>
    <w:rPr>
      <w:rFonts w:ascii="OrigGarmnd BT" w:hAnsi="OrigGarmnd BT"/>
      <w:sz w:val="24"/>
      <w:szCs w:val="20"/>
      <w:lang w:eastAsia="en-US"/>
    </w:rPr>
  </w:style>
  <w:style w:type="paragraph" w:styleId="Header">
    <w:name w:val="header"/>
    <w:basedOn w:val="Normal"/>
    <w:link w:val="HeaderChar"/>
    <w:uiPriority w:val="99"/>
    <w:rsid w:val="003B2377"/>
    <w:pPr>
      <w:tabs>
        <w:tab w:val="center" w:pos="4153"/>
        <w:tab w:val="right" w:pos="8306"/>
      </w:tabs>
    </w:pPr>
  </w:style>
  <w:style w:type="character" w:customStyle="1" w:styleId="HeaderChar">
    <w:name w:val="Header Char"/>
    <w:basedOn w:val="DefaultParagraphFont"/>
    <w:link w:val="Header"/>
    <w:uiPriority w:val="99"/>
    <w:semiHidden/>
    <w:rsid w:val="00D609C4"/>
    <w:rPr>
      <w:rFonts w:ascii="OrigGarmnd BT" w:hAnsi="OrigGarmnd BT"/>
      <w:sz w:val="24"/>
      <w:szCs w:val="20"/>
      <w:lang w:eastAsia="en-US"/>
    </w:rPr>
  </w:style>
  <w:style w:type="paragraph" w:customStyle="1" w:styleId="RKrubrik">
    <w:name w:val="RKrubrik"/>
    <w:basedOn w:val="RKnormal"/>
    <w:next w:val="RKnormal"/>
    <w:uiPriority w:val="99"/>
    <w:rsid w:val="003B2377"/>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3B2377"/>
    <w:rPr>
      <w:rFonts w:cs="Times New Roman"/>
    </w:rPr>
  </w:style>
  <w:style w:type="paragraph" w:styleId="BodyText">
    <w:name w:val="Body Text"/>
    <w:basedOn w:val="Normal"/>
    <w:link w:val="BodyTextChar"/>
    <w:uiPriority w:val="99"/>
    <w:rsid w:val="003B2377"/>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D609C4"/>
    <w:rPr>
      <w:rFonts w:ascii="OrigGarmnd BT" w:hAnsi="OrigGarmnd BT"/>
      <w:sz w:val="24"/>
      <w:szCs w:val="20"/>
      <w:lang w:eastAsia="en-US"/>
    </w:rPr>
  </w:style>
  <w:style w:type="paragraph" w:styleId="FootnoteText">
    <w:name w:val="footnote text"/>
    <w:basedOn w:val="Normal"/>
    <w:link w:val="FootnoteTextChar"/>
    <w:uiPriority w:val="99"/>
    <w:semiHidden/>
    <w:rsid w:val="003B2377"/>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D609C4"/>
    <w:rPr>
      <w:rFonts w:ascii="OrigGarmnd BT" w:hAnsi="OrigGarmnd BT"/>
      <w:sz w:val="20"/>
      <w:szCs w:val="20"/>
      <w:lang w:eastAsia="en-US"/>
    </w:rPr>
  </w:style>
  <w:style w:type="paragraph" w:customStyle="1" w:styleId="UDrubrik">
    <w:name w:val="UDrubrik"/>
    <w:basedOn w:val="Normal"/>
    <w:next w:val="BodyText"/>
    <w:uiPriority w:val="99"/>
    <w:rsid w:val="003B2377"/>
    <w:pPr>
      <w:spacing w:line="320" w:lineRule="exact"/>
    </w:pPr>
    <w:rPr>
      <w:rFonts w:ascii="Arial" w:hAnsi="Arial"/>
      <w:b/>
      <w:sz w:val="22"/>
    </w:rPr>
  </w:style>
  <w:style w:type="paragraph" w:styleId="TOC1">
    <w:name w:val="toc 1"/>
    <w:basedOn w:val="Normal"/>
    <w:next w:val="Normal"/>
    <w:autoRedefine/>
    <w:uiPriority w:val="99"/>
    <w:rsid w:val="003B2377"/>
    <w:pPr>
      <w:spacing w:before="360"/>
    </w:pPr>
    <w:rPr>
      <w:rFonts w:ascii="Arial" w:hAnsi="Arial"/>
      <w:b/>
      <w:bCs/>
      <w:caps/>
      <w:szCs w:val="28"/>
    </w:rPr>
  </w:style>
  <w:style w:type="paragraph" w:styleId="TOC2">
    <w:name w:val="toc 2"/>
    <w:basedOn w:val="Normal"/>
    <w:next w:val="Normal"/>
    <w:autoRedefine/>
    <w:uiPriority w:val="99"/>
    <w:rsid w:val="003B2377"/>
    <w:pPr>
      <w:spacing w:before="240"/>
    </w:pPr>
    <w:rPr>
      <w:rFonts w:ascii="Times New Roman" w:hAnsi="Times New Roman"/>
      <w:b/>
      <w:bCs/>
      <w:szCs w:val="24"/>
    </w:rPr>
  </w:style>
  <w:style w:type="paragraph" w:styleId="TOC3">
    <w:name w:val="toc 3"/>
    <w:basedOn w:val="Normal"/>
    <w:next w:val="Normal"/>
    <w:autoRedefine/>
    <w:uiPriority w:val="99"/>
    <w:semiHidden/>
    <w:rsid w:val="003B2377"/>
    <w:pPr>
      <w:ind w:left="240"/>
    </w:pPr>
    <w:rPr>
      <w:rFonts w:ascii="Times New Roman" w:hAnsi="Times New Roman"/>
      <w:szCs w:val="24"/>
    </w:rPr>
  </w:style>
  <w:style w:type="paragraph" w:styleId="TOC4">
    <w:name w:val="toc 4"/>
    <w:basedOn w:val="Normal"/>
    <w:next w:val="Normal"/>
    <w:autoRedefine/>
    <w:uiPriority w:val="99"/>
    <w:semiHidden/>
    <w:rsid w:val="003B2377"/>
    <w:pPr>
      <w:ind w:left="480"/>
    </w:pPr>
    <w:rPr>
      <w:rFonts w:ascii="Times New Roman" w:hAnsi="Times New Roman"/>
      <w:szCs w:val="24"/>
    </w:rPr>
  </w:style>
  <w:style w:type="paragraph" w:styleId="TOC5">
    <w:name w:val="toc 5"/>
    <w:basedOn w:val="Normal"/>
    <w:next w:val="Normal"/>
    <w:autoRedefine/>
    <w:uiPriority w:val="99"/>
    <w:semiHidden/>
    <w:rsid w:val="003B2377"/>
    <w:pPr>
      <w:ind w:left="720"/>
    </w:pPr>
    <w:rPr>
      <w:rFonts w:ascii="Times New Roman" w:hAnsi="Times New Roman"/>
      <w:szCs w:val="24"/>
    </w:rPr>
  </w:style>
  <w:style w:type="paragraph" w:styleId="TOC6">
    <w:name w:val="toc 6"/>
    <w:basedOn w:val="Normal"/>
    <w:next w:val="Normal"/>
    <w:autoRedefine/>
    <w:uiPriority w:val="99"/>
    <w:semiHidden/>
    <w:rsid w:val="003B2377"/>
    <w:pPr>
      <w:ind w:left="960"/>
    </w:pPr>
    <w:rPr>
      <w:rFonts w:ascii="Times New Roman" w:hAnsi="Times New Roman"/>
      <w:szCs w:val="24"/>
    </w:rPr>
  </w:style>
  <w:style w:type="paragraph" w:styleId="TOC7">
    <w:name w:val="toc 7"/>
    <w:basedOn w:val="Normal"/>
    <w:next w:val="Normal"/>
    <w:autoRedefine/>
    <w:uiPriority w:val="99"/>
    <w:semiHidden/>
    <w:rsid w:val="003B2377"/>
    <w:pPr>
      <w:ind w:left="1200"/>
    </w:pPr>
    <w:rPr>
      <w:rFonts w:ascii="Times New Roman" w:hAnsi="Times New Roman"/>
      <w:szCs w:val="24"/>
    </w:rPr>
  </w:style>
  <w:style w:type="paragraph" w:styleId="TOC8">
    <w:name w:val="toc 8"/>
    <w:basedOn w:val="Normal"/>
    <w:next w:val="Normal"/>
    <w:autoRedefine/>
    <w:uiPriority w:val="99"/>
    <w:semiHidden/>
    <w:rsid w:val="003B2377"/>
    <w:pPr>
      <w:ind w:left="1440"/>
    </w:pPr>
    <w:rPr>
      <w:rFonts w:ascii="Times New Roman" w:hAnsi="Times New Roman"/>
      <w:szCs w:val="24"/>
    </w:rPr>
  </w:style>
  <w:style w:type="paragraph" w:styleId="TOC9">
    <w:name w:val="toc 9"/>
    <w:basedOn w:val="Normal"/>
    <w:next w:val="Normal"/>
    <w:autoRedefine/>
    <w:uiPriority w:val="99"/>
    <w:semiHidden/>
    <w:rsid w:val="003B2377"/>
    <w:pPr>
      <w:ind w:left="1680"/>
    </w:pPr>
    <w:rPr>
      <w:rFonts w:ascii="Times New Roman" w:hAnsi="Times New Roman"/>
      <w:szCs w:val="24"/>
    </w:rPr>
  </w:style>
  <w:style w:type="paragraph" w:customStyle="1" w:styleId="Text1">
    <w:name w:val="Text 1"/>
    <w:basedOn w:val="Normal"/>
    <w:uiPriority w:val="99"/>
    <w:rsid w:val="003B2377"/>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3B2377"/>
    <w:rPr>
      <w:rFonts w:cs="Times New Roman"/>
      <w:vertAlign w:val="superscript"/>
    </w:rPr>
  </w:style>
  <w:style w:type="paragraph" w:styleId="Index1">
    <w:name w:val="index 1"/>
    <w:basedOn w:val="Normal"/>
    <w:next w:val="Normal"/>
    <w:autoRedefine/>
    <w:uiPriority w:val="99"/>
    <w:semiHidden/>
    <w:rsid w:val="003B2377"/>
    <w:pPr>
      <w:ind w:left="240" w:hanging="240"/>
    </w:pPr>
    <w:rPr>
      <w:rFonts w:ascii="Times New Roman" w:hAnsi="Times New Roman"/>
      <w:szCs w:val="24"/>
    </w:rPr>
  </w:style>
  <w:style w:type="paragraph" w:styleId="Index2">
    <w:name w:val="index 2"/>
    <w:basedOn w:val="Normal"/>
    <w:next w:val="Normal"/>
    <w:autoRedefine/>
    <w:uiPriority w:val="99"/>
    <w:semiHidden/>
    <w:rsid w:val="003B2377"/>
    <w:pPr>
      <w:ind w:left="480" w:hanging="240"/>
    </w:pPr>
    <w:rPr>
      <w:rFonts w:ascii="Times New Roman" w:hAnsi="Times New Roman"/>
      <w:szCs w:val="24"/>
    </w:rPr>
  </w:style>
  <w:style w:type="paragraph" w:styleId="Index3">
    <w:name w:val="index 3"/>
    <w:basedOn w:val="Normal"/>
    <w:next w:val="Normal"/>
    <w:autoRedefine/>
    <w:uiPriority w:val="99"/>
    <w:semiHidden/>
    <w:rsid w:val="003B2377"/>
    <w:pPr>
      <w:ind w:left="720" w:hanging="240"/>
    </w:pPr>
    <w:rPr>
      <w:rFonts w:ascii="Times New Roman" w:hAnsi="Times New Roman"/>
      <w:szCs w:val="24"/>
    </w:rPr>
  </w:style>
  <w:style w:type="paragraph" w:styleId="Index4">
    <w:name w:val="index 4"/>
    <w:basedOn w:val="Normal"/>
    <w:next w:val="Normal"/>
    <w:autoRedefine/>
    <w:uiPriority w:val="99"/>
    <w:semiHidden/>
    <w:rsid w:val="003B2377"/>
    <w:pPr>
      <w:ind w:left="960" w:hanging="240"/>
    </w:pPr>
    <w:rPr>
      <w:rFonts w:ascii="Times New Roman" w:hAnsi="Times New Roman"/>
      <w:szCs w:val="24"/>
    </w:rPr>
  </w:style>
  <w:style w:type="paragraph" w:styleId="Index5">
    <w:name w:val="index 5"/>
    <w:basedOn w:val="Normal"/>
    <w:next w:val="Normal"/>
    <w:autoRedefine/>
    <w:uiPriority w:val="99"/>
    <w:semiHidden/>
    <w:rsid w:val="003B2377"/>
    <w:pPr>
      <w:ind w:left="1200" w:hanging="240"/>
    </w:pPr>
    <w:rPr>
      <w:rFonts w:ascii="Times New Roman" w:hAnsi="Times New Roman"/>
      <w:szCs w:val="24"/>
    </w:rPr>
  </w:style>
  <w:style w:type="paragraph" w:styleId="Index6">
    <w:name w:val="index 6"/>
    <w:basedOn w:val="Normal"/>
    <w:next w:val="Normal"/>
    <w:autoRedefine/>
    <w:uiPriority w:val="99"/>
    <w:semiHidden/>
    <w:rsid w:val="003B2377"/>
    <w:pPr>
      <w:ind w:left="1440" w:hanging="240"/>
    </w:pPr>
    <w:rPr>
      <w:rFonts w:ascii="Times New Roman" w:hAnsi="Times New Roman"/>
      <w:szCs w:val="24"/>
    </w:rPr>
  </w:style>
  <w:style w:type="paragraph" w:styleId="Index7">
    <w:name w:val="index 7"/>
    <w:basedOn w:val="Normal"/>
    <w:next w:val="Normal"/>
    <w:autoRedefine/>
    <w:uiPriority w:val="99"/>
    <w:semiHidden/>
    <w:rsid w:val="003B2377"/>
    <w:pPr>
      <w:ind w:left="1680" w:hanging="240"/>
    </w:pPr>
    <w:rPr>
      <w:rFonts w:ascii="Times New Roman" w:hAnsi="Times New Roman"/>
      <w:szCs w:val="24"/>
    </w:rPr>
  </w:style>
  <w:style w:type="paragraph" w:styleId="Index8">
    <w:name w:val="index 8"/>
    <w:basedOn w:val="Normal"/>
    <w:next w:val="Normal"/>
    <w:autoRedefine/>
    <w:uiPriority w:val="99"/>
    <w:semiHidden/>
    <w:rsid w:val="003B2377"/>
    <w:pPr>
      <w:ind w:left="1920" w:hanging="240"/>
    </w:pPr>
    <w:rPr>
      <w:rFonts w:ascii="Times New Roman" w:hAnsi="Times New Roman"/>
      <w:szCs w:val="24"/>
    </w:rPr>
  </w:style>
  <w:style w:type="paragraph" w:styleId="Index9">
    <w:name w:val="index 9"/>
    <w:basedOn w:val="Normal"/>
    <w:next w:val="Normal"/>
    <w:autoRedefine/>
    <w:uiPriority w:val="99"/>
    <w:semiHidden/>
    <w:rsid w:val="003B2377"/>
    <w:pPr>
      <w:ind w:left="2160" w:hanging="240"/>
    </w:pPr>
    <w:rPr>
      <w:rFonts w:ascii="Times New Roman" w:hAnsi="Times New Roman"/>
      <w:szCs w:val="24"/>
    </w:rPr>
  </w:style>
  <w:style w:type="paragraph" w:styleId="IndexHeading">
    <w:name w:val="index heading"/>
    <w:basedOn w:val="Normal"/>
    <w:next w:val="Index1"/>
    <w:uiPriority w:val="99"/>
    <w:semiHidden/>
    <w:rsid w:val="003B2377"/>
    <w:pPr>
      <w:spacing w:before="120" w:after="120"/>
    </w:pPr>
    <w:rPr>
      <w:rFonts w:ascii="Times New Roman" w:hAnsi="Times New Roman"/>
      <w:b/>
      <w:bCs/>
      <w:i/>
      <w:iCs/>
      <w:szCs w:val="24"/>
    </w:rPr>
  </w:style>
  <w:style w:type="paragraph" w:customStyle="1" w:styleId="EntEmet">
    <w:name w:val="EntEmet"/>
    <w:basedOn w:val="Normal"/>
    <w:uiPriority w:val="99"/>
    <w:rsid w:val="003B2377"/>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3B2377"/>
    <w:pPr>
      <w:spacing w:line="240" w:lineRule="auto"/>
    </w:pPr>
    <w:rPr>
      <w:rFonts w:ascii="Arial" w:hAnsi="Arial"/>
      <w:lang w:val="en-GB"/>
    </w:rPr>
  </w:style>
  <w:style w:type="paragraph" w:customStyle="1" w:styleId="Avsndare0">
    <w:name w:val="Avsndare"/>
    <w:basedOn w:val="Normal"/>
    <w:next w:val="Normal"/>
    <w:uiPriority w:val="99"/>
    <w:rsid w:val="003B2377"/>
    <w:pPr>
      <w:spacing w:line="240" w:lineRule="auto"/>
    </w:pPr>
    <w:rPr>
      <w:rFonts w:ascii="Arial" w:hAnsi="Arial"/>
      <w:i/>
      <w:lang w:val="en-GB"/>
    </w:rPr>
  </w:style>
  <w:style w:type="character" w:styleId="Hyperlink">
    <w:name w:val="Hyperlink"/>
    <w:basedOn w:val="DefaultParagraphFont"/>
    <w:uiPriority w:val="99"/>
    <w:rsid w:val="003B2377"/>
    <w:rPr>
      <w:rFonts w:cs="Times New Roman"/>
      <w:color w:val="0000FF"/>
      <w:u w:val="single"/>
    </w:rPr>
  </w:style>
  <w:style w:type="paragraph" w:styleId="DocumentMap">
    <w:name w:val="Document Map"/>
    <w:basedOn w:val="Normal"/>
    <w:link w:val="DocumentMapChar"/>
    <w:uiPriority w:val="99"/>
    <w:semiHidden/>
    <w:rsid w:val="003B2377"/>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D609C4"/>
    <w:rPr>
      <w:sz w:val="0"/>
      <w:szCs w:val="0"/>
      <w:lang w:eastAsia="en-US"/>
    </w:rPr>
  </w:style>
  <w:style w:type="character" w:styleId="FollowedHyperlink">
    <w:name w:val="FollowedHyperlink"/>
    <w:basedOn w:val="DefaultParagraphFont"/>
    <w:uiPriority w:val="99"/>
    <w:rsid w:val="003B2377"/>
    <w:rPr>
      <w:rFonts w:cs="Times New Roman"/>
      <w:color w:val="800080"/>
      <w:u w:val="single"/>
    </w:rPr>
  </w:style>
  <w:style w:type="paragraph" w:customStyle="1" w:styleId="Par-number10">
    <w:name w:val="Par-number 1)"/>
    <w:basedOn w:val="Normal"/>
    <w:next w:val="Normal"/>
    <w:uiPriority w:val="99"/>
    <w:rsid w:val="003B2377"/>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3B2377"/>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3B2377"/>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3B2377"/>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3B2377"/>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3B2377"/>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3B2377"/>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3B2377"/>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3B2377"/>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3B2377"/>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3B2377"/>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3B2377"/>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D609C4"/>
    <w:rPr>
      <w:rFonts w:ascii="OrigGarmnd BT" w:hAnsi="OrigGarmnd BT"/>
      <w:sz w:val="20"/>
      <w:szCs w:val="20"/>
      <w:lang w:eastAsia="en-US"/>
    </w:rPr>
  </w:style>
  <w:style w:type="paragraph" w:customStyle="1" w:styleId="EntRefer">
    <w:name w:val="EntRefer"/>
    <w:basedOn w:val="Normal"/>
    <w:uiPriority w:val="99"/>
    <w:rsid w:val="003B2377"/>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3B2377"/>
    <w:pPr>
      <w:spacing w:line="240" w:lineRule="auto"/>
    </w:pPr>
    <w:rPr>
      <w:rFonts w:ascii="Times New Roman" w:hAnsi="Times New Roman"/>
      <w:lang w:val="en-GB" w:eastAsia="fr-BE"/>
    </w:rPr>
  </w:style>
  <w:style w:type="paragraph" w:customStyle="1" w:styleId="Tiret1">
    <w:name w:val="Tiret 1"/>
    <w:basedOn w:val="Normal"/>
    <w:uiPriority w:val="99"/>
    <w:rsid w:val="003B2377"/>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3B2377"/>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3B2377"/>
    <w:pPr>
      <w:overflowPunct w:val="0"/>
      <w:autoSpaceDE w:val="0"/>
      <w:autoSpaceDN w:val="0"/>
      <w:adjustRightInd w:val="0"/>
      <w:ind w:left="1843"/>
      <w:textAlignment w:val="baseline"/>
    </w:pPr>
  </w:style>
  <w:style w:type="paragraph" w:customStyle="1" w:styleId="Brdtext0">
    <w:name w:val="Brˆdtext"/>
    <w:basedOn w:val="Normal"/>
    <w:uiPriority w:val="99"/>
    <w:rsid w:val="003B2377"/>
    <w:pPr>
      <w:spacing w:line="320" w:lineRule="exact"/>
    </w:pPr>
    <w:rPr>
      <w:rFonts w:ascii="Times New Roman" w:hAnsi="Times New Roman"/>
    </w:rPr>
  </w:style>
  <w:style w:type="character" w:customStyle="1" w:styleId="term">
    <w:name w:val="term"/>
    <w:basedOn w:val="DefaultParagraphFont"/>
    <w:uiPriority w:val="99"/>
    <w:rsid w:val="003B2377"/>
    <w:rPr>
      <w:rFonts w:cs="Times New Roman"/>
    </w:rPr>
  </w:style>
  <w:style w:type="paragraph" w:customStyle="1" w:styleId="Brdtexthuvud">
    <w:name w:val="Brödtext huvud"/>
    <w:basedOn w:val="Normal"/>
    <w:uiPriority w:val="99"/>
    <w:rsid w:val="003B2377"/>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F33A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F33AB8"/>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28</Pages>
  <Words>7282</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ha0808ab</cp:lastModifiedBy>
  <cp:revision>2</cp:revision>
  <cp:lastPrinted>2006-02-01T09:16:00Z</cp:lastPrinted>
  <dcterms:created xsi:type="dcterms:W3CDTF">2012-11-22T13:27:00Z</dcterms:created>
  <dcterms:modified xsi:type="dcterms:W3CDTF">2012-11-22T13:27:00Z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57d0b301-8236-45c8-88a6-c7c4db866f83</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JE6N4JFJXNNF-9-52257</vt:lpwstr>
  </property>
  <property fmtid="{D5CDD505-2E9C-101B-9397-08002B2CF9AE}" pid="18" name="_dlc_DocIdUrl">
    <vt:lpwstr>http://rkdhs-sb/enhet/EUKansli/_layouts/DocIdRedir.aspx?ID=JE6N4JFJXNNF-9-52257, JE6N4JFJXNNF-9-52257</vt:lpwstr>
  </property>
</Properties>
</file>