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B26" w:rsidRPr="00A04B0D" w:rsidRDefault="00833B26">
      <w:pPr>
        <w:pStyle w:val="Frslagsrubrik"/>
      </w:pPr>
      <w:r w:rsidRPr="00A04B0D">
        <w:t>Förslag till riksdagsbeslut</w:t>
      </w:r>
    </w:p>
    <w:p w:rsidR="00833B26" w:rsidRPr="00A04B0D" w:rsidRDefault="00833B26">
      <w:pPr>
        <w:pStyle w:val="Hemstlatt"/>
        <w:numPr>
          <w:ilvl w:val="0"/>
          <w:numId w:val="1"/>
        </w:numPr>
      </w:pPr>
      <w:r w:rsidRPr="00A04B0D">
        <w:t>Riksdagen tillkännager för regeringen som sin mening vad som anförs i motionen om att pröva om screening av c</w:t>
      </w:r>
      <w:r w:rsidRPr="00A04B0D">
        <w:t>e</w:t>
      </w:r>
      <w:r w:rsidRPr="00A04B0D">
        <w:t>liaki ska införas.</w:t>
      </w:r>
    </w:p>
    <w:p w:rsidR="00833B26" w:rsidRPr="00A04B0D" w:rsidRDefault="00833B26">
      <w:pPr>
        <w:pStyle w:val="Hemstlatt"/>
        <w:numPr>
          <w:ilvl w:val="0"/>
          <w:numId w:val="1"/>
        </w:numPr>
      </w:pPr>
      <w:r w:rsidRPr="00A04B0D">
        <w:t>Riksdagen tillkännager för regeringen som sin mening vad som anförs i motionen om att utforma en nationell merkostnadse</w:t>
      </w:r>
      <w:r w:rsidRPr="00A04B0D">
        <w:t>r</w:t>
      </w:r>
      <w:r w:rsidRPr="00A04B0D">
        <w:t>sättning för glutenintoleranta.</w:t>
      </w:r>
    </w:p>
    <w:p w:rsidR="00833B26" w:rsidRPr="00A04B0D" w:rsidRDefault="00833B26">
      <w:pPr>
        <w:pStyle w:val="Rubrik1"/>
      </w:pPr>
      <w:r w:rsidRPr="00A04B0D">
        <w:t>Motivering</w:t>
      </w:r>
    </w:p>
    <w:p w:rsidR="00833B26" w:rsidRPr="00A04B0D" w:rsidRDefault="00833B26">
      <w:r w:rsidRPr="00A04B0D">
        <w:t>Celiaki är inte längre en ovanlig sjukdom utan den drabbar 2 till 3 procent av befol</w:t>
      </w:r>
      <w:r w:rsidRPr="00A04B0D">
        <w:t>k</w:t>
      </w:r>
      <w:r w:rsidRPr="00A04B0D">
        <w:t>ningen och kan uppstå när som helst i livet. Den betraktades länge som en ovanlig barnsjukdom men den drabbar alla åldrar. Det är vanl</w:t>
      </w:r>
      <w:r w:rsidRPr="00A04B0D">
        <w:t>i</w:t>
      </w:r>
      <w:r w:rsidRPr="00A04B0D">
        <w:t>gare bland kvinnor, ungefär dubbelt så vanligt som hos män. Varför vet man inte. Men att det är arv och gluten i kosten som krävs för att u</w:t>
      </w:r>
      <w:r w:rsidRPr="00A04B0D">
        <w:t>t</w:t>
      </w:r>
      <w:r w:rsidRPr="00A04B0D">
        <w:t>veckla celiaki vet man. Vi äter kost idag som innehåller mer mjöl nu än för några årtionden sedan. Det bidrar troligtvis till den ökning av celiaki som vi nu ser.</w:t>
      </w:r>
    </w:p>
    <w:p w:rsidR="00833B26" w:rsidRPr="00A04B0D" w:rsidRDefault="00833B26">
      <w:pPr>
        <w:pStyle w:val="Normaltindrag"/>
      </w:pPr>
      <w:r w:rsidRPr="00A04B0D">
        <w:t>Sverige har högst förekomst av celiaki i västvärlden. En dramatisk ökning</w:t>
      </w:r>
      <w:r w:rsidRPr="00A04B0D">
        <w:t xml:space="preserve"> skedde 1984 hos de allra minsta barnen, för att sjunka igen 1995 och framåt. Ökningen berodde framför allt på ökad förekomst, inte så mycket på ökad uppmärksa</w:t>
      </w:r>
      <w:r w:rsidRPr="00A04B0D">
        <w:t>m</w:t>
      </w:r>
      <w:r w:rsidRPr="00A04B0D">
        <w:t>het eller förbättrad diagnostik. En starkt bidragande orsak var de kostråd som gavs till spädbarnsföräldrar före 1995. Nu vet vi att spädbarn bör introduceras försiktigt till mjölprodukter och helst under pågående amning, vilket stämmer med dagens r</w:t>
      </w:r>
      <w:r w:rsidRPr="00A04B0D">
        <w:t>e</w:t>
      </w:r>
      <w:r w:rsidRPr="00A04B0D">
        <w:t>kommendationer.</w:t>
      </w:r>
    </w:p>
    <w:p w:rsidR="00833B26" w:rsidRPr="00A04B0D" w:rsidRDefault="00833B26">
      <w:pPr>
        <w:pStyle w:val="Normaltindrag"/>
      </w:pPr>
      <w:r w:rsidRPr="00A04B0D">
        <w:t>Eftersom kunskapen om sjukdomen har förändrats är det många som får vänta länge på rät</w:t>
      </w:r>
      <w:r w:rsidRPr="00A04B0D">
        <w:t>t diagnos. Det finns berä</w:t>
      </w:r>
      <w:r w:rsidRPr="00A04B0D">
        <w:t>k</w:t>
      </w:r>
      <w:r w:rsidRPr="00A04B0D">
        <w:t>ningar på att två tredjedelar av dem som har glutenint</w:t>
      </w:r>
      <w:r w:rsidRPr="00A04B0D">
        <w:t>o</w:t>
      </w:r>
      <w:r w:rsidRPr="00A04B0D">
        <w:t>lerans inte har fått diagnos. Enligt nya undersökningar får man vä</w:t>
      </w:r>
      <w:r w:rsidRPr="00A04B0D">
        <w:t>n</w:t>
      </w:r>
      <w:r w:rsidRPr="00A04B0D">
        <w:t>ta i genomsnitt tio år på diagnos från första symptomen. Det blodprov som används som första steg i undersöknin</w:t>
      </w:r>
      <w:r w:rsidRPr="00A04B0D">
        <w:t>g</w:t>
      </w:r>
      <w:r w:rsidRPr="00A04B0D">
        <w:t xml:space="preserve">en är inte kostsamt och </w:t>
      </w:r>
      <w:r w:rsidRPr="00A04B0D">
        <w:lastRenderedPageBreak/>
        <w:t>det höjs röster för att screening vore ett sätt att tidigt finna de som idag går länge utan diagnos och dä</w:t>
      </w:r>
      <w:r w:rsidRPr="00A04B0D">
        <w:t>r</w:t>
      </w:r>
      <w:r w:rsidRPr="00A04B0D">
        <w:t>med rätt kost.</w:t>
      </w:r>
    </w:p>
    <w:p w:rsidR="00833B26" w:rsidRPr="00A04B0D" w:rsidRDefault="00833B26">
      <w:pPr>
        <w:pStyle w:val="Normaltindrag"/>
      </w:pPr>
      <w:r w:rsidRPr="00A04B0D">
        <w:t>Det är viktigt att primärvården hittar så många som möjligt av de gluteni</w:t>
      </w:r>
      <w:r w:rsidRPr="00A04B0D">
        <w:t>n</w:t>
      </w:r>
      <w:r w:rsidRPr="00A04B0D">
        <w:t>toleranta, för att undvika mycket onödigt lida</w:t>
      </w:r>
      <w:r w:rsidRPr="00A04B0D">
        <w:t>n</w:t>
      </w:r>
      <w:r w:rsidRPr="00A04B0D">
        <w:t>de och sjukvårdskonsumtion. Nya rön visar dessutom att en obehandlad celiaki ökar även risken för sju</w:t>
      </w:r>
      <w:r w:rsidRPr="00A04B0D">
        <w:t>k</w:t>
      </w:r>
      <w:r w:rsidRPr="00A04B0D">
        <w:t>domar som anemi, benskörhet, depression, cancer, hjärt-kärlsjukdomar, di</w:t>
      </w:r>
      <w:r w:rsidRPr="00A04B0D">
        <w:t>a</w:t>
      </w:r>
      <w:r w:rsidRPr="00A04B0D">
        <w:t>betes, sköldkörtelsjukdomar etc. Det finns även en studie som visar på fö</w:t>
      </w:r>
      <w:r w:rsidRPr="00A04B0D">
        <w:t>r</w:t>
      </w:r>
      <w:r w:rsidRPr="00A04B0D">
        <w:t>höjd dödlighet för patienter med celiaki. Eftersom det är med rätt kost som sjukdomen hålls i schack och ersät</w:t>
      </w:r>
      <w:r w:rsidRPr="00A04B0D">
        <w:t>t</w:t>
      </w:r>
      <w:r w:rsidRPr="00A04B0D">
        <w:t>ningskosten är dyrare än annan mat är en merkostnadsersät</w:t>
      </w:r>
      <w:r w:rsidRPr="00A04B0D">
        <w:t>t</w:t>
      </w:r>
      <w:r w:rsidRPr="00A04B0D">
        <w:t>ning viktig att få på plats.</w:t>
      </w:r>
    </w:p>
    <w:p w:rsidR="00833B26" w:rsidRPr="00A04B0D" w:rsidRDefault="00833B26">
      <w:pPr>
        <w:pStyle w:val="Normaltindrag"/>
      </w:pPr>
      <w:r w:rsidRPr="00A04B0D">
        <w:t>Det nuvarande sys</w:t>
      </w:r>
      <w:r w:rsidRPr="00A04B0D">
        <w:t>temet är otidsenligt och inte kvar alls i många landsting. Den hämmade både individens valmöjligh</w:t>
      </w:r>
      <w:r w:rsidRPr="00A04B0D">
        <w:t>e</w:t>
      </w:r>
      <w:r w:rsidRPr="00A04B0D">
        <w:t>ter och effektiv priskonkurrens och produktutveckling. Läkare, dietister och apotek tvingas till onödig hante</w:t>
      </w:r>
      <w:r w:rsidRPr="00A04B0D">
        <w:t>r</w:t>
      </w:r>
      <w:r w:rsidRPr="00A04B0D">
        <w:t>ing, och transporter och resor blir många och långa. Men med ett förmånss</w:t>
      </w:r>
      <w:r w:rsidRPr="00A04B0D">
        <w:t>y</w:t>
      </w:r>
      <w:r w:rsidRPr="00A04B0D">
        <w:t>stem som Grönwall föreslår i sin utredning – Speciallivsm</w:t>
      </w:r>
      <w:r w:rsidRPr="00A04B0D">
        <w:t>e</w:t>
      </w:r>
      <w:r w:rsidRPr="00A04B0D">
        <w:t>del till barn och vuxna – blir det mer rättvist, enkelt och ty</w:t>
      </w:r>
      <w:r w:rsidRPr="00A04B0D">
        <w:t>d</w:t>
      </w:r>
      <w:r w:rsidRPr="00A04B0D">
        <w:t>ligt. Om det förslaget genomförs kommer bostadsort och ålder inte längre att spela n</w:t>
      </w:r>
      <w:r w:rsidRPr="00A04B0D">
        <w:t>å</w:t>
      </w:r>
      <w:r w:rsidRPr="00A04B0D">
        <w:t xml:space="preserve">gon roll för om man ska </w:t>
      </w:r>
      <w:r w:rsidRPr="00A04B0D">
        <w:t>få ekonomiskt stöd eller inte. Patienten föreslås få kontantb</w:t>
      </w:r>
      <w:r w:rsidRPr="00A04B0D">
        <w:t>i</w:t>
      </w:r>
      <w:r w:rsidRPr="00A04B0D">
        <w:t>drag till inköp av speciallivsmedel istället för att tillhandahålla glutenfria ersättningsprodukter till ett reducerat pris. Likna</w:t>
      </w:r>
      <w:r w:rsidRPr="00A04B0D">
        <w:t>n</w:t>
      </w:r>
      <w:r w:rsidRPr="00A04B0D">
        <w:t>de gäller redan i både Finland och Norge.</w:t>
      </w:r>
    </w:p>
    <w:p w:rsidR="00833B26" w:rsidRPr="00A04B0D" w:rsidRDefault="00833B26">
      <w:pPr>
        <w:pStyle w:val="Normaltindrag"/>
      </w:pPr>
      <w:r w:rsidRPr="00A04B0D">
        <w:t>Det är inte bara privatekonomiskt viktigt att diagnoser ställs och att glute</w:t>
      </w:r>
      <w:r w:rsidRPr="00A04B0D">
        <w:t>n</w:t>
      </w:r>
      <w:r w:rsidRPr="00A04B0D">
        <w:t>fria alternativ köps, tillagas och äts av personer med glutenintolerans utan det är även av samhällsekon</w:t>
      </w:r>
      <w:r w:rsidRPr="00A04B0D">
        <w:t>o</w:t>
      </w:r>
      <w:r w:rsidRPr="00A04B0D">
        <w:t>misk nytta för att minska vårdmöten i sökandet av diagnos och minska följdsju</w:t>
      </w:r>
      <w:r w:rsidRPr="00A04B0D">
        <w:t>k</w:t>
      </w:r>
      <w:r w:rsidRPr="00A04B0D">
        <w:t>domar av obehandlad celiaki.</w:t>
      </w:r>
    </w:p>
    <w:p w:rsidR="00833B26" w:rsidRPr="00A04B0D" w:rsidRDefault="00833B26">
      <w:pPr>
        <w:pStyle w:val="Normaltindrag"/>
      </w:pPr>
      <w:r w:rsidRPr="00A04B0D">
        <w:t>Regeringen bör därför pröva om screening av celiaki ska införas och utan dröjsmål utfo</w:t>
      </w:r>
      <w:r w:rsidRPr="00A04B0D">
        <w:t>r</w:t>
      </w:r>
      <w:r w:rsidRPr="00A04B0D">
        <w:t>ma en nationell merkostnadsersättning som ska ta kraft i och dra nytta av de marknadsek</w:t>
      </w:r>
      <w:r w:rsidRPr="00A04B0D">
        <w:t>o</w:t>
      </w:r>
      <w:r w:rsidRPr="00A04B0D">
        <w:t>nomiska krafterna. Rätt utformat stöd kommer att gynna framväxten av fler produkter, pri</w:t>
      </w:r>
      <w:r w:rsidRPr="00A04B0D">
        <w:t>s</w:t>
      </w:r>
      <w:r w:rsidRPr="00A04B0D">
        <w:t>utvecklingen av dessa varor och att produkterna finns tillgängliga i många fler butiker. Det kommer att gynna alla glutenintoleranta, deras familjer och deras anhöriga. Detta ges rege</w:t>
      </w:r>
      <w:r w:rsidRPr="00A04B0D">
        <w:t>r</w:t>
      </w:r>
      <w:r w:rsidRPr="00A04B0D">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B0D">
        <w:trPr>
          <w:cantSplit/>
        </w:trPr>
        <w:tc>
          <w:tcPr>
            <w:tcW w:w="3046" w:type="dxa"/>
          </w:tcPr>
          <w:p w:rsidR="00833B26" w:rsidRPr="00A04B0D" w:rsidRDefault="00833B26">
            <w:pPr>
              <w:pStyle w:val="UnderskriftDatum"/>
              <w:spacing w:before="240"/>
            </w:pPr>
            <w:r w:rsidRPr="00A04B0D">
              <w:t>Stockholm den 3 oktober 2011</w:t>
            </w:r>
          </w:p>
        </w:tc>
        <w:tc>
          <w:tcPr>
            <w:tcW w:w="3047" w:type="dxa"/>
          </w:tcPr>
          <w:p w:rsidR="00833B26" w:rsidRPr="00A04B0D" w:rsidRDefault="00833B26">
            <w:pPr>
              <w:pStyle w:val="Underskrifter"/>
              <w:spacing w:before="240"/>
            </w:pPr>
          </w:p>
        </w:tc>
      </w:tr>
      <w:tr w:rsidR="00000000" w:rsidRPr="00A04B0D">
        <w:trPr>
          <w:cantSplit/>
        </w:trPr>
        <w:tc>
          <w:tcPr>
            <w:tcW w:w="3046" w:type="dxa"/>
          </w:tcPr>
          <w:p w:rsidR="00833B26" w:rsidRPr="00A04B0D" w:rsidRDefault="00833B26">
            <w:pPr>
              <w:pStyle w:val="Underskrifter"/>
            </w:pPr>
            <w:r w:rsidRPr="00A04B0D">
              <w:t>Annika Qarlsson (C)</w:t>
            </w:r>
          </w:p>
        </w:tc>
        <w:tc>
          <w:tcPr>
            <w:tcW w:w="3046" w:type="dxa"/>
          </w:tcPr>
          <w:p w:rsidR="00833B26" w:rsidRPr="00A04B0D" w:rsidRDefault="00833B26">
            <w:pPr>
              <w:pStyle w:val="Underskrifter"/>
            </w:pPr>
            <w:r w:rsidRPr="00A04B0D">
              <w:t>Karin Nilsson (C)</w:t>
            </w:r>
          </w:p>
        </w:tc>
      </w:tr>
    </w:tbl>
    <w:p w:rsidR="00833B26" w:rsidRPr="00A04B0D" w:rsidRDefault="00833B26">
      <w:pPr>
        <w:pStyle w:val="Normaltindrag"/>
      </w:pPr>
    </w:p>
    <w:sectPr w:rsidR="00833B26" w:rsidRPr="00A04B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B26" w:rsidRPr="00A04B0D" w:rsidRDefault="00833B26">
      <w:r w:rsidRPr="00A04B0D">
        <w:separator/>
      </w:r>
    </w:p>
  </w:endnote>
  <w:endnote w:type="continuationSeparator" w:id="0">
    <w:p w:rsidR="00833B26" w:rsidRPr="00A04B0D" w:rsidRDefault="00833B26">
      <w:r w:rsidRPr="00A04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26" w:rsidRPr="00A04B0D" w:rsidRDefault="00A04B0D">
    <w:pPr>
      <w:pStyle w:val="Sidfot"/>
    </w:pPr>
    <w:r w:rsidRPr="00A04B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4706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26" w:rsidRDefault="00833B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B26" w:rsidRDefault="00833B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26" w:rsidRPr="00A04B0D" w:rsidRDefault="00A04B0D">
    <w:pPr>
      <w:pStyle w:val="Sidfot"/>
    </w:pPr>
    <w:r w:rsidRPr="00A04B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21118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26" w:rsidRDefault="00833B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B26" w:rsidRDefault="00833B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26" w:rsidRPr="00A04B0D" w:rsidRDefault="00A04B0D">
    <w:pPr>
      <w:pStyle w:val="Sidfot"/>
    </w:pPr>
    <w:r w:rsidRPr="00A04B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4803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26" w:rsidRDefault="00833B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B26" w:rsidRDefault="00833B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B26" w:rsidRPr="00A04B0D" w:rsidRDefault="00833B26">
      <w:r w:rsidRPr="00A04B0D">
        <w:separator/>
      </w:r>
    </w:p>
  </w:footnote>
  <w:footnote w:type="continuationSeparator" w:id="0">
    <w:p w:rsidR="00833B26" w:rsidRPr="00A04B0D" w:rsidRDefault="00833B26">
      <w:r w:rsidRPr="00A04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26" w:rsidRPr="00A04B0D" w:rsidRDefault="00A04B0D">
    <w:pPr>
      <w:pStyle w:val="Sidhuvud"/>
    </w:pPr>
    <w:r w:rsidRPr="00A04B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2635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26" w:rsidRDefault="00833B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B26" w:rsidRDefault="00833B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26" w:rsidRPr="00A04B0D" w:rsidRDefault="00A04B0D">
    <w:pPr>
      <w:pStyle w:val="Sidhuvud"/>
    </w:pPr>
    <w:r w:rsidRPr="00A04B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22489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B26" w:rsidRDefault="00833B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B26" w:rsidRDefault="00833B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26" w:rsidRPr="00A04B0D" w:rsidRDefault="00833B26">
    <w:pPr>
      <w:pStyle w:val="FSHNormal"/>
      <w:tabs>
        <w:tab w:val="right" w:pos="5840"/>
      </w:tabs>
    </w:pPr>
    <w:r w:rsidRPr="00A04B0D">
      <w:br/>
    </w:r>
    <w:r w:rsidRPr="00A04B0D">
      <w:fldChar w:fldCharType="begin" w:fldLock="1"/>
    </w:r>
    <w:r w:rsidRPr="00A04B0D">
      <w:instrText xml:space="preserve"> DOCPROPERTY</w:instrText>
    </w:r>
    <w:r w:rsidRPr="00A04B0D">
      <w:rPr>
        <w:sz w:val="18"/>
      </w:rPr>
      <w:instrText xml:space="preserve"> "YearUser" *\charformat </w:instrText>
    </w:r>
    <w:r w:rsidRPr="00A04B0D">
      <w:fldChar w:fldCharType="separate"/>
    </w:r>
    <w:r w:rsidRPr="00A04B0D">
      <w:t>2011/12</w:t>
    </w:r>
    <w:r w:rsidRPr="00A04B0D">
      <w:fldChar w:fldCharType="end"/>
    </w:r>
    <w:r w:rsidRPr="00A04B0D">
      <w:t xml:space="preserve"> </w:t>
    </w:r>
    <w:r w:rsidRPr="00A04B0D">
      <w:tab/>
      <w:t xml:space="preserve">mnr: </w:t>
    </w:r>
    <w:r w:rsidRPr="00A04B0D">
      <w:fldChar w:fldCharType="begin" w:fldLock="1"/>
    </w:r>
    <w:r w:rsidRPr="00A04B0D">
      <w:instrText xml:space="preserve"> DOCPROPERTY</w:instrText>
    </w:r>
    <w:r w:rsidRPr="00A04B0D">
      <w:rPr>
        <w:sz w:val="18"/>
      </w:rPr>
      <w:instrText xml:space="preserve"> "Motionsnummer" *\charformat </w:instrText>
    </w:r>
    <w:r w:rsidRPr="00A04B0D">
      <w:fldChar w:fldCharType="separate"/>
    </w:r>
    <w:r w:rsidRPr="00A04B0D">
      <w:t>So564</w:t>
    </w:r>
    <w:r w:rsidRPr="00A04B0D">
      <w:fldChar w:fldCharType="end"/>
    </w:r>
    <w:r w:rsidRPr="00A04B0D">
      <w:br/>
    </w:r>
    <w:r w:rsidRPr="00A04B0D">
      <w:fldChar w:fldCharType="begin" w:fldLock="1"/>
    </w:r>
    <w:r w:rsidRPr="00A04B0D">
      <w:instrText xml:space="preserve"> DOCPROPERTY</w:instrText>
    </w:r>
    <w:r w:rsidRPr="00A04B0D">
      <w:rPr>
        <w:sz w:val="18"/>
      </w:rPr>
      <w:instrText xml:space="preserve"> "Samling" *\charformat </w:instrText>
    </w:r>
    <w:r w:rsidRPr="00A04B0D">
      <w:fldChar w:fldCharType="end"/>
    </w:r>
    <w:r w:rsidRPr="00A04B0D">
      <w:tab/>
      <w:t xml:space="preserve">pnr: </w:t>
    </w:r>
    <w:r w:rsidRPr="00A04B0D">
      <w:fldChar w:fldCharType="begin" w:fldLock="1"/>
    </w:r>
    <w:r w:rsidRPr="00A04B0D">
      <w:instrText xml:space="preserve"> DOCPROPERTY</w:instrText>
    </w:r>
    <w:r w:rsidRPr="00A04B0D">
      <w:rPr>
        <w:sz w:val="18"/>
      </w:rPr>
      <w:instrText xml:space="preserve"> "Partinummer" *\charformat </w:instrText>
    </w:r>
    <w:r w:rsidRPr="00A04B0D">
      <w:fldChar w:fldCharType="separate"/>
    </w:r>
    <w:r w:rsidRPr="00A04B0D">
      <w:t>C380</w:t>
    </w:r>
    <w:r w:rsidRPr="00A04B0D">
      <w:fldChar w:fldCharType="end"/>
    </w:r>
  </w:p>
  <w:p w:rsidR="00833B26" w:rsidRPr="00A04B0D" w:rsidRDefault="00833B26">
    <w:pPr>
      <w:pStyle w:val="FSHRub1"/>
    </w:pPr>
    <w:r w:rsidRPr="00A04B0D">
      <w:t>Motion till riksdagen</w:t>
    </w:r>
    <w:r w:rsidRPr="00A04B0D">
      <w:br/>
    </w:r>
    <w:r w:rsidRPr="00A04B0D">
      <w:fldChar w:fldCharType="begin" w:fldLock="1"/>
    </w:r>
    <w:r w:rsidRPr="00A04B0D">
      <w:instrText xml:space="preserve"> DOCPROPERTY "YearUser" *\charformat </w:instrText>
    </w:r>
    <w:r w:rsidRPr="00A04B0D">
      <w:fldChar w:fldCharType="separate"/>
    </w:r>
    <w:r w:rsidRPr="00A04B0D">
      <w:t>2011/12</w:t>
    </w:r>
    <w:r w:rsidRPr="00A04B0D">
      <w:fldChar w:fldCharType="end"/>
    </w:r>
    <w:r w:rsidRPr="00A04B0D">
      <w:t>:</w:t>
    </w:r>
    <w:r w:rsidRPr="00A04B0D">
      <w:fldChar w:fldCharType="begin" w:fldLock="1"/>
    </w:r>
    <w:r w:rsidRPr="00A04B0D">
      <w:instrText xml:space="preserve"> DOCPROPERTY "Motionsnummer" *\charformat </w:instrText>
    </w:r>
    <w:r w:rsidRPr="00A04B0D">
      <w:fldChar w:fldCharType="separate"/>
    </w:r>
    <w:r w:rsidRPr="00A04B0D">
      <w:t>So564</w:t>
    </w:r>
    <w:r w:rsidRPr="00A04B0D">
      <w:fldChar w:fldCharType="end"/>
    </w:r>
  </w:p>
  <w:p w:rsidR="00833B26" w:rsidRPr="00A04B0D" w:rsidRDefault="00833B26">
    <w:pPr>
      <w:pStyle w:val="FSHNormalS5"/>
    </w:pPr>
    <w:r w:rsidRPr="00A04B0D">
      <w:fldChar w:fldCharType="begin" w:fldLock="1"/>
    </w:r>
    <w:r w:rsidRPr="00A04B0D">
      <w:instrText xml:space="preserve"> DOCPROPERTY "MotionarText" *\charformat </w:instrText>
    </w:r>
    <w:r w:rsidRPr="00A04B0D">
      <w:fldChar w:fldCharType="separate"/>
    </w:r>
    <w:r w:rsidRPr="00A04B0D">
      <w:t>av Annika Qarlsson och Karin Nilsson (C)</w:t>
    </w:r>
    <w:r w:rsidRPr="00A04B0D">
      <w:fldChar w:fldCharType="end"/>
    </w:r>
    <w:r w:rsidRPr="00A04B0D">
      <w:br/>
    </w:r>
    <w:r w:rsidRPr="00A04B0D">
      <w:fldChar w:fldCharType="begin" w:fldLock="1"/>
    </w:r>
    <w:r w:rsidRPr="00A04B0D">
      <w:instrText xml:space="preserve"> DOCPROPERTY "SvarFrasKort" *\charformat </w:instrText>
    </w:r>
    <w:r w:rsidRPr="00A04B0D">
      <w:fldChar w:fldCharType="end"/>
    </w:r>
  </w:p>
  <w:p w:rsidR="00833B26" w:rsidRPr="00A04B0D" w:rsidRDefault="00833B26">
    <w:pPr>
      <w:pStyle w:val="FSHTitel"/>
    </w:pPr>
    <w:r w:rsidRPr="00A04B0D">
      <w:fldChar w:fldCharType="begin" w:fldLock="1"/>
    </w:r>
    <w:r w:rsidRPr="00A04B0D">
      <w:instrText xml:space="preserve"> DOCPROPERTY</w:instrText>
    </w:r>
    <w:r w:rsidRPr="00A04B0D">
      <w:rPr>
        <w:sz w:val="18"/>
      </w:rPr>
      <w:instrText xml:space="preserve"> "RubrikSvar" *\charformat </w:instrText>
    </w:r>
    <w:r w:rsidRPr="00A04B0D">
      <w:fldChar w:fldCharType="separate"/>
    </w:r>
    <w:r w:rsidRPr="00A04B0D">
      <w:t>Diagnos och merkostnad för glutenintoleranta</w:t>
    </w:r>
    <w:r w:rsidRPr="00A04B0D">
      <w:fldChar w:fldCharType="end"/>
    </w:r>
  </w:p>
  <w:p w:rsidR="00833B26" w:rsidRPr="00A04B0D" w:rsidRDefault="00833B26">
    <w:pPr>
      <w:pStyle w:val="Normal00"/>
    </w:pPr>
  </w:p>
  <w:p w:rsidR="00833B26" w:rsidRPr="00A04B0D" w:rsidRDefault="00833B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65F5"/>
    <w:multiLevelType w:val="hybridMultilevel"/>
    <w:tmpl w:val="7D324944"/>
    <w:lvl w:ilvl="0" w:tplc="5106E2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0623B85"/>
    <w:multiLevelType w:val="hybridMultilevel"/>
    <w:tmpl w:val="12CA0D52"/>
    <w:lvl w:ilvl="0" w:tplc="307EC8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4E00CEE"/>
    <w:multiLevelType w:val="hybridMultilevel"/>
    <w:tmpl w:val="54F81F5A"/>
    <w:lvl w:ilvl="0" w:tplc="360489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5687CE7"/>
    <w:multiLevelType w:val="hybridMultilevel"/>
    <w:tmpl w:val="A13C0482"/>
    <w:lvl w:ilvl="0" w:tplc="F8708592">
      <w:start w:val="1"/>
      <w:numFmt w:val="decimal"/>
      <w:pStyle w:val="Hemstlatt"/>
      <w:lvlText w:val="%1."/>
      <w:lvlJc w:val="left"/>
      <w:pPr>
        <w:tabs>
          <w:tab w:val="num" w:pos="700"/>
        </w:tabs>
        <w:ind w:left="700" w:hanging="34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3708FE"/>
    <w:multiLevelType w:val="hybridMultilevel"/>
    <w:tmpl w:val="91BEA2D4"/>
    <w:lvl w:ilvl="0" w:tplc="576405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17E6EF5"/>
    <w:multiLevelType w:val="hybridMultilevel"/>
    <w:tmpl w:val="886E6E92"/>
    <w:lvl w:ilvl="0" w:tplc="02AE33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8145989">
    <w:abstractNumId w:val="3"/>
  </w:num>
  <w:num w:numId="2" w16cid:durableId="1287737408">
    <w:abstractNumId w:val="2"/>
  </w:num>
  <w:num w:numId="3" w16cid:durableId="2061467289">
    <w:abstractNumId w:val="1"/>
  </w:num>
  <w:num w:numId="4" w16cid:durableId="146670333">
    <w:abstractNumId w:val="0"/>
  </w:num>
  <w:num w:numId="5" w16cid:durableId="1310942763">
    <w:abstractNumId w:val="7"/>
  </w:num>
  <w:num w:numId="6" w16cid:durableId="961301538">
    <w:abstractNumId w:val="6"/>
  </w:num>
  <w:num w:numId="7" w16cid:durableId="2109809078">
    <w:abstractNumId w:val="5"/>
  </w:num>
  <w:num w:numId="8" w16cid:durableId="58747757">
    <w:abstractNumId w:val="4"/>
  </w:num>
  <w:num w:numId="9" w16cid:durableId="338317328">
    <w:abstractNumId w:val="8"/>
  </w:num>
  <w:num w:numId="10" w16cid:durableId="737674909">
    <w:abstractNumId w:val="9"/>
  </w:num>
  <w:num w:numId="11" w16cid:durableId="1508055669">
    <w:abstractNumId w:val="11"/>
  </w:num>
  <w:num w:numId="12" w16cid:durableId="1010643639">
    <w:abstractNumId w:val="17"/>
  </w:num>
  <w:num w:numId="13" w16cid:durableId="1267883917">
    <w:abstractNumId w:val="19"/>
  </w:num>
  <w:num w:numId="14" w16cid:durableId="2099252883">
    <w:abstractNumId w:val="21"/>
  </w:num>
  <w:num w:numId="15" w16cid:durableId="1106776191">
    <w:abstractNumId w:val="12"/>
  </w:num>
  <w:num w:numId="16" w16cid:durableId="108665193">
    <w:abstractNumId w:val="24"/>
  </w:num>
  <w:num w:numId="17" w16cid:durableId="12848141">
    <w:abstractNumId w:val="22"/>
  </w:num>
  <w:num w:numId="18" w16cid:durableId="90974480">
    <w:abstractNumId w:val="18"/>
  </w:num>
  <w:num w:numId="19" w16cid:durableId="329258326">
    <w:abstractNumId w:val="16"/>
  </w:num>
  <w:num w:numId="20" w16cid:durableId="1173834152">
    <w:abstractNumId w:val="13"/>
  </w:num>
  <w:num w:numId="21" w16cid:durableId="1877231740">
    <w:abstractNumId w:val="14"/>
  </w:num>
  <w:num w:numId="22" w16cid:durableId="1961762231">
    <w:abstractNumId w:val="10"/>
  </w:num>
  <w:num w:numId="23" w16cid:durableId="884022950">
    <w:abstractNumId w:val="23"/>
  </w:num>
  <w:num w:numId="24" w16cid:durableId="88308052">
    <w:abstractNumId w:val="20"/>
  </w:num>
  <w:num w:numId="25" w16cid:durableId="1857890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C9B44D-7018-46C7-9D6D-1E4FAE40FC51},{B0FEF2C9-1FAA-4D49-B759-83A10A5FFA80}"/>
  </w:docVars>
  <w:rsids>
    <w:rsidRoot w:val="00E90B70"/>
    <w:rsid w:val="00833B26"/>
    <w:rsid w:val="00A04B0D"/>
    <w:rsid w:val="00E90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B56ABF-97BD-4BFC-9E5E-88864464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paragraphstyle">
    <w:name w:val="[No paragraph style]"/>
    <w:pPr>
      <w:spacing w:line="288" w:lineRule="auto"/>
    </w:pPr>
    <w:rPr>
      <w:rFonts w:ascii="Times" w:hAnsi="Times"/>
      <w:color w:val="000000"/>
      <w:sz w:val="24"/>
      <w:lang w:val="sv-SE" w:eastAsia="sv-SE"/>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3380</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2012-01-09T13:54:00Z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Diagnos och merkostnad för glutenintoleranta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Diagnos och merkostnad för glutenintoleranta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Karin Nilsson (C)</vt:lpwstr>
  </property>
  <property fmtid="{D5CDD505-2E9C-101B-9397-08002B2CF9AE}" pid="26" name="MotionarLista">
    <vt:lpwstr>Qarlsson, Annika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20112012000000000067000003800069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20112012000000000067000003800069</vt:lpwstr>
  </property>
  <property fmtid="{D5CDD505-2E9C-101B-9397-08002B2CF9AE}" pid="50" name="nummer">
    <vt:lpwstr>564</vt:lpwstr>
  </property>
  <property fmtid="{D5CDD505-2E9C-101B-9397-08002B2CF9AE}" pid="51" name="utskottsbeteckning">
    <vt:lpwstr>So</vt:lpwstr>
  </property>
  <property fmtid="{D5CDD505-2E9C-101B-9397-08002B2CF9AE}" pid="52" name="GlobalUID">
    <vt:lpwstr>{9B891DF9-3FB4-4F94-9525-37D354ECA3D4}</vt:lpwstr>
  </property>
  <property fmtid="{D5CDD505-2E9C-101B-9397-08002B2CF9AE}" pid="53" name="Överföringar">
    <vt:i4>0</vt:i4>
  </property>
  <property fmtid="{D5CDD505-2E9C-101B-9397-08002B2CF9AE}" pid="54" name="Checksum">
    <vt:lpwstr>*0020070509920*</vt:lpwstr>
  </property>
  <property fmtid="{D5CDD505-2E9C-101B-9397-08002B2CF9AE}" pid="55" name="skuggnummer">
    <vt:lpwstr>2504</vt:lpwstr>
  </property>
  <property fmtid="{D5CDD505-2E9C-101B-9397-08002B2CF9AE}" pid="56" name="urixVersion">
    <vt:lpwstr>4.5.0.25</vt:lpwstr>
  </property>
  <property fmtid="{D5CDD505-2E9C-101B-9397-08002B2CF9AE}" pid="57" name="urixOrigin">
    <vt:lpwstr>120109 15:00:01.543</vt:lpwstr>
  </property>
  <property fmtid="{D5CDD505-2E9C-101B-9397-08002B2CF9AE}" pid="58" name="urixGuid">
    <vt:lpwstr>{775F6176-B7EC-4B5B-B158-B5D2F87F69DA}</vt:lpwstr>
  </property>
</Properties>
</file>