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370A8B7" w14:textId="77777777" w:rsidTr="00CE6B57">
        <w:tc>
          <w:tcPr>
            <w:tcW w:w="2268" w:type="dxa"/>
          </w:tcPr>
          <w:p w14:paraId="349F5F51" w14:textId="3979B8DA"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187C97" w14:textId="77777777" w:rsidR="006E4E11" w:rsidRDefault="006E4E11" w:rsidP="007242A3">
            <w:pPr>
              <w:framePr w:w="5035" w:h="1644" w:wrap="notBeside" w:vAnchor="page" w:hAnchor="page" w:x="6573" w:y="721"/>
              <w:rPr>
                <w:rFonts w:ascii="TradeGothic" w:hAnsi="TradeGothic"/>
                <w:i/>
                <w:sz w:val="18"/>
              </w:rPr>
            </w:pPr>
          </w:p>
        </w:tc>
      </w:tr>
      <w:tr w:rsidR="00CE6B57" w14:paraId="264D82FF" w14:textId="77777777" w:rsidTr="00CE6B57">
        <w:tc>
          <w:tcPr>
            <w:tcW w:w="5267" w:type="dxa"/>
            <w:gridSpan w:val="3"/>
          </w:tcPr>
          <w:p w14:paraId="140531A0" w14:textId="77777777" w:rsidR="00CE6B57" w:rsidRDefault="00CE6B5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3CA0751" w14:textId="77777777" w:rsidTr="00CE6B57">
        <w:tc>
          <w:tcPr>
            <w:tcW w:w="3402" w:type="dxa"/>
            <w:gridSpan w:val="2"/>
          </w:tcPr>
          <w:p w14:paraId="06A72923" w14:textId="77777777" w:rsidR="006E4E11" w:rsidRPr="00CE6B57" w:rsidRDefault="00CE6B57"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55E1D58B" w14:textId="77777777" w:rsidR="006E4E11" w:rsidRDefault="006E4E11" w:rsidP="007242A3">
            <w:pPr>
              <w:framePr w:w="5035" w:h="1644" w:wrap="notBeside" w:vAnchor="page" w:hAnchor="page" w:x="6573" w:y="721"/>
            </w:pPr>
          </w:p>
        </w:tc>
      </w:tr>
      <w:tr w:rsidR="006E4E11" w14:paraId="20173296" w14:textId="77777777" w:rsidTr="00CE6B57">
        <w:tc>
          <w:tcPr>
            <w:tcW w:w="2268" w:type="dxa"/>
          </w:tcPr>
          <w:p w14:paraId="088795C1" w14:textId="6BE10E24" w:rsidR="006E4E11" w:rsidRDefault="00CE6B57" w:rsidP="00CE6B57">
            <w:pPr>
              <w:framePr w:w="5035" w:h="1644" w:wrap="notBeside" w:vAnchor="page" w:hAnchor="page" w:x="6573" w:y="721"/>
            </w:pPr>
            <w:r>
              <w:t>2015-09-0</w:t>
            </w:r>
            <w:r w:rsidR="001210FB">
              <w:t>7</w:t>
            </w:r>
          </w:p>
        </w:tc>
        <w:tc>
          <w:tcPr>
            <w:tcW w:w="2999" w:type="dxa"/>
            <w:gridSpan w:val="2"/>
          </w:tcPr>
          <w:p w14:paraId="5488D318" w14:textId="77777777" w:rsidR="006E4E11" w:rsidRPr="00ED583F" w:rsidRDefault="006E4E11" w:rsidP="007242A3">
            <w:pPr>
              <w:framePr w:w="5035" w:h="1644" w:wrap="notBeside" w:vAnchor="page" w:hAnchor="page" w:x="6573" w:y="721"/>
              <w:rPr>
                <w:sz w:val="20"/>
              </w:rPr>
            </w:pPr>
          </w:p>
        </w:tc>
      </w:tr>
      <w:tr w:rsidR="006E4E11" w14:paraId="1506171F" w14:textId="77777777" w:rsidTr="00CE6B57">
        <w:tc>
          <w:tcPr>
            <w:tcW w:w="2268" w:type="dxa"/>
          </w:tcPr>
          <w:p w14:paraId="34FC696D" w14:textId="77777777" w:rsidR="006E4E11" w:rsidRDefault="006E4E11" w:rsidP="007242A3">
            <w:pPr>
              <w:framePr w:w="5035" w:h="1644" w:wrap="notBeside" w:vAnchor="page" w:hAnchor="page" w:x="6573" w:y="721"/>
            </w:pPr>
          </w:p>
        </w:tc>
        <w:tc>
          <w:tcPr>
            <w:tcW w:w="2999" w:type="dxa"/>
            <w:gridSpan w:val="2"/>
          </w:tcPr>
          <w:p w14:paraId="526558A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D20ED25" w14:textId="77777777">
        <w:trPr>
          <w:trHeight w:val="284"/>
        </w:trPr>
        <w:tc>
          <w:tcPr>
            <w:tcW w:w="4911" w:type="dxa"/>
          </w:tcPr>
          <w:p w14:paraId="25B1B2B1" w14:textId="77777777" w:rsidR="006E4E11" w:rsidRDefault="00CE6B57">
            <w:pPr>
              <w:pStyle w:val="Avsndare"/>
              <w:framePr w:h="2483" w:wrap="notBeside" w:x="1504"/>
              <w:rPr>
                <w:b/>
                <w:i w:val="0"/>
                <w:sz w:val="22"/>
              </w:rPr>
            </w:pPr>
            <w:r>
              <w:rPr>
                <w:b/>
                <w:i w:val="0"/>
                <w:sz w:val="22"/>
              </w:rPr>
              <w:t>Statsrådsberedningen</w:t>
            </w:r>
          </w:p>
        </w:tc>
      </w:tr>
      <w:tr w:rsidR="006E4E11" w14:paraId="39AC0374" w14:textId="77777777">
        <w:trPr>
          <w:trHeight w:val="284"/>
        </w:trPr>
        <w:tc>
          <w:tcPr>
            <w:tcW w:w="4911" w:type="dxa"/>
          </w:tcPr>
          <w:p w14:paraId="63366ACC" w14:textId="77777777" w:rsidR="006E4E11" w:rsidRDefault="006E4E11">
            <w:pPr>
              <w:pStyle w:val="Avsndare"/>
              <w:framePr w:h="2483" w:wrap="notBeside" w:x="1504"/>
              <w:rPr>
                <w:bCs/>
                <w:iCs/>
              </w:rPr>
            </w:pPr>
          </w:p>
        </w:tc>
      </w:tr>
      <w:tr w:rsidR="006E4E11" w14:paraId="74BC7E49" w14:textId="77777777">
        <w:trPr>
          <w:trHeight w:val="284"/>
        </w:trPr>
        <w:tc>
          <w:tcPr>
            <w:tcW w:w="4911" w:type="dxa"/>
          </w:tcPr>
          <w:p w14:paraId="170D4FD6" w14:textId="77777777" w:rsidR="006E4E11" w:rsidRDefault="00CE6B57">
            <w:pPr>
              <w:pStyle w:val="Avsndare"/>
              <w:framePr w:h="2483" w:wrap="notBeside" w:x="1504"/>
              <w:rPr>
                <w:bCs/>
                <w:iCs/>
              </w:rPr>
            </w:pPr>
            <w:r>
              <w:rPr>
                <w:bCs/>
                <w:iCs/>
              </w:rPr>
              <w:t>EU-kansliet</w:t>
            </w:r>
          </w:p>
        </w:tc>
      </w:tr>
      <w:tr w:rsidR="006E4E11" w14:paraId="509FCA0F" w14:textId="77777777">
        <w:trPr>
          <w:trHeight w:val="284"/>
        </w:trPr>
        <w:tc>
          <w:tcPr>
            <w:tcW w:w="4911" w:type="dxa"/>
          </w:tcPr>
          <w:p w14:paraId="7E45A389" w14:textId="77777777" w:rsidR="006E4E11" w:rsidRDefault="006E4E11">
            <w:pPr>
              <w:pStyle w:val="Avsndare"/>
              <w:framePr w:h="2483" w:wrap="notBeside" w:x="1504"/>
              <w:rPr>
                <w:bCs/>
                <w:iCs/>
              </w:rPr>
            </w:pPr>
          </w:p>
        </w:tc>
      </w:tr>
      <w:tr w:rsidR="006E4E11" w14:paraId="2CBE6B11" w14:textId="77777777">
        <w:trPr>
          <w:trHeight w:val="284"/>
        </w:trPr>
        <w:tc>
          <w:tcPr>
            <w:tcW w:w="4911" w:type="dxa"/>
          </w:tcPr>
          <w:p w14:paraId="1D179511" w14:textId="77777777" w:rsidR="006E4E11" w:rsidRDefault="006E4E11">
            <w:pPr>
              <w:pStyle w:val="Avsndare"/>
              <w:framePr w:h="2483" w:wrap="notBeside" w:x="1504"/>
              <w:rPr>
                <w:bCs/>
                <w:iCs/>
              </w:rPr>
            </w:pPr>
          </w:p>
        </w:tc>
      </w:tr>
      <w:tr w:rsidR="006E4E11" w14:paraId="447E39CC" w14:textId="77777777">
        <w:trPr>
          <w:trHeight w:val="284"/>
        </w:trPr>
        <w:tc>
          <w:tcPr>
            <w:tcW w:w="4911" w:type="dxa"/>
          </w:tcPr>
          <w:p w14:paraId="201E465E" w14:textId="77777777" w:rsidR="006E4E11" w:rsidRDefault="006E4E11">
            <w:pPr>
              <w:pStyle w:val="Avsndare"/>
              <w:framePr w:h="2483" w:wrap="notBeside" w:x="1504"/>
              <w:rPr>
                <w:bCs/>
                <w:iCs/>
              </w:rPr>
            </w:pPr>
          </w:p>
        </w:tc>
      </w:tr>
      <w:tr w:rsidR="006E4E11" w14:paraId="6A595853" w14:textId="77777777">
        <w:trPr>
          <w:trHeight w:val="284"/>
        </w:trPr>
        <w:tc>
          <w:tcPr>
            <w:tcW w:w="4911" w:type="dxa"/>
          </w:tcPr>
          <w:p w14:paraId="397C230C" w14:textId="77777777" w:rsidR="006E4E11" w:rsidRDefault="006E4E11">
            <w:pPr>
              <w:pStyle w:val="Avsndare"/>
              <w:framePr w:h="2483" w:wrap="notBeside" w:x="1504"/>
              <w:rPr>
                <w:bCs/>
                <w:iCs/>
              </w:rPr>
            </w:pPr>
          </w:p>
        </w:tc>
      </w:tr>
      <w:tr w:rsidR="006E4E11" w14:paraId="57F97E06" w14:textId="77777777">
        <w:trPr>
          <w:trHeight w:val="284"/>
        </w:trPr>
        <w:tc>
          <w:tcPr>
            <w:tcW w:w="4911" w:type="dxa"/>
          </w:tcPr>
          <w:p w14:paraId="009E679C" w14:textId="77777777" w:rsidR="006E4E11" w:rsidRDefault="006E4E11">
            <w:pPr>
              <w:pStyle w:val="Avsndare"/>
              <w:framePr w:h="2483" w:wrap="notBeside" w:x="1504"/>
              <w:rPr>
                <w:bCs/>
                <w:iCs/>
              </w:rPr>
            </w:pPr>
          </w:p>
        </w:tc>
      </w:tr>
      <w:tr w:rsidR="006E4E11" w14:paraId="40D246D0" w14:textId="77777777">
        <w:trPr>
          <w:trHeight w:val="284"/>
        </w:trPr>
        <w:tc>
          <w:tcPr>
            <w:tcW w:w="4911" w:type="dxa"/>
          </w:tcPr>
          <w:p w14:paraId="1964886C" w14:textId="77777777" w:rsidR="006E4E11" w:rsidRDefault="006E4E11">
            <w:pPr>
              <w:pStyle w:val="Avsndare"/>
              <w:framePr w:h="2483" w:wrap="notBeside" w:x="1504"/>
              <w:rPr>
                <w:bCs/>
                <w:iCs/>
              </w:rPr>
            </w:pPr>
          </w:p>
        </w:tc>
      </w:tr>
    </w:tbl>
    <w:p w14:paraId="5DF38083" w14:textId="77777777" w:rsidR="006E4E11" w:rsidRPr="00CE6B57" w:rsidRDefault="006E4E11">
      <w:pPr>
        <w:framePr w:w="4400" w:h="2523" w:wrap="notBeside" w:vAnchor="page" w:hAnchor="page" w:x="6453" w:y="2445"/>
        <w:ind w:left="142"/>
        <w:rPr>
          <w:b/>
        </w:rPr>
      </w:pPr>
    </w:p>
    <w:p w14:paraId="61961175" w14:textId="71E9C875" w:rsidR="00CE6B57" w:rsidRDefault="00CE6B57">
      <w:pPr>
        <w:pStyle w:val="RKrubrik"/>
        <w:pBdr>
          <w:bottom w:val="single" w:sz="6" w:space="1" w:color="auto"/>
        </w:pBdr>
      </w:pPr>
      <w:bookmarkStart w:id="0" w:name="bRubrik"/>
      <w:bookmarkStart w:id="1" w:name="_GoBack"/>
      <w:bookmarkEnd w:id="0"/>
      <w:bookmarkEnd w:id="1"/>
      <w:r>
        <w:t>Allmänna rådets möte den 14 september 2015</w:t>
      </w:r>
    </w:p>
    <w:p w14:paraId="5528969C" w14:textId="77777777" w:rsidR="00CE6B57" w:rsidRDefault="00CE6B57">
      <w:pPr>
        <w:pStyle w:val="RKrubrik"/>
      </w:pPr>
      <w:r>
        <w:t>Kommenterad dagordning</w:t>
      </w:r>
    </w:p>
    <w:p w14:paraId="1126C819" w14:textId="77777777" w:rsidR="00131B19" w:rsidRPr="00131B19" w:rsidRDefault="00131B19" w:rsidP="00131B19">
      <w:pPr>
        <w:pStyle w:val="RKnormal"/>
      </w:pPr>
    </w:p>
    <w:p w14:paraId="17D7305D" w14:textId="77777777" w:rsidR="00CE6B57" w:rsidRDefault="00CE6B57">
      <w:pPr>
        <w:pStyle w:val="RKrubrik"/>
      </w:pPr>
      <w:r>
        <w:t>1.</w:t>
      </w:r>
      <w:r>
        <w:tab/>
        <w:t>Godkännande av dagordningen</w:t>
      </w:r>
    </w:p>
    <w:p w14:paraId="35672BFD" w14:textId="77777777" w:rsidR="00CE6B57" w:rsidRDefault="00CE6B57" w:rsidP="00CE6B57">
      <w:pPr>
        <w:pStyle w:val="RKnormal"/>
        <w:rPr>
          <w:rStyle w:val="Betoning"/>
          <w:u w:val="single"/>
        </w:rPr>
      </w:pPr>
    </w:p>
    <w:p w14:paraId="520F5855" w14:textId="77777777" w:rsidR="00CE6B57" w:rsidRDefault="00CE6B57" w:rsidP="00CE6B57">
      <w:pPr>
        <w:pStyle w:val="RKnormal"/>
        <w:rPr>
          <w:rStyle w:val="Betoning"/>
          <w:u w:val="single"/>
        </w:rPr>
      </w:pPr>
      <w:r w:rsidRPr="00A51CE6">
        <w:rPr>
          <w:rStyle w:val="Betoning"/>
          <w:u w:val="single"/>
        </w:rPr>
        <w:t>Lagstiftningsöverläggningar</w:t>
      </w:r>
    </w:p>
    <w:p w14:paraId="31BCA366" w14:textId="77777777" w:rsidR="00CE6B57" w:rsidRPr="00A51CE6" w:rsidRDefault="00CE6B57" w:rsidP="00CE6B57">
      <w:pPr>
        <w:pStyle w:val="RKnormal"/>
        <w:rPr>
          <w:rStyle w:val="Betoning"/>
          <w:u w:val="single"/>
        </w:rPr>
      </w:pPr>
    </w:p>
    <w:p w14:paraId="2CD556D3" w14:textId="77777777" w:rsidR="00CE6B57" w:rsidRDefault="00CE6B57" w:rsidP="00CE6B57">
      <w:pPr>
        <w:pStyle w:val="RKrubrik"/>
      </w:pPr>
      <w:r>
        <w:t xml:space="preserve">2. </w:t>
      </w:r>
      <w:r>
        <w:tab/>
        <w:t>(Ev.) A-punkter</w:t>
      </w:r>
    </w:p>
    <w:p w14:paraId="0F709D2B" w14:textId="77777777" w:rsidR="00131B19" w:rsidRPr="00131B19" w:rsidRDefault="00131B19" w:rsidP="00131B19">
      <w:pPr>
        <w:pStyle w:val="RKnormal"/>
      </w:pPr>
    </w:p>
    <w:p w14:paraId="6E4A3D28" w14:textId="77777777" w:rsidR="00CE6B57" w:rsidRDefault="00CE6B57" w:rsidP="00CE6B57">
      <w:pPr>
        <w:pStyle w:val="RKrubrik"/>
      </w:pPr>
      <w:r>
        <w:t xml:space="preserve">3. </w:t>
      </w:r>
      <w:r>
        <w:tab/>
        <w:t>(Ev.) Övriga frågor</w:t>
      </w:r>
    </w:p>
    <w:p w14:paraId="31190CC3" w14:textId="77777777" w:rsidR="00CE6B57" w:rsidRPr="008E42F2" w:rsidRDefault="00CE6B57" w:rsidP="00CE6B57">
      <w:pPr>
        <w:pStyle w:val="Dash1"/>
        <w:numPr>
          <w:ilvl w:val="0"/>
          <w:numId w:val="0"/>
        </w:numPr>
        <w:ind w:left="1134" w:hanging="567"/>
        <w:rPr>
          <w:rFonts w:ascii="OrigGarmnd BT" w:hAnsi="OrigGarmnd BT"/>
          <w:lang w:val="sv-SE"/>
        </w:rPr>
      </w:pPr>
      <w:r w:rsidRPr="008E42F2">
        <w:rPr>
          <w:rFonts w:ascii="OrigGarmnd BT" w:hAnsi="OrigGarmnd BT"/>
          <w:lang w:val="sv-SE"/>
        </w:rPr>
        <w:t>- Aktuella lagförslag</w:t>
      </w:r>
    </w:p>
    <w:p w14:paraId="290B579A" w14:textId="77777777" w:rsidR="00CE6B57" w:rsidRDefault="00CE6B57" w:rsidP="00CE6B57">
      <w:pPr>
        <w:pStyle w:val="Dash2"/>
        <w:numPr>
          <w:ilvl w:val="0"/>
          <w:numId w:val="0"/>
        </w:numPr>
        <w:ind w:firstLine="567"/>
        <w:rPr>
          <w:rFonts w:ascii="OrigGarmnd BT" w:hAnsi="OrigGarmnd BT"/>
          <w:lang w:val="sv-SE"/>
        </w:rPr>
      </w:pPr>
      <w:r w:rsidRPr="008E42F2">
        <w:rPr>
          <w:rFonts w:ascii="OrigGarmnd BT" w:hAnsi="OrigGarmnd BT"/>
          <w:lang w:val="sv-SE"/>
        </w:rPr>
        <w:t>- Information från ordförandeskapet</w:t>
      </w:r>
    </w:p>
    <w:p w14:paraId="332C82B7" w14:textId="77777777" w:rsidR="00131B19" w:rsidRPr="008E42F2" w:rsidRDefault="00131B19" w:rsidP="00CE6B57">
      <w:pPr>
        <w:pStyle w:val="Dash2"/>
        <w:numPr>
          <w:ilvl w:val="0"/>
          <w:numId w:val="0"/>
        </w:numPr>
        <w:ind w:firstLine="567"/>
        <w:rPr>
          <w:rFonts w:ascii="OrigGarmnd BT" w:hAnsi="OrigGarmnd BT"/>
          <w:lang w:val="sv-SE"/>
        </w:rPr>
      </w:pPr>
    </w:p>
    <w:p w14:paraId="4D9F832B" w14:textId="77777777" w:rsidR="00CE6B57" w:rsidRPr="00CE6B57" w:rsidRDefault="00CE6B57" w:rsidP="00CE6B57">
      <w:pPr>
        <w:pStyle w:val="RKnormal"/>
      </w:pPr>
    </w:p>
    <w:p w14:paraId="7B77D68B" w14:textId="77777777" w:rsidR="00CE6B57" w:rsidRDefault="00CE6B57" w:rsidP="00CE6B57">
      <w:pPr>
        <w:pStyle w:val="RKnormal"/>
        <w:rPr>
          <w:i/>
          <w:u w:val="single"/>
        </w:rPr>
      </w:pPr>
      <w:r>
        <w:rPr>
          <w:i/>
          <w:u w:val="single"/>
        </w:rPr>
        <w:t>Icke lagstiftande verksamhet</w:t>
      </w:r>
    </w:p>
    <w:p w14:paraId="3F6E8F1A" w14:textId="77777777" w:rsidR="00131B19" w:rsidRDefault="00131B19" w:rsidP="00CE6B57">
      <w:pPr>
        <w:pStyle w:val="RKnormal"/>
        <w:rPr>
          <w:i/>
          <w:u w:val="single"/>
        </w:rPr>
      </w:pPr>
    </w:p>
    <w:p w14:paraId="0F74B4FC" w14:textId="77777777" w:rsidR="00CE6B57" w:rsidRDefault="00CE6B57" w:rsidP="00CE6B57">
      <w:pPr>
        <w:pStyle w:val="RKrubrik"/>
      </w:pPr>
      <w:r>
        <w:t xml:space="preserve">4. </w:t>
      </w:r>
      <w:r>
        <w:tab/>
        <w:t>A-punkter</w:t>
      </w:r>
    </w:p>
    <w:p w14:paraId="0B4FE78A" w14:textId="77777777" w:rsidR="00131B19" w:rsidRPr="00131B19" w:rsidRDefault="00131B19" w:rsidP="00131B19">
      <w:pPr>
        <w:pStyle w:val="RKnormal"/>
      </w:pPr>
    </w:p>
    <w:p w14:paraId="13725142" w14:textId="77777777" w:rsidR="00CE6B57" w:rsidRDefault="00CE6B57" w:rsidP="00CE6B57">
      <w:pPr>
        <w:pStyle w:val="RKrubrik"/>
      </w:pPr>
      <w:r>
        <w:t xml:space="preserve">5. </w:t>
      </w:r>
      <w:r>
        <w:tab/>
        <w:t>Luxemburgs ordförandeskapsprogram</w:t>
      </w:r>
    </w:p>
    <w:p w14:paraId="23A40654" w14:textId="77777777" w:rsidR="00131B19" w:rsidRPr="00131B19" w:rsidRDefault="00131B19" w:rsidP="00131B19">
      <w:pPr>
        <w:pStyle w:val="RKnormal"/>
      </w:pPr>
    </w:p>
    <w:p w14:paraId="66938494" w14:textId="77777777" w:rsidR="00CE6B57" w:rsidRDefault="00CE6B57" w:rsidP="00CE6B57">
      <w:pPr>
        <w:pStyle w:val="RKnormal"/>
        <w:rPr>
          <w:i/>
        </w:rPr>
      </w:pPr>
      <w:r>
        <w:rPr>
          <w:i/>
        </w:rPr>
        <w:t>Informationspunkt</w:t>
      </w:r>
    </w:p>
    <w:p w14:paraId="44520738" w14:textId="77777777" w:rsidR="00131B19" w:rsidRDefault="00131B19" w:rsidP="00131B19">
      <w:pPr>
        <w:rPr>
          <w:szCs w:val="24"/>
        </w:rPr>
      </w:pPr>
    </w:p>
    <w:p w14:paraId="19EBC6F0" w14:textId="77777777" w:rsidR="00131B19" w:rsidRDefault="00131B19" w:rsidP="00131B19">
      <w:pPr>
        <w:rPr>
          <w:szCs w:val="24"/>
        </w:rPr>
      </w:pPr>
      <w:r w:rsidRPr="00131B19">
        <w:rPr>
          <w:szCs w:val="24"/>
        </w:rPr>
        <w:t xml:space="preserve">Det luxemburgska ordförandeskapet (1 juli - 31 december 2015) har som övergripande målsättning att föra EU närmare medborgarna och </w:t>
      </w:r>
      <w:r w:rsidRPr="00131B19">
        <w:rPr>
          <w:szCs w:val="24"/>
        </w:rPr>
        <w:lastRenderedPageBreak/>
        <w:t>visa på EU:s relevans. Luxemburgs prioriteringar</w:t>
      </w:r>
      <w:r w:rsidRPr="00131B19">
        <w:rPr>
          <w:color w:val="000000" w:themeColor="text1"/>
          <w:szCs w:val="24"/>
        </w:rPr>
        <w:t xml:space="preserve"> är indelade i sju områden</w:t>
      </w:r>
      <w:r w:rsidRPr="00131B19">
        <w:rPr>
          <w:szCs w:val="24"/>
        </w:rPr>
        <w:t>:</w:t>
      </w:r>
    </w:p>
    <w:p w14:paraId="053BA5A1" w14:textId="77777777" w:rsidR="00131B19" w:rsidRPr="00131B19" w:rsidRDefault="00131B19" w:rsidP="00131B19">
      <w:pPr>
        <w:rPr>
          <w:szCs w:val="24"/>
        </w:rPr>
      </w:pPr>
    </w:p>
    <w:p w14:paraId="5C4DCD0E"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Investeringar för tillväxt och sysselsättning</w:t>
      </w:r>
      <w:r w:rsidRPr="00131B19">
        <w:rPr>
          <w:rFonts w:ascii="OrigGarmnd BT" w:hAnsi="OrigGarmnd BT"/>
          <w:sz w:val="24"/>
          <w:szCs w:val="24"/>
        </w:rPr>
        <w:t xml:space="preserve"> – Investeringsplanen för Europa, utformad av kommissionens ordförande Jean-Claude Juncker, prioriteras. Likaså vikten av implementeringen av the European Fund for Strategic Investments (EFSI).</w:t>
      </w:r>
    </w:p>
    <w:p w14:paraId="2FC07B70" w14:textId="77777777" w:rsidR="00131B19" w:rsidRPr="00131B19" w:rsidRDefault="00131B19" w:rsidP="00131B19">
      <w:pPr>
        <w:pStyle w:val="Liststycke"/>
        <w:overflowPunct w:val="0"/>
        <w:autoSpaceDE w:val="0"/>
        <w:autoSpaceDN w:val="0"/>
        <w:adjustRightInd w:val="0"/>
        <w:spacing w:after="0" w:line="240" w:lineRule="auto"/>
        <w:ind w:left="0"/>
        <w:textAlignment w:val="baseline"/>
        <w:rPr>
          <w:rFonts w:ascii="OrigGarmnd BT" w:hAnsi="OrigGarmnd BT"/>
          <w:sz w:val="24"/>
          <w:szCs w:val="24"/>
        </w:rPr>
      </w:pPr>
    </w:p>
    <w:p w14:paraId="064C3A01"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Fördjupa EU:s sociala dimension</w:t>
      </w:r>
      <w:r w:rsidRPr="00131B19">
        <w:rPr>
          <w:rFonts w:ascii="OrigGarmnd BT" w:hAnsi="OrigGarmnd BT"/>
          <w:sz w:val="24"/>
          <w:szCs w:val="24"/>
        </w:rPr>
        <w:t xml:space="preserve"> – Luxemburg står bakom arbetet för ett Europa med trippel-A rankning i sociala frågor. Investeringar i humankapital för att minska klyftorna och öka den socio-politiska stabiliteten i unionen prioriteras.</w:t>
      </w:r>
    </w:p>
    <w:p w14:paraId="3559E253" w14:textId="77777777" w:rsidR="00131B19" w:rsidRPr="00131B19" w:rsidRDefault="00131B19" w:rsidP="00131B19">
      <w:pPr>
        <w:spacing w:line="240" w:lineRule="auto"/>
        <w:rPr>
          <w:szCs w:val="24"/>
        </w:rPr>
      </w:pPr>
    </w:p>
    <w:p w14:paraId="544C5933" w14:textId="0998827D"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Migration samt balans mellan rättsliga frågor och säkerhet</w:t>
      </w:r>
      <w:r w:rsidRPr="00131B19">
        <w:rPr>
          <w:rFonts w:ascii="OrigGarmnd BT" w:hAnsi="OrigGarmnd BT"/>
          <w:sz w:val="24"/>
          <w:szCs w:val="24"/>
        </w:rPr>
        <w:t xml:space="preserve"> – En effektiv </w:t>
      </w:r>
      <w:r w:rsidR="000A4E4C">
        <w:rPr>
          <w:rFonts w:ascii="OrigGarmnd BT" w:hAnsi="OrigGarmnd BT"/>
          <w:sz w:val="24"/>
          <w:szCs w:val="24"/>
        </w:rPr>
        <w:t xml:space="preserve">flykting- och </w:t>
      </w:r>
      <w:r w:rsidRPr="00131B19">
        <w:rPr>
          <w:rFonts w:ascii="OrigGarmnd BT" w:hAnsi="OrigGarmnd BT"/>
          <w:sz w:val="24"/>
          <w:szCs w:val="24"/>
        </w:rPr>
        <w:t>migrationspolitik som fokuserar på att rädda liv prioriteras, liksom vikten av samarbete med tredje land. Kampen mot terrorism ges hög prioritet.</w:t>
      </w:r>
    </w:p>
    <w:p w14:paraId="1006EB92" w14:textId="77777777" w:rsidR="00131B19" w:rsidRPr="00131B19" w:rsidRDefault="00131B19" w:rsidP="00131B19">
      <w:pPr>
        <w:spacing w:line="240" w:lineRule="auto"/>
        <w:rPr>
          <w:szCs w:val="24"/>
        </w:rPr>
      </w:pPr>
    </w:p>
    <w:p w14:paraId="7488050C"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Vitalisering av den inre marknaden</w:t>
      </w:r>
      <w:r w:rsidRPr="00131B19">
        <w:rPr>
          <w:rFonts w:ascii="OrigGarmnd BT" w:hAnsi="OrigGarmnd BT"/>
          <w:sz w:val="24"/>
          <w:szCs w:val="24"/>
        </w:rPr>
        <w:t xml:space="preserve"> – Utvecklandet av en digital inre marknad prioriteras för att kunna skapa fler jobb och tillväxt inom EU.</w:t>
      </w:r>
    </w:p>
    <w:p w14:paraId="2136825D" w14:textId="77777777" w:rsidR="00131B19" w:rsidRPr="00131B19" w:rsidRDefault="00131B19" w:rsidP="00131B19">
      <w:pPr>
        <w:spacing w:line="240" w:lineRule="auto"/>
        <w:rPr>
          <w:szCs w:val="24"/>
        </w:rPr>
      </w:pPr>
    </w:p>
    <w:p w14:paraId="4333FDEE"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Konkurrens i en global och transparent kontext</w:t>
      </w:r>
      <w:r w:rsidRPr="00131B19">
        <w:rPr>
          <w:rFonts w:ascii="OrigGarmnd BT" w:hAnsi="OrigGarmnd BT"/>
          <w:sz w:val="24"/>
          <w:szCs w:val="24"/>
        </w:rPr>
        <w:t xml:space="preserve"> – Genomförandet av strukturreformer för att säkerställa konkurrenskraft och tillväxt prioriteras. Bekämpandet av skattefusk och skattesmitning lyfts också fram. </w:t>
      </w:r>
    </w:p>
    <w:p w14:paraId="3CA16CA0" w14:textId="77777777" w:rsidR="00131B19" w:rsidRPr="00131B19" w:rsidRDefault="00131B19" w:rsidP="00131B19">
      <w:pPr>
        <w:spacing w:line="240" w:lineRule="auto"/>
        <w:rPr>
          <w:szCs w:val="24"/>
        </w:rPr>
      </w:pPr>
    </w:p>
    <w:p w14:paraId="17D115D0"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Hållbar utveckling</w:t>
      </w:r>
      <w:r w:rsidRPr="00131B19">
        <w:rPr>
          <w:rFonts w:ascii="OrigGarmnd BT" w:hAnsi="OrigGarmnd BT"/>
          <w:sz w:val="24"/>
          <w:szCs w:val="24"/>
        </w:rPr>
        <w:t xml:space="preserve"> – Luxemburg prioriterar omställningen till en grön ekonomi med minskade utsläpp av växthusgaser. Hållbar utveckling inom områden som jordbruk och fiske betonas. </w:t>
      </w:r>
    </w:p>
    <w:p w14:paraId="4B3E7E51" w14:textId="77777777" w:rsidR="00131B19" w:rsidRPr="00131B19" w:rsidRDefault="00131B19" w:rsidP="00131B19">
      <w:pPr>
        <w:spacing w:line="240" w:lineRule="auto"/>
        <w:rPr>
          <w:szCs w:val="24"/>
        </w:rPr>
      </w:pPr>
    </w:p>
    <w:p w14:paraId="3780B448" w14:textId="77777777" w:rsidR="00131B19" w:rsidRPr="00131B19" w:rsidRDefault="00131B19" w:rsidP="00131B19">
      <w:pPr>
        <w:pStyle w:val="Liststycke"/>
        <w:numPr>
          <w:ilvl w:val="0"/>
          <w:numId w:val="3"/>
        </w:numPr>
        <w:overflowPunct w:val="0"/>
        <w:autoSpaceDE w:val="0"/>
        <w:autoSpaceDN w:val="0"/>
        <w:adjustRightInd w:val="0"/>
        <w:spacing w:after="0" w:line="240" w:lineRule="auto"/>
        <w:ind w:left="0" w:hanging="357"/>
        <w:textAlignment w:val="baseline"/>
        <w:rPr>
          <w:rFonts w:ascii="OrigGarmnd BT" w:hAnsi="OrigGarmnd BT"/>
          <w:sz w:val="24"/>
          <w:szCs w:val="24"/>
        </w:rPr>
      </w:pPr>
      <w:r w:rsidRPr="00131B19">
        <w:rPr>
          <w:rFonts w:ascii="OrigGarmnd BT" w:hAnsi="OrigGarmnd BT"/>
          <w:i/>
          <w:sz w:val="24"/>
          <w:szCs w:val="24"/>
        </w:rPr>
        <w:t>EU i världen</w:t>
      </w:r>
      <w:r w:rsidRPr="00131B19">
        <w:rPr>
          <w:rFonts w:ascii="OrigGarmnd BT" w:hAnsi="OrigGarmnd BT"/>
          <w:sz w:val="24"/>
          <w:szCs w:val="24"/>
        </w:rPr>
        <w:t xml:space="preserve"> – Ett fördjupat samarbete med EU:s närmaste partners prioriteras och förhandlingar med kandidatländer ses som ett viktigt verktyg för att driva på reformer vid EU:s gränser.</w:t>
      </w:r>
    </w:p>
    <w:p w14:paraId="5F90F33D" w14:textId="77777777" w:rsidR="00CE6B57" w:rsidRPr="00CE6B57" w:rsidRDefault="00CE6B57" w:rsidP="00131B19">
      <w:pPr>
        <w:pStyle w:val="RKnormal"/>
        <w:rPr>
          <w:i/>
        </w:rPr>
      </w:pPr>
    </w:p>
    <w:p w14:paraId="56D05721" w14:textId="77777777" w:rsidR="00CE6B57" w:rsidRDefault="00CE6B57" w:rsidP="00CE6B57">
      <w:pPr>
        <w:pStyle w:val="RKrubrik"/>
      </w:pPr>
      <w:r>
        <w:t>6. Resolutioner, synpunkter och beslut antagna av Europaparlamentet</w:t>
      </w:r>
    </w:p>
    <w:p w14:paraId="11AB8361" w14:textId="77777777" w:rsidR="00CE6B57" w:rsidRDefault="00CE6B57" w:rsidP="00CE6B57">
      <w:pPr>
        <w:pStyle w:val="RKnormal"/>
      </w:pPr>
    </w:p>
    <w:p w14:paraId="7BDBD369" w14:textId="77777777" w:rsidR="00CE6B57" w:rsidRDefault="00CE6B57" w:rsidP="00CE6B57">
      <w:pPr>
        <w:pStyle w:val="RKnormal"/>
        <w:rPr>
          <w:i/>
        </w:rPr>
      </w:pPr>
      <w:r>
        <w:rPr>
          <w:i/>
        </w:rPr>
        <w:t>Informationspunkt</w:t>
      </w:r>
    </w:p>
    <w:p w14:paraId="3B4A65AC" w14:textId="77777777" w:rsidR="00CE6B57" w:rsidRDefault="00CE6B57" w:rsidP="00CE6B57">
      <w:pPr>
        <w:pStyle w:val="RKnormal"/>
        <w:rPr>
          <w:i/>
        </w:rPr>
      </w:pPr>
    </w:p>
    <w:p w14:paraId="302B3AFF" w14:textId="77777777" w:rsidR="00CE6B57" w:rsidRDefault="00CE6B57" w:rsidP="00CE6B57">
      <w:pPr>
        <w:pStyle w:val="RKnormal"/>
      </w:pPr>
      <w:r>
        <w:t>Allmänna rådet avser att notera resolutioner, synpunkter och beslut antagna av Europaparlamentet under sammanträdesperioden den</w:t>
      </w:r>
      <w:r w:rsidR="0063451B">
        <w:t xml:space="preserve"> 6 -9 juli 2015</w:t>
      </w:r>
      <w:r>
        <w:t>. Detta är en standardpunkt på dagordningen.</w:t>
      </w:r>
    </w:p>
    <w:p w14:paraId="0583155E" w14:textId="77777777" w:rsidR="00CE6B57" w:rsidRDefault="00CE6B57">
      <w:pPr>
        <w:pStyle w:val="RKnormal"/>
      </w:pPr>
    </w:p>
    <w:p w14:paraId="10D76AA1" w14:textId="77777777" w:rsidR="0063451B" w:rsidRPr="0063451B" w:rsidRDefault="00CE6B57" w:rsidP="0063451B">
      <w:pPr>
        <w:rPr>
          <w:rFonts w:ascii="Times New Roman" w:hAnsi="Times New Roman"/>
          <w:color w:val="444444"/>
          <w:szCs w:val="24"/>
          <w:lang w:eastAsia="sv-SE"/>
        </w:rPr>
      </w:pPr>
      <w:r>
        <w:tab/>
      </w:r>
    </w:p>
    <w:p w14:paraId="103CA338" w14:textId="77777777" w:rsidR="00FE3810" w:rsidRDefault="00FE3810" w:rsidP="0063451B">
      <w:pPr>
        <w:overflowPunct/>
        <w:autoSpaceDE/>
        <w:autoSpaceDN/>
        <w:adjustRightInd/>
        <w:spacing w:line="240" w:lineRule="auto"/>
        <w:textAlignment w:val="top"/>
        <w:rPr>
          <w:rFonts w:ascii="TradeGothic" w:hAnsi="TradeGothic"/>
          <w:b/>
          <w:bCs/>
          <w:sz w:val="22"/>
          <w:szCs w:val="22"/>
          <w:lang w:eastAsia="sv-SE"/>
        </w:rPr>
      </w:pPr>
      <w:r>
        <w:rPr>
          <w:rFonts w:ascii="TradeGothic" w:hAnsi="TradeGothic"/>
          <w:b/>
          <w:bCs/>
          <w:sz w:val="22"/>
          <w:szCs w:val="22"/>
          <w:lang w:eastAsia="sv-SE"/>
        </w:rPr>
        <w:br w:type="page"/>
      </w:r>
    </w:p>
    <w:p w14:paraId="33224DCC" w14:textId="1E432058" w:rsidR="0063451B" w:rsidRPr="0063451B" w:rsidRDefault="0063451B" w:rsidP="0063451B">
      <w:pPr>
        <w:overflowPunct/>
        <w:autoSpaceDE/>
        <w:autoSpaceDN/>
        <w:adjustRightInd/>
        <w:spacing w:line="240" w:lineRule="auto"/>
        <w:textAlignment w:val="top"/>
        <w:rPr>
          <w:rFonts w:ascii="TradeGothic" w:hAnsi="TradeGothic"/>
          <w:sz w:val="22"/>
          <w:szCs w:val="22"/>
          <w:lang w:eastAsia="sv-SE"/>
        </w:rPr>
      </w:pPr>
      <w:r w:rsidRPr="0063451B">
        <w:rPr>
          <w:rFonts w:ascii="TradeGothic" w:hAnsi="TradeGothic"/>
          <w:b/>
          <w:bCs/>
          <w:sz w:val="22"/>
          <w:szCs w:val="22"/>
          <w:lang w:eastAsia="sv-SE"/>
        </w:rPr>
        <w:t xml:space="preserve">7. </w:t>
      </w:r>
      <w:r w:rsidRPr="0063451B">
        <w:rPr>
          <w:rFonts w:ascii="TradeGothic" w:hAnsi="TradeGothic"/>
          <w:b/>
          <w:bCs/>
          <w:sz w:val="22"/>
          <w:szCs w:val="22"/>
          <w:lang w:eastAsia="sv-SE"/>
        </w:rPr>
        <w:tab/>
        <w:t>Förberedelser inför Europeiska rådet 15-16 oktober 2015</w:t>
      </w:r>
    </w:p>
    <w:p w14:paraId="460F6480" w14:textId="77777777" w:rsidR="0063451B" w:rsidRDefault="0063451B" w:rsidP="0063451B">
      <w:pPr>
        <w:overflowPunct/>
        <w:autoSpaceDE/>
        <w:autoSpaceDN/>
        <w:adjustRightInd/>
        <w:spacing w:line="240" w:lineRule="auto"/>
        <w:textAlignment w:val="top"/>
        <w:rPr>
          <w:szCs w:val="24"/>
          <w:lang w:eastAsia="sv-SE"/>
        </w:rPr>
      </w:pPr>
      <w:r w:rsidRPr="0063451B">
        <w:rPr>
          <w:szCs w:val="24"/>
          <w:lang w:eastAsia="sv-SE"/>
        </w:rPr>
        <w:t>- Utkast till annoterad dagordning</w:t>
      </w:r>
    </w:p>
    <w:p w14:paraId="578F50B9" w14:textId="77777777" w:rsidR="0063451B" w:rsidRDefault="0063451B" w:rsidP="0063451B">
      <w:pPr>
        <w:overflowPunct/>
        <w:autoSpaceDE/>
        <w:autoSpaceDN/>
        <w:adjustRightInd/>
        <w:spacing w:line="240" w:lineRule="auto"/>
        <w:textAlignment w:val="top"/>
        <w:rPr>
          <w:szCs w:val="24"/>
          <w:lang w:eastAsia="sv-SE"/>
        </w:rPr>
      </w:pPr>
    </w:p>
    <w:p w14:paraId="3018BB53" w14:textId="77777777" w:rsidR="0063451B" w:rsidRDefault="0063451B" w:rsidP="0063451B">
      <w:pPr>
        <w:overflowPunct/>
        <w:autoSpaceDE/>
        <w:autoSpaceDN/>
        <w:adjustRightInd/>
        <w:spacing w:line="240" w:lineRule="auto"/>
        <w:textAlignment w:val="top"/>
        <w:rPr>
          <w:i/>
          <w:szCs w:val="24"/>
          <w:lang w:eastAsia="sv-SE"/>
        </w:rPr>
      </w:pPr>
      <w:r>
        <w:rPr>
          <w:i/>
          <w:szCs w:val="24"/>
          <w:lang w:eastAsia="sv-SE"/>
        </w:rPr>
        <w:t>Informationspunkt</w:t>
      </w:r>
    </w:p>
    <w:p w14:paraId="3FD72B21" w14:textId="77777777" w:rsidR="0063451B" w:rsidRDefault="0063451B" w:rsidP="0063451B">
      <w:pPr>
        <w:rPr>
          <w:szCs w:val="24"/>
        </w:rPr>
      </w:pPr>
    </w:p>
    <w:p w14:paraId="3C9E71DF" w14:textId="77777777" w:rsidR="0063451B" w:rsidRPr="0063451B" w:rsidRDefault="0063451B" w:rsidP="0063451B">
      <w:pPr>
        <w:rPr>
          <w:b/>
          <w:szCs w:val="24"/>
        </w:rPr>
      </w:pPr>
      <w:r>
        <w:rPr>
          <w:b/>
          <w:szCs w:val="24"/>
        </w:rPr>
        <w:t>Bakgrund</w:t>
      </w:r>
    </w:p>
    <w:p w14:paraId="25834C88" w14:textId="77777777" w:rsidR="0063451B" w:rsidRDefault="0063451B" w:rsidP="0063451B">
      <w:pPr>
        <w:rPr>
          <w:szCs w:val="24"/>
        </w:rPr>
      </w:pPr>
      <w:r>
        <w:rPr>
          <w:szCs w:val="24"/>
        </w:rPr>
        <w:t xml:space="preserve">Vid mötet kommer utkast till annoterad dagordning inför mötet i Europeiska rådet den 15-16 oktober att presenteras. Dagordningen har ännu inte delgivits medlemsländerna. </w:t>
      </w:r>
    </w:p>
    <w:p w14:paraId="391BD30D" w14:textId="77777777" w:rsidR="0063451B" w:rsidRDefault="0063451B" w:rsidP="0063451B">
      <w:pPr>
        <w:rPr>
          <w:szCs w:val="24"/>
        </w:rPr>
      </w:pPr>
    </w:p>
    <w:p w14:paraId="7B7C64CC" w14:textId="77777777" w:rsidR="0063451B" w:rsidRPr="007B1EAE" w:rsidRDefault="0063451B" w:rsidP="0063451B">
      <w:pPr>
        <w:rPr>
          <w:szCs w:val="24"/>
        </w:rPr>
      </w:pPr>
      <w:r>
        <w:t xml:space="preserve">Europeiska rådet förväntas diskutera migrationsfrågorna, dels med tanke på den fortsatt dramatiska utvecklingen, dels inför toppmötet om migration mellan EU och Afrika på Malta den 11-12 november. I övrigt aviserades det i slutsatserna från Europeiska rådet i mars 2015 att Europeiska rådet i oktober ska diskutera det södra grannskapet. Det är i övrigt oklart vilka frågor som kommer att stå på dagordningen, eventuellt kan frågan om fördjupning av EMU komma upp vid mötet. </w:t>
      </w:r>
    </w:p>
    <w:p w14:paraId="6E33E676" w14:textId="77777777" w:rsidR="0063451B" w:rsidRPr="0063451B" w:rsidRDefault="0063451B" w:rsidP="0063451B">
      <w:pPr>
        <w:overflowPunct/>
        <w:autoSpaceDE/>
        <w:autoSpaceDN/>
        <w:adjustRightInd/>
        <w:spacing w:line="240" w:lineRule="auto"/>
        <w:textAlignment w:val="top"/>
        <w:rPr>
          <w:i/>
          <w:szCs w:val="24"/>
          <w:lang w:eastAsia="sv-SE"/>
        </w:rPr>
      </w:pPr>
    </w:p>
    <w:p w14:paraId="581D1C8D" w14:textId="77777777" w:rsidR="0063451B" w:rsidRPr="0063451B" w:rsidRDefault="0063451B" w:rsidP="0063451B">
      <w:pPr>
        <w:overflowPunct/>
        <w:autoSpaceDE/>
        <w:autoSpaceDN/>
        <w:adjustRightInd/>
        <w:spacing w:line="240" w:lineRule="auto"/>
        <w:textAlignment w:val="top"/>
        <w:rPr>
          <w:rFonts w:ascii="TradeGothic" w:hAnsi="TradeGothic"/>
          <w:szCs w:val="24"/>
          <w:lang w:eastAsia="sv-SE"/>
        </w:rPr>
      </w:pPr>
    </w:p>
    <w:p w14:paraId="6FDD2569" w14:textId="77777777" w:rsidR="0063451B" w:rsidRPr="0063451B" w:rsidRDefault="0063451B" w:rsidP="0063451B">
      <w:pPr>
        <w:overflowPunct/>
        <w:autoSpaceDE/>
        <w:autoSpaceDN/>
        <w:adjustRightInd/>
        <w:spacing w:line="240" w:lineRule="auto"/>
        <w:textAlignment w:val="top"/>
        <w:rPr>
          <w:rFonts w:ascii="TradeGothic" w:hAnsi="TradeGothic"/>
          <w:sz w:val="22"/>
          <w:szCs w:val="22"/>
          <w:lang w:eastAsia="sv-SE"/>
        </w:rPr>
      </w:pPr>
      <w:r w:rsidRPr="0063451B">
        <w:rPr>
          <w:rFonts w:ascii="TradeGothic" w:hAnsi="TradeGothic"/>
          <w:b/>
          <w:bCs/>
          <w:sz w:val="22"/>
          <w:szCs w:val="22"/>
          <w:lang w:eastAsia="sv-SE"/>
        </w:rPr>
        <w:t xml:space="preserve">8. </w:t>
      </w:r>
      <w:r w:rsidRPr="0063451B">
        <w:rPr>
          <w:rFonts w:ascii="TradeGothic" w:hAnsi="TradeGothic"/>
          <w:b/>
          <w:bCs/>
          <w:sz w:val="22"/>
          <w:szCs w:val="22"/>
          <w:lang w:eastAsia="sv-SE"/>
        </w:rPr>
        <w:tab/>
        <w:t>Årlig programmering -</w:t>
      </w:r>
      <w:r w:rsidRPr="0063451B">
        <w:rPr>
          <w:rFonts w:ascii="Times New Roman" w:hAnsi="Times New Roman"/>
          <w:b/>
          <w:bCs/>
          <w:sz w:val="22"/>
          <w:szCs w:val="22"/>
          <w:lang w:eastAsia="sv-SE"/>
        </w:rPr>
        <w:t> </w:t>
      </w:r>
      <w:r w:rsidRPr="0063451B">
        <w:rPr>
          <w:rFonts w:ascii="TradeGothic" w:hAnsi="TradeGothic"/>
          <w:b/>
          <w:bCs/>
          <w:sz w:val="22"/>
          <w:szCs w:val="22"/>
          <w:lang w:eastAsia="sv-SE"/>
        </w:rPr>
        <w:t>avsiktsf</w:t>
      </w:r>
      <w:r w:rsidRPr="0063451B">
        <w:rPr>
          <w:rFonts w:ascii="TradeGothic" w:hAnsi="TradeGothic" w:cs="TradeGothic"/>
          <w:b/>
          <w:bCs/>
          <w:sz w:val="22"/>
          <w:szCs w:val="22"/>
          <w:lang w:eastAsia="sv-SE"/>
        </w:rPr>
        <w:t>ö</w:t>
      </w:r>
      <w:r w:rsidRPr="0063451B">
        <w:rPr>
          <w:rFonts w:ascii="TradeGothic" w:hAnsi="TradeGothic"/>
          <w:b/>
          <w:bCs/>
          <w:sz w:val="22"/>
          <w:szCs w:val="22"/>
          <w:lang w:eastAsia="sv-SE"/>
        </w:rPr>
        <w:t>rklaring fr</w:t>
      </w:r>
      <w:r w:rsidRPr="0063451B">
        <w:rPr>
          <w:rFonts w:ascii="TradeGothic" w:hAnsi="TradeGothic" w:cs="TradeGothic"/>
          <w:b/>
          <w:bCs/>
          <w:sz w:val="22"/>
          <w:szCs w:val="22"/>
          <w:lang w:eastAsia="sv-SE"/>
        </w:rPr>
        <w:t>å</w:t>
      </w:r>
      <w:r w:rsidRPr="0063451B">
        <w:rPr>
          <w:rFonts w:ascii="TradeGothic" w:hAnsi="TradeGothic"/>
          <w:b/>
          <w:bCs/>
          <w:sz w:val="22"/>
          <w:szCs w:val="22"/>
          <w:lang w:eastAsia="sv-SE"/>
        </w:rPr>
        <w:t xml:space="preserve">n </w:t>
      </w:r>
      <w:r>
        <w:rPr>
          <w:rFonts w:ascii="TradeGothic" w:hAnsi="TradeGothic"/>
          <w:b/>
          <w:bCs/>
          <w:sz w:val="22"/>
          <w:szCs w:val="22"/>
          <w:lang w:eastAsia="sv-SE"/>
        </w:rPr>
        <w:t>kommissionen</w:t>
      </w:r>
      <w:r w:rsidRPr="0063451B">
        <w:rPr>
          <w:rFonts w:ascii="Times New Roman" w:hAnsi="Times New Roman"/>
          <w:b/>
          <w:bCs/>
          <w:sz w:val="22"/>
          <w:szCs w:val="22"/>
          <w:lang w:eastAsia="sv-SE"/>
        </w:rPr>
        <w:t> </w:t>
      </w:r>
    </w:p>
    <w:p w14:paraId="11F12555" w14:textId="77777777" w:rsidR="0063451B" w:rsidRDefault="0063451B" w:rsidP="0063451B">
      <w:pPr>
        <w:overflowPunct/>
        <w:autoSpaceDE/>
        <w:autoSpaceDN/>
        <w:adjustRightInd/>
        <w:spacing w:line="240" w:lineRule="auto"/>
        <w:textAlignment w:val="top"/>
        <w:rPr>
          <w:szCs w:val="24"/>
          <w:lang w:eastAsia="sv-SE"/>
        </w:rPr>
      </w:pPr>
    </w:p>
    <w:p w14:paraId="6B31EED7" w14:textId="77777777" w:rsidR="0063451B" w:rsidRDefault="0063451B" w:rsidP="0063451B">
      <w:pPr>
        <w:overflowPunct/>
        <w:autoSpaceDE/>
        <w:autoSpaceDN/>
        <w:adjustRightInd/>
        <w:spacing w:line="240" w:lineRule="auto"/>
        <w:textAlignment w:val="top"/>
        <w:rPr>
          <w:i/>
          <w:szCs w:val="24"/>
          <w:lang w:eastAsia="sv-SE"/>
        </w:rPr>
      </w:pPr>
      <w:r>
        <w:rPr>
          <w:i/>
          <w:szCs w:val="24"/>
          <w:lang w:eastAsia="sv-SE"/>
        </w:rPr>
        <w:t>Diskussionspunkt</w:t>
      </w:r>
    </w:p>
    <w:p w14:paraId="75A49A73" w14:textId="77777777" w:rsidR="0063451B" w:rsidRDefault="0063451B" w:rsidP="0063451B">
      <w:pPr>
        <w:overflowPunct/>
        <w:autoSpaceDE/>
        <w:autoSpaceDN/>
        <w:adjustRightInd/>
        <w:spacing w:line="240" w:lineRule="auto"/>
        <w:textAlignment w:val="top"/>
        <w:rPr>
          <w:i/>
          <w:szCs w:val="24"/>
          <w:lang w:eastAsia="sv-SE"/>
        </w:rPr>
      </w:pPr>
    </w:p>
    <w:p w14:paraId="46C620A4" w14:textId="77777777" w:rsidR="0063451B" w:rsidRDefault="0063451B" w:rsidP="0063451B">
      <w:pPr>
        <w:rPr>
          <w:b/>
          <w:bCs/>
        </w:rPr>
      </w:pPr>
      <w:r>
        <w:rPr>
          <w:b/>
          <w:bCs/>
        </w:rPr>
        <w:t>Bakgrund</w:t>
      </w:r>
    </w:p>
    <w:p w14:paraId="39DF1EF3" w14:textId="4970FDD4" w:rsidR="00010087" w:rsidRDefault="0063451B" w:rsidP="0063451B">
      <w:r>
        <w:t>Kommissionen presenterar årligen ett arbetsprogram som anger politiska prioriteringar samt de initiativ som kommissionen avser presentera under det kommande året. Arbetsprogrammet väntas antas den 27 oktober. Den 9 september avser kommissionens ordförande Juncker hålla sitt årliga tal i Europaparlamentet om tillståndet i unionen</w:t>
      </w:r>
      <w:r w:rsidR="00856E41">
        <w:t xml:space="preserve">, inklusive </w:t>
      </w:r>
      <w:r>
        <w:t xml:space="preserve">kommissionens intentioner för nästa års arbetsprogram. </w:t>
      </w:r>
      <w:r w:rsidR="00856E41">
        <w:t xml:space="preserve">Rådets input till </w:t>
      </w:r>
      <w:r w:rsidR="00526DB5">
        <w:t xml:space="preserve">kommissonen </w:t>
      </w:r>
      <w:r w:rsidR="00856E41">
        <w:t xml:space="preserve">arbetsprogram sker genom diskussion </w:t>
      </w:r>
      <w:r>
        <w:t xml:space="preserve">i Allmänna rådet den 14 september. </w:t>
      </w:r>
    </w:p>
    <w:p w14:paraId="3FB33548" w14:textId="77777777" w:rsidR="00010087" w:rsidRDefault="00010087" w:rsidP="0063451B"/>
    <w:p w14:paraId="590FDF4D" w14:textId="77777777" w:rsidR="0063451B" w:rsidRDefault="00010087" w:rsidP="0063451B">
      <w:r>
        <w:t xml:space="preserve">I faktaPM 2014/2015:FPM16 påpekade regeringen </w:t>
      </w:r>
      <w:r w:rsidRPr="001708A8">
        <w:t>att flera av de prioriterade områdena</w:t>
      </w:r>
      <w:r>
        <w:t xml:space="preserve"> i kommissionens arbetsprogram för 2015 </w:t>
      </w:r>
      <w:r w:rsidRPr="001708A8">
        <w:t>är centrala och välkomna</w:t>
      </w:r>
      <w:r>
        <w:t>de</w:t>
      </w:r>
      <w:r w:rsidRPr="001708A8">
        <w:t xml:space="preserve"> att dessa i stort följ</w:t>
      </w:r>
      <w:r>
        <w:t>de</w:t>
      </w:r>
      <w:r w:rsidRPr="001708A8">
        <w:t xml:space="preserve"> prioriteringarna i den strategiska dagordningen som Europeiska rådet antog i juni 2014. Som exempel kan nämnas åtgärder för ökad tillväxt och ökad sysselsättning inklusive förslaget till paket för arbetskraftens rörlighet, åtgärder för att stärka den inre marknaden, energifrågor, en framåtsyftande klimatpolitik och EU:s roll som en stark global aktör.</w:t>
      </w:r>
      <w:r>
        <w:t xml:space="preserve"> Regeringen underströk även vikten av att</w:t>
      </w:r>
      <w:r w:rsidRPr="00C37C5D">
        <w:t xml:space="preserve"> behålla strategiskt fokus på den fortsatta utvidgningspolitiken.</w:t>
      </w:r>
    </w:p>
    <w:p w14:paraId="50F66623" w14:textId="77777777" w:rsidR="0063451B" w:rsidRDefault="0063451B" w:rsidP="0063451B"/>
    <w:p w14:paraId="0A7D6A07" w14:textId="77777777" w:rsidR="00FE3810" w:rsidRDefault="00FE3810" w:rsidP="0063451B">
      <w:pPr>
        <w:rPr>
          <w:b/>
        </w:rPr>
      </w:pPr>
      <w:r>
        <w:rPr>
          <w:b/>
        </w:rPr>
        <w:br w:type="page"/>
      </w:r>
    </w:p>
    <w:p w14:paraId="17B92C67" w14:textId="0C433CBA" w:rsidR="0063451B" w:rsidRDefault="0063451B" w:rsidP="0063451B">
      <w:pPr>
        <w:rPr>
          <w:b/>
        </w:rPr>
      </w:pPr>
      <w:r w:rsidRPr="007452F4">
        <w:rPr>
          <w:b/>
        </w:rPr>
        <w:t>Förslag till svensk ståndpunkt</w:t>
      </w:r>
    </w:p>
    <w:p w14:paraId="35E91D2C" w14:textId="77777777" w:rsidR="0063451B" w:rsidRDefault="0063451B" w:rsidP="0063451B">
      <w:r>
        <w:t xml:space="preserve">Regeringen välkomnar att kommissionen årligen tar fram ett arbetsprogram och att rådet involveras på ett tydligare sätt, på ett tidigare stadium än tidigare. Det underlättar medlemsstaternas möjlighet att planera EU-arbetet och bidrar till öppenhet kring EU:s lagstiftningsprocess. </w:t>
      </w:r>
    </w:p>
    <w:p w14:paraId="4B10EBD6" w14:textId="77777777" w:rsidR="0063451B" w:rsidRDefault="0063451B" w:rsidP="0063451B"/>
    <w:p w14:paraId="63345C30" w14:textId="721461AF" w:rsidR="009956B9" w:rsidRDefault="0063451B" w:rsidP="009956B9">
      <w:r>
        <w:t xml:space="preserve">I ljuset av regeringens övergripande prioriteringar för EU-arbetet understryker regeringen vikten av att förslag som aviserats för 2015, bl.a. </w:t>
      </w:r>
      <w:r w:rsidR="00526DB5">
        <w:t xml:space="preserve">gällande EU:s flykting- och migrationspolitik, </w:t>
      </w:r>
      <w:r>
        <w:t>förslag till paket om arbetskraftens rörlighet, cirkulär ekonomi och inremarknadsstrategin för varor och tjänster presenteras i tid och vid behov följs upp i arbetsprogrammet för 2016. Därutöver anser regeringen att kommissionen under 2016 bör presentera ambitiösa förslag där åtgärder på EU-nivå erfordras för att möta de utmaningar EU och dess medlemsländer står inför. Det handlar bl.a. om klimat- och miljöfrågorna, åtgärder för tillväxt och jobbskapande</w:t>
      </w:r>
      <w:r w:rsidR="00C37C5D">
        <w:t>,</w:t>
      </w:r>
      <w:r w:rsidR="00504439">
        <w:t xml:space="preserve"> </w:t>
      </w:r>
      <w:r>
        <w:t xml:space="preserve">att främja en väl fungerande inre marknad med rättvisa </w:t>
      </w:r>
      <w:r w:rsidRPr="00010087">
        <w:rPr>
          <w:szCs w:val="24"/>
        </w:rPr>
        <w:t>villkor.</w:t>
      </w:r>
      <w:r>
        <w:t xml:space="preserve"> </w:t>
      </w:r>
      <w:r w:rsidR="00BE55D0">
        <w:t>Det</w:t>
      </w:r>
      <w:r w:rsidR="00BE55D0" w:rsidRPr="00C37C5D">
        <w:t xml:space="preserve"> </w:t>
      </w:r>
      <w:r w:rsidR="009956B9" w:rsidRPr="00C37C5D">
        <w:t xml:space="preserve">bör </w:t>
      </w:r>
      <w:r w:rsidR="00BE55D0">
        <w:t xml:space="preserve">även </w:t>
      </w:r>
      <w:r w:rsidR="009956B9" w:rsidRPr="00C37C5D">
        <w:t xml:space="preserve">noteras att utvecklingen i </w:t>
      </w:r>
      <w:r w:rsidR="009956B9">
        <w:t>EU:s</w:t>
      </w:r>
      <w:r w:rsidR="009956B9" w:rsidRPr="00C37C5D">
        <w:t xml:space="preserve"> närområde ytterligare förstärk</w:t>
      </w:r>
      <w:r w:rsidR="00BE55D0">
        <w:t>er</w:t>
      </w:r>
      <w:r w:rsidR="009956B9" w:rsidRPr="00C37C5D">
        <w:t xml:space="preserve"> behovet av ett samlat europeiskt svar och att kommissionen har en central roll i att bidra till detta</w:t>
      </w:r>
      <w:r w:rsidR="006D54DE">
        <w:t xml:space="preserve"> </w:t>
      </w:r>
    </w:p>
    <w:p w14:paraId="43BE523B" w14:textId="77777777" w:rsidR="00526DB5" w:rsidRDefault="00526DB5" w:rsidP="009956B9"/>
    <w:p w14:paraId="6AC18968" w14:textId="7EA3EEFD" w:rsidR="0063451B" w:rsidRDefault="0063451B" w:rsidP="009956B9">
      <w:r>
        <w:t xml:space="preserve">Vidare anser regeringen att det är mycket angeläget att jämställdhetsaspekter på ett tydligare sätt </w:t>
      </w:r>
      <w:r w:rsidRPr="008B5F2D">
        <w:t>lyfts fram</w:t>
      </w:r>
      <w:r>
        <w:t xml:space="preserve"> och integreras</w:t>
      </w:r>
      <w:r w:rsidRPr="008B5F2D">
        <w:t xml:space="preserve"> </w:t>
      </w:r>
      <w:r>
        <w:t xml:space="preserve">i </w:t>
      </w:r>
      <w:r w:rsidR="00BE55D0">
        <w:t>de förslag som presenteras</w:t>
      </w:r>
      <w:r w:rsidR="00526DB5">
        <w:t>.</w:t>
      </w:r>
      <w:r>
        <w:t xml:space="preserve"> </w:t>
      </w:r>
    </w:p>
    <w:p w14:paraId="1DC1512C" w14:textId="77777777" w:rsidR="00E94881" w:rsidRDefault="00E94881" w:rsidP="0063451B"/>
    <w:p w14:paraId="1C53B82A" w14:textId="77777777" w:rsidR="00E94881" w:rsidRPr="00E94881" w:rsidRDefault="00E94881" w:rsidP="0063451B">
      <w:pPr>
        <w:rPr>
          <w:rFonts w:ascii="TradeGothic" w:hAnsi="TradeGothic"/>
          <w:b/>
          <w:sz w:val="22"/>
          <w:szCs w:val="22"/>
        </w:rPr>
      </w:pPr>
      <w:r w:rsidRPr="00E94881">
        <w:rPr>
          <w:rFonts w:ascii="TradeGothic" w:hAnsi="TradeGothic"/>
          <w:b/>
          <w:sz w:val="22"/>
          <w:szCs w:val="22"/>
        </w:rPr>
        <w:t xml:space="preserve">9. </w:t>
      </w:r>
      <w:r w:rsidRPr="00E94881">
        <w:rPr>
          <w:rFonts w:ascii="TradeGothic" w:hAnsi="TradeGothic"/>
          <w:b/>
          <w:sz w:val="22"/>
          <w:szCs w:val="22"/>
        </w:rPr>
        <w:tab/>
        <w:t>Övriga frågor</w:t>
      </w:r>
    </w:p>
    <w:p w14:paraId="52CCD90E" w14:textId="77777777" w:rsidR="0063451B" w:rsidRPr="007452F4" w:rsidRDefault="0063451B" w:rsidP="0063451B">
      <w:pPr>
        <w:overflowPunct/>
        <w:autoSpaceDE/>
        <w:autoSpaceDN/>
        <w:adjustRightInd/>
        <w:spacing w:line="240" w:lineRule="auto"/>
        <w:textAlignment w:val="auto"/>
      </w:pPr>
    </w:p>
    <w:p w14:paraId="17AFD7F6" w14:textId="77777777" w:rsidR="00CE6B57" w:rsidRDefault="00CE6B57">
      <w:pPr>
        <w:pStyle w:val="RKrubrik"/>
      </w:pPr>
    </w:p>
    <w:p w14:paraId="4FFCC518" w14:textId="77777777" w:rsidR="00CE6B57" w:rsidRDefault="00CE6B57">
      <w:pPr>
        <w:pStyle w:val="RKnormal"/>
      </w:pPr>
    </w:p>
    <w:p w14:paraId="2F22038F" w14:textId="77777777" w:rsidR="00CE6B57" w:rsidRDefault="00CE6B57">
      <w:pPr>
        <w:pStyle w:val="RKnormal"/>
      </w:pPr>
    </w:p>
    <w:p w14:paraId="46EF569F" w14:textId="77777777" w:rsidR="006E4E11" w:rsidRDefault="006E4E11">
      <w:pPr>
        <w:pStyle w:val="RKrubrik"/>
        <w:spacing w:before="0" w:after="0"/>
      </w:pPr>
    </w:p>
    <w:p w14:paraId="66DAEB26"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CE2E6" w14:textId="77777777" w:rsidR="00AF09E4" w:rsidRDefault="00AF09E4">
      <w:r>
        <w:separator/>
      </w:r>
    </w:p>
  </w:endnote>
  <w:endnote w:type="continuationSeparator" w:id="0">
    <w:p w14:paraId="17292113" w14:textId="77777777" w:rsidR="00AF09E4" w:rsidRDefault="00AF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0564" w14:textId="77777777" w:rsidR="00AF09E4" w:rsidRDefault="00AF09E4">
      <w:r>
        <w:separator/>
      </w:r>
    </w:p>
  </w:footnote>
  <w:footnote w:type="continuationSeparator" w:id="0">
    <w:p w14:paraId="34A84478" w14:textId="77777777" w:rsidR="00AF09E4" w:rsidRDefault="00AF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07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5790">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2F7BB" w14:textId="77777777">
      <w:trPr>
        <w:cantSplit/>
      </w:trPr>
      <w:tc>
        <w:tcPr>
          <w:tcW w:w="3119" w:type="dxa"/>
        </w:tcPr>
        <w:p w14:paraId="2E7172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30D980" w14:textId="77777777" w:rsidR="00E80146" w:rsidRDefault="00E80146">
          <w:pPr>
            <w:pStyle w:val="Sidhuvud"/>
            <w:ind w:right="360"/>
          </w:pPr>
        </w:p>
      </w:tc>
      <w:tc>
        <w:tcPr>
          <w:tcW w:w="1525" w:type="dxa"/>
        </w:tcPr>
        <w:p w14:paraId="5A14E49B" w14:textId="77777777" w:rsidR="00E80146" w:rsidRDefault="00E80146">
          <w:pPr>
            <w:pStyle w:val="Sidhuvud"/>
            <w:ind w:right="360"/>
          </w:pPr>
        </w:p>
      </w:tc>
    </w:tr>
  </w:tbl>
  <w:p w14:paraId="1736B09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9E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5790">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5D7287" w14:textId="77777777">
      <w:trPr>
        <w:cantSplit/>
      </w:trPr>
      <w:tc>
        <w:tcPr>
          <w:tcW w:w="3119" w:type="dxa"/>
        </w:tcPr>
        <w:p w14:paraId="0C1A1C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C324B9" w14:textId="77777777" w:rsidR="00E80146" w:rsidRDefault="00E80146">
          <w:pPr>
            <w:pStyle w:val="Sidhuvud"/>
            <w:ind w:right="360"/>
          </w:pPr>
        </w:p>
      </w:tc>
      <w:tc>
        <w:tcPr>
          <w:tcW w:w="1525" w:type="dxa"/>
        </w:tcPr>
        <w:p w14:paraId="3964B416" w14:textId="77777777" w:rsidR="00E80146" w:rsidRDefault="00E80146">
          <w:pPr>
            <w:pStyle w:val="Sidhuvud"/>
            <w:ind w:right="360"/>
          </w:pPr>
        </w:p>
      </w:tc>
    </w:tr>
  </w:tbl>
  <w:p w14:paraId="06FF8A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E5B4" w14:textId="77777777" w:rsidR="00CE6B57" w:rsidRDefault="00010087">
    <w:pPr>
      <w:framePr w:w="2948" w:h="1321" w:hRule="exact" w:wrap="notBeside" w:vAnchor="page" w:hAnchor="page" w:x="1362" w:y="653"/>
    </w:pPr>
    <w:r>
      <w:rPr>
        <w:noProof/>
        <w:lang w:eastAsia="sv-SE"/>
      </w:rPr>
      <w:drawing>
        <wp:inline distT="0" distB="0" distL="0" distR="0" wp14:anchorId="05ECE15E" wp14:editId="6B8E94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E0E4D6" w14:textId="77777777" w:rsidR="00E80146" w:rsidRDefault="00E80146">
    <w:pPr>
      <w:pStyle w:val="RKrubrik"/>
      <w:keepNext w:val="0"/>
      <w:tabs>
        <w:tab w:val="clear" w:pos="1134"/>
        <w:tab w:val="clear" w:pos="2835"/>
      </w:tabs>
      <w:spacing w:before="0" w:after="0" w:line="320" w:lineRule="atLeast"/>
      <w:rPr>
        <w:bCs/>
      </w:rPr>
    </w:pPr>
  </w:p>
  <w:p w14:paraId="0FB7B34C" w14:textId="77777777" w:rsidR="00E80146" w:rsidRDefault="00E80146">
    <w:pPr>
      <w:rPr>
        <w:rFonts w:ascii="TradeGothic" w:hAnsi="TradeGothic"/>
        <w:b/>
        <w:bCs/>
        <w:spacing w:val="12"/>
        <w:sz w:val="22"/>
      </w:rPr>
    </w:pPr>
  </w:p>
  <w:p w14:paraId="15661E03" w14:textId="77777777" w:rsidR="00E80146" w:rsidRDefault="00E80146">
    <w:pPr>
      <w:pStyle w:val="RKrubrik"/>
      <w:keepNext w:val="0"/>
      <w:tabs>
        <w:tab w:val="clear" w:pos="1134"/>
        <w:tab w:val="clear" w:pos="2835"/>
      </w:tabs>
      <w:spacing w:before="0" w:after="0" w:line="320" w:lineRule="atLeast"/>
      <w:rPr>
        <w:bCs/>
      </w:rPr>
    </w:pPr>
  </w:p>
  <w:p w14:paraId="099A23C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 w15:restartNumberingAfterBreak="0">
    <w:nsid w:val="545B7BDF"/>
    <w:multiLevelType w:val="hybridMultilevel"/>
    <w:tmpl w:val="CC4E614A"/>
    <w:lvl w:ilvl="0" w:tplc="041D000F">
      <w:start w:val="1"/>
      <w:numFmt w:val="decimal"/>
      <w:lvlText w:val="%1."/>
      <w:lvlJc w:val="left"/>
      <w:pPr>
        <w:ind w:left="2007" w:hanging="360"/>
      </w:pPr>
      <w:rPr>
        <w:rFonts w:hint="default"/>
      </w:rPr>
    </w:lvl>
    <w:lvl w:ilvl="1" w:tplc="041D0003" w:tentative="1">
      <w:start w:val="1"/>
      <w:numFmt w:val="bullet"/>
      <w:lvlText w:val="o"/>
      <w:lvlJc w:val="left"/>
      <w:pPr>
        <w:ind w:left="2727" w:hanging="360"/>
      </w:pPr>
      <w:rPr>
        <w:rFonts w:ascii="Courier New" w:hAnsi="Courier New" w:cs="Courier New" w:hint="default"/>
      </w:rPr>
    </w:lvl>
    <w:lvl w:ilvl="2" w:tplc="041D0005" w:tentative="1">
      <w:start w:val="1"/>
      <w:numFmt w:val="bullet"/>
      <w:lvlText w:val=""/>
      <w:lvlJc w:val="left"/>
      <w:pPr>
        <w:ind w:left="3447" w:hanging="360"/>
      </w:pPr>
      <w:rPr>
        <w:rFonts w:ascii="Wingdings" w:hAnsi="Wingdings" w:hint="default"/>
      </w:rPr>
    </w:lvl>
    <w:lvl w:ilvl="3" w:tplc="041D0001" w:tentative="1">
      <w:start w:val="1"/>
      <w:numFmt w:val="bullet"/>
      <w:lvlText w:val=""/>
      <w:lvlJc w:val="left"/>
      <w:pPr>
        <w:ind w:left="4167" w:hanging="360"/>
      </w:pPr>
      <w:rPr>
        <w:rFonts w:ascii="Symbol" w:hAnsi="Symbol" w:hint="default"/>
      </w:rPr>
    </w:lvl>
    <w:lvl w:ilvl="4" w:tplc="041D0003" w:tentative="1">
      <w:start w:val="1"/>
      <w:numFmt w:val="bullet"/>
      <w:lvlText w:val="o"/>
      <w:lvlJc w:val="left"/>
      <w:pPr>
        <w:ind w:left="4887" w:hanging="360"/>
      </w:pPr>
      <w:rPr>
        <w:rFonts w:ascii="Courier New" w:hAnsi="Courier New" w:cs="Courier New" w:hint="default"/>
      </w:rPr>
    </w:lvl>
    <w:lvl w:ilvl="5" w:tplc="041D0005" w:tentative="1">
      <w:start w:val="1"/>
      <w:numFmt w:val="bullet"/>
      <w:lvlText w:val=""/>
      <w:lvlJc w:val="left"/>
      <w:pPr>
        <w:ind w:left="5607" w:hanging="360"/>
      </w:pPr>
      <w:rPr>
        <w:rFonts w:ascii="Wingdings" w:hAnsi="Wingdings" w:hint="default"/>
      </w:rPr>
    </w:lvl>
    <w:lvl w:ilvl="6" w:tplc="041D0001" w:tentative="1">
      <w:start w:val="1"/>
      <w:numFmt w:val="bullet"/>
      <w:lvlText w:val=""/>
      <w:lvlJc w:val="left"/>
      <w:pPr>
        <w:ind w:left="6327" w:hanging="360"/>
      </w:pPr>
      <w:rPr>
        <w:rFonts w:ascii="Symbol" w:hAnsi="Symbol" w:hint="default"/>
      </w:rPr>
    </w:lvl>
    <w:lvl w:ilvl="7" w:tplc="041D0003" w:tentative="1">
      <w:start w:val="1"/>
      <w:numFmt w:val="bullet"/>
      <w:lvlText w:val="o"/>
      <w:lvlJc w:val="left"/>
      <w:pPr>
        <w:ind w:left="7047" w:hanging="360"/>
      </w:pPr>
      <w:rPr>
        <w:rFonts w:ascii="Courier New" w:hAnsi="Courier New" w:cs="Courier New" w:hint="default"/>
      </w:rPr>
    </w:lvl>
    <w:lvl w:ilvl="8" w:tplc="041D0005" w:tentative="1">
      <w:start w:val="1"/>
      <w:numFmt w:val="bullet"/>
      <w:lvlText w:val=""/>
      <w:lvlJc w:val="left"/>
      <w:pPr>
        <w:ind w:left="7767" w:hanging="360"/>
      </w:pPr>
      <w:rPr>
        <w:rFonts w:ascii="Wingdings" w:hAnsi="Wingdings" w:hint="default"/>
      </w:rPr>
    </w:lvl>
  </w:abstractNum>
  <w:abstractNum w:abstractNumId="2"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CE6B57"/>
    <w:rsid w:val="00010087"/>
    <w:rsid w:val="00045D2D"/>
    <w:rsid w:val="000A4E4C"/>
    <w:rsid w:val="001210FB"/>
    <w:rsid w:val="001315DE"/>
    <w:rsid w:val="00131B19"/>
    <w:rsid w:val="00150384"/>
    <w:rsid w:val="00160901"/>
    <w:rsid w:val="001805B7"/>
    <w:rsid w:val="0031572B"/>
    <w:rsid w:val="00367B1C"/>
    <w:rsid w:val="004A328D"/>
    <w:rsid w:val="00504439"/>
    <w:rsid w:val="00526DB5"/>
    <w:rsid w:val="0058762B"/>
    <w:rsid w:val="005F5790"/>
    <w:rsid w:val="0063451B"/>
    <w:rsid w:val="00674AC8"/>
    <w:rsid w:val="006D54DE"/>
    <w:rsid w:val="006E4E11"/>
    <w:rsid w:val="007242A3"/>
    <w:rsid w:val="007A6855"/>
    <w:rsid w:val="007C765C"/>
    <w:rsid w:val="007D4B70"/>
    <w:rsid w:val="00856E41"/>
    <w:rsid w:val="0092027A"/>
    <w:rsid w:val="00955E31"/>
    <w:rsid w:val="00992E72"/>
    <w:rsid w:val="009956B9"/>
    <w:rsid w:val="00A2619E"/>
    <w:rsid w:val="00AF09E4"/>
    <w:rsid w:val="00AF26D1"/>
    <w:rsid w:val="00BE55D0"/>
    <w:rsid w:val="00C37C5D"/>
    <w:rsid w:val="00CC48B8"/>
    <w:rsid w:val="00CE6B57"/>
    <w:rsid w:val="00D133D7"/>
    <w:rsid w:val="00E80146"/>
    <w:rsid w:val="00E904D0"/>
    <w:rsid w:val="00E94881"/>
    <w:rsid w:val="00EC25F9"/>
    <w:rsid w:val="00ED583F"/>
    <w:rsid w:val="00FE3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61290"/>
  <w15:docId w15:val="{56B7C1D8-9073-423C-B419-26B7A429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04719">
      <w:bodyDiv w:val="1"/>
      <w:marLeft w:val="0"/>
      <w:marRight w:val="0"/>
      <w:marTop w:val="0"/>
      <w:marBottom w:val="0"/>
      <w:divBdr>
        <w:top w:val="none" w:sz="0" w:space="0" w:color="auto"/>
        <w:left w:val="none" w:sz="0" w:space="0" w:color="auto"/>
        <w:bottom w:val="none" w:sz="0" w:space="0" w:color="auto"/>
        <w:right w:val="none" w:sz="0" w:space="0" w:color="auto"/>
      </w:divBdr>
      <w:divsChild>
        <w:div w:id="75132151">
          <w:marLeft w:val="0"/>
          <w:marRight w:val="0"/>
          <w:marTop w:val="0"/>
          <w:marBottom w:val="0"/>
          <w:divBdr>
            <w:top w:val="none" w:sz="0" w:space="0" w:color="auto"/>
            <w:left w:val="none" w:sz="0" w:space="0" w:color="auto"/>
            <w:bottom w:val="none" w:sz="0" w:space="0" w:color="auto"/>
            <w:right w:val="none" w:sz="0" w:space="0" w:color="auto"/>
          </w:divBdr>
          <w:divsChild>
            <w:div w:id="747459113">
              <w:marLeft w:val="0"/>
              <w:marRight w:val="0"/>
              <w:marTop w:val="0"/>
              <w:marBottom w:val="0"/>
              <w:divBdr>
                <w:top w:val="none" w:sz="0" w:space="0" w:color="auto"/>
                <w:left w:val="none" w:sz="0" w:space="0" w:color="auto"/>
                <w:bottom w:val="none" w:sz="0" w:space="0" w:color="auto"/>
                <w:right w:val="none" w:sz="0" w:space="0" w:color="auto"/>
              </w:divBdr>
              <w:divsChild>
                <w:div w:id="1399547886">
                  <w:marLeft w:val="0"/>
                  <w:marRight w:val="0"/>
                  <w:marTop w:val="0"/>
                  <w:marBottom w:val="0"/>
                  <w:divBdr>
                    <w:top w:val="none" w:sz="0" w:space="0" w:color="auto"/>
                    <w:left w:val="none" w:sz="0" w:space="0" w:color="auto"/>
                    <w:bottom w:val="none" w:sz="0" w:space="0" w:color="auto"/>
                    <w:right w:val="none" w:sz="0" w:space="0" w:color="auto"/>
                  </w:divBdr>
                  <w:divsChild>
                    <w:div w:id="747653394">
                      <w:marLeft w:val="2325"/>
                      <w:marRight w:val="0"/>
                      <w:marTop w:val="0"/>
                      <w:marBottom w:val="0"/>
                      <w:divBdr>
                        <w:top w:val="none" w:sz="0" w:space="0" w:color="auto"/>
                        <w:left w:val="none" w:sz="0" w:space="0" w:color="auto"/>
                        <w:bottom w:val="none" w:sz="0" w:space="0" w:color="auto"/>
                        <w:right w:val="none" w:sz="0" w:space="0" w:color="auto"/>
                      </w:divBdr>
                      <w:divsChild>
                        <w:div w:id="1663847861">
                          <w:marLeft w:val="0"/>
                          <w:marRight w:val="0"/>
                          <w:marTop w:val="0"/>
                          <w:marBottom w:val="0"/>
                          <w:divBdr>
                            <w:top w:val="none" w:sz="0" w:space="0" w:color="auto"/>
                            <w:left w:val="none" w:sz="0" w:space="0" w:color="auto"/>
                            <w:bottom w:val="none" w:sz="0" w:space="0" w:color="auto"/>
                            <w:right w:val="none" w:sz="0" w:space="0" w:color="auto"/>
                          </w:divBdr>
                          <w:divsChild>
                            <w:div w:id="816145487">
                              <w:marLeft w:val="0"/>
                              <w:marRight w:val="0"/>
                              <w:marTop w:val="0"/>
                              <w:marBottom w:val="0"/>
                              <w:divBdr>
                                <w:top w:val="none" w:sz="0" w:space="0" w:color="auto"/>
                                <w:left w:val="none" w:sz="0" w:space="0" w:color="auto"/>
                                <w:bottom w:val="none" w:sz="0" w:space="0" w:color="auto"/>
                                <w:right w:val="none" w:sz="0" w:space="0" w:color="auto"/>
                              </w:divBdr>
                              <w:divsChild>
                                <w:div w:id="50660340">
                                  <w:marLeft w:val="0"/>
                                  <w:marRight w:val="0"/>
                                  <w:marTop w:val="0"/>
                                  <w:marBottom w:val="0"/>
                                  <w:divBdr>
                                    <w:top w:val="none" w:sz="0" w:space="0" w:color="auto"/>
                                    <w:left w:val="none" w:sz="0" w:space="0" w:color="auto"/>
                                    <w:bottom w:val="none" w:sz="0" w:space="0" w:color="auto"/>
                                    <w:right w:val="none" w:sz="0" w:space="0" w:color="auto"/>
                                  </w:divBdr>
                                  <w:divsChild>
                                    <w:div w:id="200021621">
                                      <w:marLeft w:val="0"/>
                                      <w:marRight w:val="0"/>
                                      <w:marTop w:val="0"/>
                                      <w:marBottom w:val="0"/>
                                      <w:divBdr>
                                        <w:top w:val="none" w:sz="0" w:space="0" w:color="auto"/>
                                        <w:left w:val="none" w:sz="0" w:space="0" w:color="auto"/>
                                        <w:bottom w:val="none" w:sz="0" w:space="0" w:color="auto"/>
                                        <w:right w:val="none" w:sz="0" w:space="0" w:color="auto"/>
                                      </w:divBdr>
                                      <w:divsChild>
                                        <w:div w:id="1024482945">
                                          <w:marLeft w:val="0"/>
                                          <w:marRight w:val="0"/>
                                          <w:marTop w:val="0"/>
                                          <w:marBottom w:val="0"/>
                                          <w:divBdr>
                                            <w:top w:val="none" w:sz="0" w:space="0" w:color="auto"/>
                                            <w:left w:val="none" w:sz="0" w:space="0" w:color="auto"/>
                                            <w:bottom w:val="none" w:sz="0" w:space="0" w:color="auto"/>
                                            <w:right w:val="none" w:sz="0" w:space="0" w:color="auto"/>
                                          </w:divBdr>
                                          <w:divsChild>
                                            <w:div w:id="17155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JE6N4JFJXNNF-9-68890</_dlc_DocId>
    <_dlc_DocIdUrl xmlns="8b66ae41-1ec6-402e-b662-35d1932ca064">
      <Url>http://rkdhs-sb/enhet/EUKansli/_layouts/DocIdRedir.aspx?ID=JE6N4JFJXNNF-9-68890</Url>
      <Description>JE6N4JFJXNNF-9-68890</Description>
    </_dlc_DocIdUrl>
  </documentManagement>
</p:properties>
</file>

<file path=customXml/itemProps1.xml><?xml version="1.0" encoding="utf-8"?>
<ds:datastoreItem xmlns:ds="http://schemas.openxmlformats.org/officeDocument/2006/customXml" ds:itemID="{047814D1-AAD6-4A4C-ABD8-10AB8A5D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FCD7D-707F-43A3-9ED0-E8D5E41A402C}">
  <ds:schemaRefs>
    <ds:schemaRef ds:uri="http://schemas.microsoft.com/sharepoint/events"/>
  </ds:schemaRefs>
</ds:datastoreItem>
</file>

<file path=customXml/itemProps3.xml><?xml version="1.0" encoding="utf-8"?>
<ds:datastoreItem xmlns:ds="http://schemas.openxmlformats.org/officeDocument/2006/customXml" ds:itemID="{1D5B5EFF-A405-4DB2-A5CA-5771476DDFAF}">
  <ds:schemaRefs>
    <ds:schemaRef ds:uri="http://schemas.microsoft.com/office/2006/metadata/customXsn"/>
  </ds:schemaRefs>
</ds:datastoreItem>
</file>

<file path=customXml/itemProps4.xml><?xml version="1.0" encoding="utf-8"?>
<ds:datastoreItem xmlns:ds="http://schemas.openxmlformats.org/officeDocument/2006/customXml" ds:itemID="{FEB6D00C-5C4B-4896-848E-3CD592132D3B}">
  <ds:schemaRefs>
    <ds:schemaRef ds:uri="http://schemas.microsoft.com/sharepoint/v3/contenttype/forms"/>
  </ds:schemaRefs>
</ds:datastoreItem>
</file>

<file path=customXml/itemProps5.xml><?xml version="1.0" encoding="utf-8"?>
<ds:datastoreItem xmlns:ds="http://schemas.openxmlformats.org/officeDocument/2006/customXml" ds:itemID="{C79536D7-A7D4-4A4C-9C9A-0481A22BD1F5}">
  <ds:schemaRefs>
    <ds:schemaRef ds:uri="http://schemas.microsoft.com/sharepoint/v3/contenttype/forms/url"/>
  </ds:schemaRefs>
</ds:datastoreItem>
</file>

<file path=customXml/itemProps6.xml><?xml version="1.0" encoding="utf-8"?>
<ds:datastoreItem xmlns:ds="http://schemas.openxmlformats.org/officeDocument/2006/customXml" ds:itemID="{83CD00A8-0B4A-4121-A5FE-348340ECC59C}">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4969</Characters>
  <Application>Microsoft Office Word</Application>
  <DocSecurity>4</DocSecurity>
  <Lines>207</Lines>
  <Paragraphs>84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Johan Eriksson</cp:lastModifiedBy>
  <cp:revision>2</cp:revision>
  <cp:lastPrinted>2015-09-07T14:12:00Z</cp:lastPrinted>
  <dcterms:created xsi:type="dcterms:W3CDTF">2015-09-07T14:13:00Z</dcterms:created>
  <dcterms:modified xsi:type="dcterms:W3CDTF">2015-09-07T14:13:00Z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646a3d98-aa23-4c65-a5f9-6d061d7a7c63</vt:lpwstr>
  </property>
</Properties>
</file>