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4A1B6C">
        <w:tblPrEx>
          <w:tblCellMar>
            <w:top w:w="0" w:type="dxa"/>
            <w:bottom w:w="0" w:type="dxa"/>
          </w:tblCellMar>
        </w:tblPrEx>
        <w:trPr>
          <w:cantSplit/>
          <w:trHeight w:val="1720"/>
        </w:trPr>
        <w:tc>
          <w:tcPr>
            <w:tcW w:w="6024" w:type="dxa"/>
            <w:gridSpan w:val="2"/>
          </w:tcPr>
          <w:p w:rsidR="00122EF6" w:rsidRPr="004A1B6C" w:rsidRDefault="00122EF6">
            <w:pPr>
              <w:pStyle w:val="HuvudRubrik"/>
            </w:pPr>
            <w:r w:rsidRPr="004A1B6C">
              <w:t>Socialutskottets betänkande</w:t>
            </w:r>
          </w:p>
          <w:p w:rsidR="00122EF6" w:rsidRPr="004A1B6C" w:rsidRDefault="00122EF6">
            <w:pPr>
              <w:pStyle w:val="HuvudRubrikRad2"/>
            </w:pPr>
            <w:bookmarkStart w:id="0" w:name="BetänkandeNr"/>
            <w:bookmarkEnd w:id="0"/>
            <w:r w:rsidRPr="004A1B6C">
              <w:t>2004/05:SoU14</w:t>
            </w:r>
          </w:p>
        </w:tc>
        <w:tc>
          <w:tcPr>
            <w:tcW w:w="1418" w:type="dxa"/>
            <w:tcBorders>
              <w:bottom w:val="nil"/>
            </w:tcBorders>
          </w:tcPr>
          <w:p w:rsidR="00122EF6" w:rsidRPr="004A1B6C" w:rsidRDefault="004A1B6C">
            <w:pPr>
              <w:spacing w:line="230" w:lineRule="auto"/>
              <w:jc w:val="center"/>
            </w:pPr>
            <w:r w:rsidRPr="004A1B6C">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122EF6" w:rsidRPr="004A1B6C" w:rsidRDefault="00122EF6">
            <w:pPr>
              <w:pStyle w:val="Normaltindrag"/>
              <w:jc w:val="center"/>
            </w:pPr>
          </w:p>
          <w:p w:rsidR="00122EF6" w:rsidRPr="004A1B6C" w:rsidRDefault="00122EF6">
            <w:pPr>
              <w:pStyle w:val="StatusSida1"/>
            </w:pPr>
          </w:p>
          <w:p w:rsidR="00122EF6" w:rsidRPr="004A1B6C" w:rsidRDefault="00122EF6">
            <w:pPr>
              <w:pStyle w:val="UtskriftsdatumSida1"/>
              <w:framePr w:wrap="around"/>
            </w:pPr>
          </w:p>
        </w:tc>
      </w:tr>
      <w:tr w:rsidR="00000000" w:rsidRPr="004A1B6C">
        <w:tblPrEx>
          <w:tblCellMar>
            <w:top w:w="0" w:type="dxa"/>
            <w:bottom w:w="0" w:type="dxa"/>
          </w:tblCellMar>
        </w:tblPrEx>
        <w:trPr>
          <w:cantSplit/>
        </w:trPr>
        <w:tc>
          <w:tcPr>
            <w:tcW w:w="6024" w:type="dxa"/>
            <w:gridSpan w:val="2"/>
            <w:tcBorders>
              <w:bottom w:val="single" w:sz="4" w:space="0" w:color="auto"/>
            </w:tcBorders>
          </w:tcPr>
          <w:p w:rsidR="00122EF6" w:rsidRPr="004A1B6C" w:rsidRDefault="00122EF6">
            <w:pPr>
              <w:pStyle w:val="DokumentRubrik"/>
              <w:rPr>
                <w:noProof w:val="0"/>
              </w:rPr>
            </w:pPr>
            <w:bookmarkStart w:id="1" w:name="Huvudrubrik"/>
            <w:bookmarkEnd w:id="1"/>
            <w:r w:rsidRPr="004A1B6C">
              <w:rPr>
                <w:noProof w:val="0"/>
              </w:rPr>
              <w:t>Användning av PKU-biobanken för identifiering av avlidna med anledning av naturkatastrofen i Sydostasien</w:t>
            </w:r>
          </w:p>
        </w:tc>
        <w:tc>
          <w:tcPr>
            <w:tcW w:w="1418" w:type="dxa"/>
            <w:tcBorders>
              <w:bottom w:val="nil"/>
            </w:tcBorders>
          </w:tcPr>
          <w:p w:rsidR="00122EF6" w:rsidRPr="004A1B6C" w:rsidRDefault="00122EF6"/>
        </w:tc>
      </w:tr>
      <w:tr w:rsidR="00000000" w:rsidRPr="004A1B6C">
        <w:tblPrEx>
          <w:tblCellMar>
            <w:top w:w="0" w:type="dxa"/>
            <w:bottom w:w="0" w:type="dxa"/>
          </w:tblCellMar>
        </w:tblPrEx>
        <w:trPr>
          <w:cantSplit/>
          <w:trHeight w:hRule="exact" w:val="360"/>
        </w:trPr>
        <w:tc>
          <w:tcPr>
            <w:tcW w:w="3012" w:type="dxa"/>
          </w:tcPr>
          <w:p w:rsidR="00122EF6" w:rsidRPr="004A1B6C" w:rsidRDefault="00122EF6"/>
        </w:tc>
        <w:tc>
          <w:tcPr>
            <w:tcW w:w="3012" w:type="dxa"/>
          </w:tcPr>
          <w:p w:rsidR="00122EF6" w:rsidRPr="004A1B6C" w:rsidRDefault="00122EF6"/>
        </w:tc>
        <w:tc>
          <w:tcPr>
            <w:tcW w:w="1418" w:type="dxa"/>
          </w:tcPr>
          <w:p w:rsidR="00122EF6" w:rsidRPr="004A1B6C" w:rsidRDefault="00122EF6"/>
        </w:tc>
      </w:tr>
    </w:tbl>
    <w:p w:rsidR="00122EF6" w:rsidRPr="004A1B6C" w:rsidRDefault="00122EF6">
      <w:pPr>
        <w:pStyle w:val="Rubrik1"/>
        <w:spacing w:before="125" w:after="180"/>
        <w:rPr>
          <w:noProof w:val="0"/>
        </w:rPr>
      </w:pPr>
      <w:bookmarkStart w:id="2" w:name="_Toc92793884"/>
      <w:r w:rsidRPr="004A1B6C">
        <w:rPr>
          <w:noProof w:val="0"/>
        </w:rPr>
        <w:t>Sammanfattning</w:t>
      </w:r>
      <w:bookmarkEnd w:id="2"/>
    </w:p>
    <w:p w:rsidR="00122EF6" w:rsidRPr="004A1B6C" w:rsidRDefault="00122EF6">
      <w:bookmarkStart w:id="3" w:name="TextStart"/>
      <w:bookmarkEnd w:id="3"/>
      <w:r w:rsidRPr="004A1B6C">
        <w:t>Socialutskottet föreslår med stöd av bestämmelsen om utskottsinitiativ i 3 kap. 7 § riksdagsordningen en komplettering av 5 kap. lagen (2002:297) om biobanker i hälso- och sjukvården m.m. genom en ny 2 a §.</w:t>
      </w:r>
    </w:p>
    <w:p w:rsidR="00122EF6" w:rsidRPr="004A1B6C" w:rsidRDefault="00122EF6">
      <w:pPr>
        <w:pStyle w:val="Normaltindrag"/>
      </w:pPr>
      <w:r w:rsidRPr="004A1B6C">
        <w:t xml:space="preserve">Socialutskottet har inhämtat Lagrådets yttrande över lagförslaget. </w:t>
      </w:r>
    </w:p>
    <w:p w:rsidR="00122EF6" w:rsidRPr="004A1B6C" w:rsidRDefault="00122EF6">
      <w:r w:rsidRPr="004A1B6C">
        <w:t>I samband med den naturkatastrof som nyligen drabbat Sydostasien har up</w:t>
      </w:r>
      <w:r w:rsidRPr="004A1B6C">
        <w:t>p</w:t>
      </w:r>
      <w:r w:rsidRPr="004A1B6C">
        <w:t>dagats att det finns ett behov av att kunna använda material ur den s.k. PKU-biobanken för att underlätta identifieringen av de många avlidna. Vid denna svåra naturkatastrof har sannolikt ett stort antal personer från Sverige o</w:t>
      </w:r>
      <w:r w:rsidRPr="004A1B6C">
        <w:t>m</w:t>
      </w:r>
      <w:r w:rsidRPr="004A1B6C">
        <w:t>kommit som en direkt följd av den jättevåg, tsunami, som uppkom på grund av en jordbävning under havet i Indiska oceanen. Antalet barn bland de o</w:t>
      </w:r>
      <w:r w:rsidRPr="004A1B6C">
        <w:t>m</w:t>
      </w:r>
      <w:r w:rsidRPr="004A1B6C">
        <w:t>komna bedöms kunna vara relativt stort.</w:t>
      </w:r>
    </w:p>
    <w:p w:rsidR="00122EF6" w:rsidRPr="004A1B6C" w:rsidRDefault="00122EF6">
      <w:pPr>
        <w:pStyle w:val="Normaltindrag"/>
      </w:pPr>
      <w:r w:rsidRPr="004A1B6C">
        <w:t>Socialutskottet har erfarit att identifieringsarbetet i Sydostasien liksom vid andra stora olycko</w:t>
      </w:r>
      <w:r w:rsidRPr="004A1B6C">
        <w:t>r utförs enligt ett internationellt regelsystem. För att göra en identifiering krävs underlag som polisen samlar in genom kontakter med anhöriga och tandläkare. Normalt används tandkort som ett viktigt referen</w:t>
      </w:r>
      <w:r w:rsidRPr="004A1B6C">
        <w:t>s</w:t>
      </w:r>
      <w:r w:rsidRPr="004A1B6C">
        <w:t>material. Uppgifter om en persons tatueringar, ärr och andra kännetecken används också. Det kan enligt uppgift i vissa fall föreligga stora svårigheter att identifiera kropparna efter de omkomna. I många fall måste därför ident</w:t>
      </w:r>
      <w:r w:rsidRPr="004A1B6C">
        <w:t>i</w:t>
      </w:r>
      <w:r w:rsidRPr="004A1B6C">
        <w:t>fiering grundas på uppgifter från tandkort eller DNA-analyser. Identifieri</w:t>
      </w:r>
      <w:r w:rsidRPr="004A1B6C">
        <w:t>ng</w:t>
      </w:r>
      <w:r w:rsidRPr="004A1B6C">
        <w:t>s</w:t>
      </w:r>
      <w:r w:rsidRPr="004A1B6C">
        <w:t>arbetet kan försvåras om många av de avlidna är barn, som i mindre utsträc</w:t>
      </w:r>
      <w:r w:rsidRPr="004A1B6C">
        <w:t>k</w:t>
      </w:r>
      <w:r w:rsidRPr="004A1B6C">
        <w:t>ning än vuxna har tandkort. DNA-prover kommer därför behöva tas på de avlidna.</w:t>
      </w:r>
    </w:p>
    <w:p w:rsidR="00122EF6" w:rsidRPr="004A1B6C" w:rsidRDefault="00122EF6">
      <w:pPr>
        <w:pStyle w:val="Normaltindrag"/>
      </w:pPr>
      <w:r w:rsidRPr="004A1B6C">
        <w:t>Mot denna bakgrund föreslår socialutskottet en ändring i biobankslagen som innebär att vid olyckor eller andra händelser där ett stort antal människor har avlidit, får vävnadsprover ur PKU-biobanken användas även för identifi</w:t>
      </w:r>
      <w:r w:rsidRPr="004A1B6C">
        <w:t>e</w:t>
      </w:r>
      <w:r w:rsidRPr="004A1B6C">
        <w:t>ring av de avlidna. Lagändringen föreslås tidsbegränsas till utgången av juni 2006. Utskottet understryker vikten av att återkomma till lagstiftningsåtgärder såvitt gäller biobankslagen.</w:t>
      </w:r>
    </w:p>
    <w:p w:rsidR="00122EF6" w:rsidRPr="004A1B6C" w:rsidRDefault="00122EF6">
      <w:pPr>
        <w:pStyle w:val="Normaltindrag"/>
      </w:pPr>
    </w:p>
    <w:p w:rsidR="00122EF6" w:rsidRPr="004A1B6C" w:rsidRDefault="00122EF6">
      <w:pPr>
        <w:pStyle w:val="Normaltindrag"/>
        <w:sectPr w:rsidR="00000000" w:rsidRPr="004A1B6C">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122EF6" w:rsidRPr="004A1B6C" w:rsidRDefault="00122EF6">
      <w:pPr>
        <w:pStyle w:val="Rubrik1"/>
        <w:rPr>
          <w:noProof w:val="0"/>
        </w:rPr>
      </w:pPr>
      <w:bookmarkStart w:id="4" w:name="_Toc92793885"/>
      <w:r w:rsidRPr="004A1B6C">
        <w:rPr>
          <w:noProof w:val="0"/>
        </w:rPr>
        <w:lastRenderedPageBreak/>
        <w:t>Innehållsförteckning</w:t>
      </w:r>
      <w:bookmarkEnd w:id="4"/>
    </w:p>
    <w:p w:rsidR="00122EF6" w:rsidRPr="004A1B6C" w:rsidRDefault="00122EF6">
      <w:pPr>
        <w:pStyle w:val="Innehll1"/>
      </w:pPr>
      <w:r w:rsidRPr="004A1B6C">
        <w:t>Sammanfattning</w:t>
      </w:r>
      <w:r w:rsidRPr="004A1B6C">
        <w:tab/>
        <w:t>1</w:t>
      </w:r>
    </w:p>
    <w:p w:rsidR="00122EF6" w:rsidRPr="004A1B6C" w:rsidRDefault="00122EF6">
      <w:pPr>
        <w:pStyle w:val="Innehll1"/>
      </w:pPr>
      <w:r w:rsidRPr="004A1B6C">
        <w:t>Innehållsförteckning</w:t>
      </w:r>
      <w:r w:rsidRPr="004A1B6C">
        <w:tab/>
        <w:t>2</w:t>
      </w:r>
    </w:p>
    <w:p w:rsidR="00122EF6" w:rsidRPr="004A1B6C" w:rsidRDefault="00122EF6">
      <w:pPr>
        <w:pStyle w:val="Innehll1"/>
      </w:pPr>
      <w:r w:rsidRPr="004A1B6C">
        <w:t>Utskottets förslag till riksdagsbeslut</w:t>
      </w:r>
      <w:r w:rsidRPr="004A1B6C">
        <w:tab/>
        <w:t>3</w:t>
      </w:r>
    </w:p>
    <w:p w:rsidR="00122EF6" w:rsidRPr="004A1B6C" w:rsidRDefault="00122EF6">
      <w:pPr>
        <w:pStyle w:val="Innehll1"/>
      </w:pPr>
      <w:r w:rsidRPr="004A1B6C">
        <w:t>Redogörelse för ärendet</w:t>
      </w:r>
      <w:r w:rsidRPr="004A1B6C">
        <w:tab/>
        <w:t>4</w:t>
      </w:r>
    </w:p>
    <w:p w:rsidR="00122EF6" w:rsidRPr="004A1B6C" w:rsidRDefault="00122EF6">
      <w:pPr>
        <w:pStyle w:val="Innehll2"/>
      </w:pPr>
      <w:r w:rsidRPr="004A1B6C">
        <w:t>Ärendet och dess beredning</w:t>
      </w:r>
      <w:r w:rsidRPr="004A1B6C">
        <w:tab/>
        <w:t>4</w:t>
      </w:r>
    </w:p>
    <w:p w:rsidR="00122EF6" w:rsidRPr="004A1B6C" w:rsidRDefault="00122EF6">
      <w:pPr>
        <w:pStyle w:val="Innehll2"/>
      </w:pPr>
      <w:r w:rsidRPr="004A1B6C">
        <w:t>Bakgrund</w:t>
      </w:r>
      <w:r w:rsidRPr="004A1B6C">
        <w:tab/>
        <w:t>4</w:t>
      </w:r>
    </w:p>
    <w:p w:rsidR="00122EF6" w:rsidRPr="004A1B6C" w:rsidRDefault="00122EF6">
      <w:pPr>
        <w:pStyle w:val="Innehll2"/>
      </w:pPr>
      <w:r w:rsidRPr="004A1B6C">
        <w:t>Beskrivning av PKU-biobanken</w:t>
      </w:r>
      <w:r w:rsidRPr="004A1B6C">
        <w:tab/>
        <w:t>4</w:t>
      </w:r>
    </w:p>
    <w:p w:rsidR="00122EF6" w:rsidRPr="004A1B6C" w:rsidRDefault="00122EF6">
      <w:pPr>
        <w:pStyle w:val="Innehll2"/>
      </w:pPr>
      <w:r w:rsidRPr="004A1B6C">
        <w:t>Gällande rätt</w:t>
      </w:r>
      <w:r w:rsidRPr="004A1B6C">
        <w:tab/>
        <w:t>5</w:t>
      </w:r>
    </w:p>
    <w:p w:rsidR="00122EF6" w:rsidRPr="004A1B6C" w:rsidRDefault="00122EF6">
      <w:pPr>
        <w:pStyle w:val="Innehll1"/>
      </w:pPr>
      <w:r w:rsidRPr="004A1B6C">
        <w:t>Utskottets överväganden</w:t>
      </w:r>
      <w:r w:rsidRPr="004A1B6C">
        <w:tab/>
        <w:t>7</w:t>
      </w:r>
    </w:p>
    <w:p w:rsidR="00122EF6" w:rsidRPr="004A1B6C" w:rsidRDefault="00122EF6">
      <w:pPr>
        <w:pStyle w:val="Innehll1"/>
      </w:pPr>
      <w:r w:rsidRPr="004A1B6C">
        <w:t>Bilagor:</w:t>
      </w:r>
    </w:p>
    <w:p w:rsidR="00122EF6" w:rsidRPr="004A1B6C" w:rsidRDefault="00122EF6">
      <w:pPr>
        <w:pStyle w:val="Innehll2"/>
      </w:pPr>
      <w:r w:rsidRPr="004A1B6C">
        <w:t>1. Utskottets lagförslag</w:t>
      </w:r>
      <w:r w:rsidRPr="004A1B6C">
        <w:tab/>
        <w:t>10</w:t>
      </w:r>
    </w:p>
    <w:p w:rsidR="00122EF6" w:rsidRPr="004A1B6C" w:rsidRDefault="00122EF6">
      <w:pPr>
        <w:pStyle w:val="Innehll2"/>
      </w:pPr>
      <w:r w:rsidRPr="004A1B6C">
        <w:t>2. Lagrådets yttrande..</w:t>
      </w:r>
      <w:r w:rsidRPr="004A1B6C">
        <w:tab/>
        <w:t>.11</w:t>
      </w:r>
    </w:p>
    <w:p w:rsidR="00122EF6" w:rsidRPr="004A1B6C" w:rsidRDefault="00122EF6">
      <w:pPr>
        <w:pStyle w:val="Innehll1"/>
      </w:pPr>
    </w:p>
    <w:p w:rsidR="00122EF6" w:rsidRPr="004A1B6C" w:rsidRDefault="00122EF6">
      <w:pPr>
        <w:pStyle w:val="Innehll1"/>
      </w:pPr>
    </w:p>
    <w:p w:rsidR="00122EF6" w:rsidRPr="004A1B6C" w:rsidRDefault="00122EF6"/>
    <w:p w:rsidR="00122EF6" w:rsidRPr="004A1B6C" w:rsidRDefault="00122EF6">
      <w:pPr>
        <w:pStyle w:val="Normaltindrag"/>
        <w:sectPr w:rsidR="00000000" w:rsidRPr="004A1B6C">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122EF6" w:rsidRPr="004A1B6C" w:rsidRDefault="00122EF6">
      <w:pPr>
        <w:pStyle w:val="Rubrik1"/>
        <w:rPr>
          <w:noProof w:val="0"/>
        </w:rPr>
      </w:pPr>
      <w:bookmarkStart w:id="5" w:name="_Toc92793886"/>
      <w:r w:rsidRPr="004A1B6C">
        <w:rPr>
          <w:noProof w:val="0"/>
        </w:rPr>
        <w:t>Utskottets förslag till riksdagsbeslut</w:t>
      </w:r>
      <w:bookmarkEnd w:id="5"/>
    </w:p>
    <w:p w:rsidR="00122EF6" w:rsidRPr="004A1B6C" w:rsidRDefault="00122EF6">
      <w:r w:rsidRPr="004A1B6C">
        <w:t>Riksdagen antar utskottets förslag till lag om ändring i lagen (2002:297) om biobanker i hälso- och sjukvården m.m.</w:t>
      </w:r>
    </w:p>
    <w:p w:rsidR="00122EF6" w:rsidRPr="004A1B6C" w:rsidRDefault="00122EF6">
      <w:pPr>
        <w:pStyle w:val="Normaltindrag"/>
      </w:pPr>
      <w:bookmarkStart w:id="6" w:name="Nästa_Hpunkt"/>
      <w:bookmarkEnd w:id="6"/>
    </w:p>
    <w:p w:rsidR="00122EF6" w:rsidRPr="004A1B6C" w:rsidRDefault="00122EF6">
      <w:pPr>
        <w:pStyle w:val="Normaltindrag"/>
      </w:pPr>
    </w:p>
    <w:p w:rsidR="00122EF6" w:rsidRPr="004A1B6C" w:rsidRDefault="00122EF6">
      <w:pPr>
        <w:pStyle w:val="Utskriftsdatum"/>
      </w:pPr>
      <w:r w:rsidRPr="004A1B6C">
        <w:t xml:space="preserve">Stockholm den 7 januari 2005 </w:t>
      </w:r>
    </w:p>
    <w:p w:rsidR="00122EF6" w:rsidRPr="004A1B6C" w:rsidRDefault="00122EF6">
      <w:r w:rsidRPr="004A1B6C">
        <w:t>På socialutskottets vägnar</w:t>
      </w:r>
    </w:p>
    <w:p w:rsidR="00122EF6" w:rsidRPr="004A1B6C" w:rsidRDefault="00122EF6">
      <w:pPr>
        <w:pStyle w:val="Normaltindrag"/>
      </w:pPr>
    </w:p>
    <w:p w:rsidR="00122EF6" w:rsidRPr="004A1B6C" w:rsidRDefault="00122EF6">
      <w:pPr>
        <w:pStyle w:val="Normaltindrag"/>
      </w:pPr>
    </w:p>
    <w:p w:rsidR="00122EF6" w:rsidRPr="004A1B6C" w:rsidRDefault="00122EF6">
      <w:pPr>
        <w:pStyle w:val="Ordfranden"/>
        <w:spacing w:before="0"/>
        <w:rPr>
          <w:noProof w:val="0"/>
        </w:rPr>
      </w:pPr>
      <w:bookmarkStart w:id="7" w:name="Ordförande"/>
      <w:bookmarkEnd w:id="7"/>
      <w:r w:rsidRPr="004A1B6C">
        <w:rPr>
          <w:noProof w:val="0"/>
        </w:rPr>
        <w:t xml:space="preserve">Ingrid Burman </w:t>
      </w:r>
    </w:p>
    <w:p w:rsidR="00122EF6" w:rsidRPr="004A1B6C" w:rsidRDefault="00122EF6">
      <w:pPr>
        <w:pStyle w:val="Deltagare"/>
        <w:rPr>
          <w:noProof w:val="0"/>
        </w:rPr>
      </w:pPr>
      <w:bookmarkStart w:id="8" w:name="Deltagare"/>
      <w:bookmarkEnd w:id="8"/>
      <w:r w:rsidRPr="004A1B6C">
        <w:rPr>
          <w:noProof w:val="0"/>
        </w:rPr>
        <w:t>Följande ledamöter har deltagit i beslutet: Ingrid Burman (v), Chatrine Pålsson (kd), Kristina Zakrisson (s), Margareta Israelsson (s), Cristina Husmark Pehrsson (m), Kerstin Heinemann (fp), Conny Öhman (s), Lars U Granberg (s), Catherine Persson (s), Marina Pettersson (s), Kenneth Johansson (c), Christer Engelhardt (s), Jan Lindholm (mp), Gunilla Wahlén (v) och Gabriel Romanus (fp).</w:t>
      </w:r>
    </w:p>
    <w:p w:rsidR="00122EF6" w:rsidRPr="004A1B6C" w:rsidRDefault="00122EF6">
      <w:pPr>
        <w:pStyle w:val="Normaltindrag"/>
      </w:pPr>
    </w:p>
    <w:p w:rsidR="00122EF6" w:rsidRPr="004A1B6C" w:rsidRDefault="00122EF6">
      <w:pPr>
        <w:pStyle w:val="Normaltindrag"/>
        <w:sectPr w:rsidR="00000000" w:rsidRPr="004A1B6C">
          <w:headerReference w:type="even" r:id="rId20"/>
          <w:headerReference w:type="default" r:id="rId21"/>
          <w:footerReference w:type="even" r:id="rId22"/>
          <w:footerReference w:type="default" r:id="rId23"/>
          <w:headerReference w:type="first" r:id="rId24"/>
          <w:footerReference w:type="first" r:id="rId25"/>
          <w:pgSz w:w="11906" w:h="16838" w:code="9"/>
          <w:pgMar w:top="907" w:right="4649" w:bottom="4508" w:left="1304" w:header="340" w:footer="227" w:gutter="0"/>
          <w:cols w:space="720"/>
          <w:titlePg/>
        </w:sectPr>
      </w:pPr>
    </w:p>
    <w:p w:rsidR="00122EF6" w:rsidRPr="004A1B6C" w:rsidRDefault="00122EF6">
      <w:pPr>
        <w:pStyle w:val="Rubrik1"/>
        <w:rPr>
          <w:noProof w:val="0"/>
        </w:rPr>
      </w:pPr>
      <w:bookmarkStart w:id="9" w:name="_Toc92793887"/>
      <w:r w:rsidRPr="004A1B6C">
        <w:rPr>
          <w:noProof w:val="0"/>
        </w:rPr>
        <w:t>Redogörelse för ärendet</w:t>
      </w:r>
      <w:bookmarkEnd w:id="9"/>
    </w:p>
    <w:p w:rsidR="00122EF6" w:rsidRPr="004A1B6C" w:rsidRDefault="00122EF6">
      <w:pPr>
        <w:pStyle w:val="Rubrik2"/>
        <w:spacing w:before="125"/>
      </w:pPr>
      <w:bookmarkStart w:id="10" w:name="_Toc92793888"/>
      <w:r w:rsidRPr="004A1B6C">
        <w:t>Ärendet och dess beredning</w:t>
      </w:r>
      <w:bookmarkEnd w:id="10"/>
    </w:p>
    <w:p w:rsidR="00122EF6" w:rsidRPr="004A1B6C" w:rsidRDefault="00122EF6">
      <w:r w:rsidRPr="004A1B6C">
        <w:t>Vid PKU-laboratoriet, Karolinska Universitetssjukhuset, undersöks blodpr</w:t>
      </w:r>
      <w:r w:rsidRPr="004A1B6C">
        <w:t>o</w:t>
      </w:r>
      <w:r w:rsidRPr="004A1B6C">
        <w:t>ver från samtliga nyfödda barn i landet för att tidigt upptäcka och behandla barn med vissa ärftliga ämnesomsättningssjukdomar, nämligen för närvarande fenylketonuri (latin Phenylketonuria, PKU), galaktosemi, kongenital hypot</w:t>
      </w:r>
      <w:r w:rsidRPr="004A1B6C">
        <w:t>y</w:t>
      </w:r>
      <w:r w:rsidRPr="004A1B6C">
        <w:t>reos, kongenital binjurebarkhyperplasi och tyrosinemi. Efter att undersö</w:t>
      </w:r>
      <w:r w:rsidRPr="004A1B6C">
        <w:t>k</w:t>
      </w:r>
      <w:r w:rsidRPr="004A1B6C">
        <w:t>ningarna g</w:t>
      </w:r>
      <w:r w:rsidRPr="004A1B6C">
        <w:t>e</w:t>
      </w:r>
      <w:r w:rsidRPr="004A1B6C">
        <w:t>nomförts sparas kvarvarande prov vid laboratoriet.</w:t>
      </w:r>
    </w:p>
    <w:p w:rsidR="00122EF6" w:rsidRPr="004A1B6C" w:rsidRDefault="00122EF6">
      <w:r w:rsidRPr="004A1B6C">
        <w:t>I samband med den naturkatastrof som nyligen drabbat Sydostasien har up</w:t>
      </w:r>
      <w:r w:rsidRPr="004A1B6C">
        <w:t>p</w:t>
      </w:r>
      <w:r w:rsidRPr="004A1B6C">
        <w:t>dagats att det finns ett behov av att kunna använda</w:t>
      </w:r>
      <w:r w:rsidRPr="004A1B6C">
        <w:rPr>
          <w:b/>
        </w:rPr>
        <w:t xml:space="preserve"> </w:t>
      </w:r>
      <w:r w:rsidRPr="004A1B6C">
        <w:t>material ur</w:t>
      </w:r>
      <w:r w:rsidRPr="004A1B6C">
        <w:rPr>
          <w:b/>
        </w:rPr>
        <w:t xml:space="preserve"> </w:t>
      </w:r>
      <w:r w:rsidRPr="004A1B6C">
        <w:t xml:space="preserve">den s.k. PKU-biobanken för att underlätta identifiering. </w:t>
      </w:r>
    </w:p>
    <w:p w:rsidR="00122EF6" w:rsidRPr="004A1B6C" w:rsidRDefault="00122EF6">
      <w:pPr>
        <w:pStyle w:val="Normaltindrag"/>
      </w:pPr>
      <w:r w:rsidRPr="004A1B6C">
        <w:t>Socialutskottet har erfarit att det, på regeringens initiativ, förevarit öve</w:t>
      </w:r>
      <w:r w:rsidRPr="004A1B6C">
        <w:t>r</w:t>
      </w:r>
      <w:r w:rsidRPr="004A1B6C">
        <w:t>läggningar med representanter för samtliga riksdagspartier för att undersöka möjligheten att underlätta identifiering i visst sammanhang genom en ändring av lagen (2002:297) om biobanker i hälso- och sjukvården m.m., biobanksl</w:t>
      </w:r>
      <w:r w:rsidRPr="004A1B6C">
        <w:t>a</w:t>
      </w:r>
      <w:r w:rsidRPr="004A1B6C">
        <w:t>gen. Enligt uppgift har sådana överläggningar ägt rum bl.a. den 4 och den 5 januari 2005.</w:t>
      </w:r>
    </w:p>
    <w:p w:rsidR="00122EF6" w:rsidRPr="004A1B6C" w:rsidRDefault="00122EF6">
      <w:pPr>
        <w:pStyle w:val="Normaltindrag"/>
      </w:pPr>
      <w:r w:rsidRPr="004A1B6C">
        <w:t>Utskottet har vidare erfarit att det dessförinnan inom Socialdepartementet pågått ett beredningsarbete på området, innefattande bl.a. olika myndighet</w:t>
      </w:r>
      <w:r w:rsidRPr="004A1B6C">
        <w:t>s</w:t>
      </w:r>
      <w:r w:rsidRPr="004A1B6C">
        <w:t xml:space="preserve">kontakter. </w:t>
      </w:r>
    </w:p>
    <w:p w:rsidR="00122EF6" w:rsidRPr="004A1B6C" w:rsidRDefault="00122EF6">
      <w:pPr>
        <w:pStyle w:val="Normaltindrag"/>
      </w:pPr>
      <w:r w:rsidRPr="004A1B6C">
        <w:t>Socialutskottet föreslår nu med stöd av bestämmelsen om utskottsinitiativ i 3 kap. 7 § riksdagsordningen en komplettering av 5 kap. biobankslagen g</w:t>
      </w:r>
      <w:r w:rsidRPr="004A1B6C">
        <w:t>e</w:t>
      </w:r>
      <w:r w:rsidRPr="004A1B6C">
        <w:t>nom en ny 2 a § (bilaga 1).</w:t>
      </w:r>
    </w:p>
    <w:p w:rsidR="00122EF6" w:rsidRPr="004A1B6C" w:rsidRDefault="00122EF6">
      <w:pPr>
        <w:pStyle w:val="Normaltindrag"/>
      </w:pPr>
      <w:r w:rsidRPr="004A1B6C">
        <w:t xml:space="preserve"> Utskottet har inhämtat Lagrådets yttrande över lagförslaget, yttrandet b</w:t>
      </w:r>
      <w:r w:rsidRPr="004A1B6C">
        <w:t>i</w:t>
      </w:r>
      <w:r w:rsidRPr="004A1B6C">
        <w:t xml:space="preserve">fogas (bilaga 2).  </w:t>
      </w:r>
    </w:p>
    <w:p w:rsidR="00122EF6" w:rsidRPr="004A1B6C" w:rsidRDefault="00122EF6">
      <w:pPr>
        <w:pStyle w:val="Normaltindrag"/>
      </w:pPr>
      <w:r w:rsidRPr="004A1B6C">
        <w:t>Utskottet har vid sammanträdet den 7 januari 2005 inhämtat information av chefen för PKU-laboratoriet överläkaren Ulrika von Döbeln.</w:t>
      </w:r>
    </w:p>
    <w:p w:rsidR="00122EF6" w:rsidRPr="004A1B6C" w:rsidRDefault="00122EF6">
      <w:pPr>
        <w:pStyle w:val="Normaltindrag"/>
      </w:pPr>
      <w:r w:rsidRPr="004A1B6C">
        <w:t>Utskottet hemställer att ärendet avgörs efter endast en bordläggning.</w:t>
      </w:r>
    </w:p>
    <w:p w:rsidR="00122EF6" w:rsidRPr="004A1B6C" w:rsidRDefault="00122EF6"/>
    <w:p w:rsidR="00122EF6" w:rsidRPr="004A1B6C" w:rsidRDefault="00122EF6">
      <w:pPr>
        <w:pStyle w:val="Rubrik2"/>
      </w:pPr>
      <w:bookmarkStart w:id="11" w:name="_Toc92793889"/>
      <w:r w:rsidRPr="004A1B6C">
        <w:t>Bakgrund</w:t>
      </w:r>
      <w:bookmarkEnd w:id="11"/>
    </w:p>
    <w:p w:rsidR="00122EF6" w:rsidRPr="004A1B6C" w:rsidRDefault="00122EF6">
      <w:pPr>
        <w:pStyle w:val="Rubrik3"/>
        <w:spacing w:before="235"/>
        <w:rPr>
          <w:noProof w:val="0"/>
        </w:rPr>
      </w:pPr>
      <w:bookmarkStart w:id="12" w:name="_Toc92793890"/>
      <w:r w:rsidRPr="004A1B6C">
        <w:rPr>
          <w:noProof w:val="0"/>
        </w:rPr>
        <w:t>Beskrivning av PKU-biobanken</w:t>
      </w:r>
      <w:bookmarkEnd w:id="12"/>
    </w:p>
    <w:p w:rsidR="00122EF6" w:rsidRPr="004A1B6C" w:rsidRDefault="00122EF6">
      <w:r w:rsidRPr="004A1B6C">
        <w:t>Vid PKU-laboratoriet på Karolinska Universitetssjukhuset undersöks vä</w:t>
      </w:r>
      <w:r w:rsidRPr="004A1B6C">
        <w:t>v</w:t>
      </w:r>
      <w:r w:rsidRPr="004A1B6C">
        <w:t>nadsprover</w:t>
      </w:r>
      <w:r w:rsidRPr="004A1B6C">
        <w:rPr>
          <w:b/>
        </w:rPr>
        <w:t xml:space="preserve"> </w:t>
      </w:r>
      <w:r w:rsidRPr="004A1B6C">
        <w:t>(blodprover) från samtliga nyfödda barn i landet för att tidigt upptäcka och behandla barn med vissa ärftliga ämnesomsättningssjukdomar. Provtagningen görs några dagar efter barnets födelse. Den är frivillig och föregås av information till föräldrarna. Provet består av fyra droppar blod som fått torka in på en filterpappersremsa. Efter att undersökningarna genomförts sparas kvarvarande blodprov i den s.k. PKU-biobanken. Vävnadsproverna förvaras i kylrum och förses med ett löpande identifieringsn</w:t>
      </w:r>
      <w:r w:rsidRPr="004A1B6C">
        <w:t>ummer. Med samma identifieringsnummer förvaras åtskilt i ett särskilt arkiv personup</w:t>
      </w:r>
      <w:r w:rsidRPr="004A1B6C">
        <w:t>p</w:t>
      </w:r>
      <w:r w:rsidRPr="004A1B6C">
        <w:t>gifter om mor och barn. Ett enskilt blodprov kan inte letas fram utan att man först har tillgång till personuppgifterna, som således förvaras på annan plats än blodproverna. Blodprover och patientuppgifter från mitten av 1970-talet och framåt finns i dag förvarade vid PKU-laboratoriet.</w:t>
      </w:r>
    </w:p>
    <w:p w:rsidR="00122EF6" w:rsidRPr="004A1B6C" w:rsidRDefault="00122EF6">
      <w:pPr>
        <w:pStyle w:val="Normaltindrag"/>
      </w:pPr>
      <w:r w:rsidRPr="004A1B6C">
        <w:t>Om föräldrarna skriftligen begär det</w:t>
      </w:r>
      <w:r w:rsidRPr="004A1B6C">
        <w:rPr>
          <w:b/>
        </w:rPr>
        <w:t xml:space="preserve"> </w:t>
      </w:r>
      <w:r w:rsidRPr="004A1B6C">
        <w:t>förstörs provet efter undersökningen. Personuppgifterna bevaras dock al</w:t>
      </w:r>
      <w:r w:rsidRPr="004A1B6C">
        <w:t>l</w:t>
      </w:r>
      <w:r w:rsidRPr="004A1B6C">
        <w:t xml:space="preserve">tid. </w:t>
      </w:r>
    </w:p>
    <w:p w:rsidR="00122EF6" w:rsidRPr="004A1B6C" w:rsidRDefault="00122EF6">
      <w:pPr>
        <w:pStyle w:val="Normaltindrag"/>
      </w:pPr>
      <w:r w:rsidRPr="004A1B6C">
        <w:t>Andra användningsområden av vävnadsproverna än den primära unde</w:t>
      </w:r>
      <w:r w:rsidRPr="004A1B6C">
        <w:t>r</w:t>
      </w:r>
      <w:r w:rsidRPr="004A1B6C">
        <w:t>sökningen för tidig diagnostik och behandling av barn med vissa ämneso</w:t>
      </w:r>
      <w:r w:rsidRPr="004A1B6C">
        <w:t>m</w:t>
      </w:r>
      <w:r w:rsidRPr="004A1B6C">
        <w:t>sättningssjukdomar är retrospektiv screening, retrospektiv diagnostik av andra sjukdomar, uppföljning, utvärdering och kvalitetssäkring, epidemiologiska undersökningar samt klinisk forskning och utveckling inom det område som screeningen avser. Proverna har endast i begränsad omfattning använts för externa fors</w:t>
      </w:r>
      <w:r w:rsidRPr="004A1B6C">
        <w:t>k</w:t>
      </w:r>
      <w:r w:rsidRPr="004A1B6C">
        <w:t>ningsprojekt och undersökningar.</w:t>
      </w:r>
    </w:p>
    <w:p w:rsidR="00122EF6" w:rsidRPr="004A1B6C" w:rsidRDefault="00122EF6">
      <w:pPr>
        <w:pStyle w:val="Normaltindrag"/>
      </w:pPr>
      <w:r w:rsidRPr="004A1B6C">
        <w:t xml:space="preserve">Ytterligare information om PKU-biobanken finns i proposition 2001/02:44 Biobanker inom hälso- </w:t>
      </w:r>
      <w:r w:rsidRPr="004A1B6C">
        <w:t>och sjukvården m.m. samt socialutskottets betänkande 2001/02:SoU9.</w:t>
      </w:r>
    </w:p>
    <w:p w:rsidR="00122EF6" w:rsidRPr="004A1B6C" w:rsidRDefault="00122EF6">
      <w:pPr>
        <w:pStyle w:val="Rubrik3"/>
        <w:rPr>
          <w:noProof w:val="0"/>
        </w:rPr>
      </w:pPr>
      <w:bookmarkStart w:id="13" w:name="_Toc92793891"/>
      <w:r w:rsidRPr="004A1B6C">
        <w:rPr>
          <w:noProof w:val="0"/>
        </w:rPr>
        <w:t>Gällande rätt</w:t>
      </w:r>
      <w:bookmarkEnd w:id="13"/>
    </w:p>
    <w:p w:rsidR="00122EF6" w:rsidRPr="004A1B6C" w:rsidRDefault="00122EF6">
      <w:pPr>
        <w:pStyle w:val="Brdtext"/>
        <w:rPr>
          <w:b w:val="0"/>
        </w:rPr>
      </w:pPr>
      <w:r w:rsidRPr="004A1B6C">
        <w:rPr>
          <w:b w:val="0"/>
        </w:rPr>
        <w:t>PKU-biobankens verksamhet regleras i lagen (2002:297) om biobanker i hälso- och sjukvården m.m.</w:t>
      </w:r>
    </w:p>
    <w:p w:rsidR="00122EF6" w:rsidRPr="004A1B6C" w:rsidRDefault="00122EF6">
      <w:r w:rsidRPr="004A1B6C">
        <w:t xml:space="preserve">För att vävnadsprover från nyfödda barn skall få samlas i PKU-biobanken och för att personuppgifter skall få sparas i det därtill hörande PKU-registret krävs att barnets vårdnadshavare samtycker till överföringen, 5 kap. 7 § första stycket biobankslagen. Innan vårdnadshavaren lämnar sitt samtycke skall han eller hon ha informerats om vilka uppgifter som registreras och om ändamålet med registreringen, 5 kap. 7 § andra stycket samma lag. </w:t>
      </w:r>
    </w:p>
    <w:p w:rsidR="00122EF6" w:rsidRPr="004A1B6C" w:rsidRDefault="00122EF6">
      <w:pPr>
        <w:pStyle w:val="Normaltindrag"/>
      </w:pPr>
      <w:r w:rsidRPr="004A1B6C">
        <w:t>Vävnadsproverna i PKU-biobanken får endast användas för analyser och andra undersökningar för att spåra och diagnostisera ämnesomsättningssju</w:t>
      </w:r>
      <w:r w:rsidRPr="004A1B6C">
        <w:t>k</w:t>
      </w:r>
      <w:r w:rsidRPr="004A1B6C">
        <w:t>domar, retrospektiv diagnostik av andra sjukdomar hos enskilda barn, epid</w:t>
      </w:r>
      <w:r w:rsidRPr="004A1B6C">
        <w:t>e</w:t>
      </w:r>
      <w:r w:rsidRPr="004A1B6C">
        <w:t>miologiska undersökningar, uppföljning, utvärdering och kvalitetssäkring av verksamheten samt klinisk forskning och utveckling. PKU-registret, som innehåller bl.a. personuppgifter om modern och barnet samt uppgifter om</w:t>
      </w:r>
      <w:r w:rsidRPr="004A1B6C">
        <w:rPr>
          <w:b/>
        </w:rPr>
        <w:t xml:space="preserve"> </w:t>
      </w:r>
      <w:r w:rsidRPr="004A1B6C">
        <w:t>graviditeten och barnets hälsotillstånd, får endast användas för de nyssnäm</w:t>
      </w:r>
      <w:r w:rsidRPr="004A1B6C">
        <w:t>n</w:t>
      </w:r>
      <w:r w:rsidRPr="004A1B6C">
        <w:t>da ändamålen eller för framställning av statistik, 5 kap. 5 § biobankslagen.</w:t>
      </w:r>
    </w:p>
    <w:p w:rsidR="00122EF6" w:rsidRPr="004A1B6C" w:rsidRDefault="00122EF6">
      <w:pPr>
        <w:pStyle w:val="Normaltindrag"/>
      </w:pPr>
      <w:r w:rsidRPr="004A1B6C">
        <w:t>Vävnadsproverna i PKU-biobanken får enligt huvudregeln inte använ</w:t>
      </w:r>
      <w:r w:rsidRPr="004A1B6C">
        <w:t>das för något annat ändamål än som omfattas av tidigare information och sa</w:t>
      </w:r>
      <w:r w:rsidRPr="004A1B6C">
        <w:t>m</w:t>
      </w:r>
      <w:r w:rsidRPr="004A1B6C">
        <w:t>tycke utan att den som lämnat samtycket, dvs. vårdnadshavaren eller vår</w:t>
      </w:r>
      <w:r w:rsidRPr="004A1B6C">
        <w:t>d</w:t>
      </w:r>
      <w:r w:rsidRPr="004A1B6C">
        <w:t>nadshavarna, informerats om och samtyckt till det nya ändamålet, 3 kap. 5 § första stycket biobankslagen. Om den som lämnat samtycket har avlidit gäller i stället att vävnadsproverna får användas för ett nytt ändamål om den avli</w:t>
      </w:r>
      <w:r w:rsidRPr="004A1B6C">
        <w:t>d</w:t>
      </w:r>
      <w:r w:rsidRPr="004A1B6C">
        <w:t xml:space="preserve">nes närmaste anhöriga har informerats om det nya ändamålet och efter skälig betänketid inte har motsatt sig det nya ändamålet, 3 kap. 5 </w:t>
      </w:r>
      <w:r w:rsidRPr="004A1B6C">
        <w:t xml:space="preserve">§ andra stycket biobankslagen. </w:t>
      </w:r>
    </w:p>
    <w:p w:rsidR="00122EF6" w:rsidRPr="004A1B6C" w:rsidRDefault="00122EF6">
      <w:pPr>
        <w:pStyle w:val="Normaltindrag"/>
      </w:pPr>
      <w:r w:rsidRPr="004A1B6C">
        <w:t>I biobankslagens fjärde kapitel finns bestämmelser om under vilka föru</w:t>
      </w:r>
      <w:r w:rsidRPr="004A1B6C">
        <w:t>t</w:t>
      </w:r>
      <w:r w:rsidRPr="004A1B6C">
        <w:t>sättningar och på vilket sätt vävnadsprover ur PKU-biobanken och andra biobanker får lämnas ut. Regeringen har beslutat att det är Stockholms läns landsting som är ansvarigt för PKU-biobanken (förordningen [2002:746] om biobanker i hälso- och sjukvården m.m.). Vävnadsprover i en biobank kan enligt 4 kap. 3 § andra stycket samma lag inte lämnas ut till en mottagare i annat land för annat än forskningsändamål. För att vävnadsprover över huvud taget skall lämnas ut skall dessa, om inte annat beslutas, vara av</w:t>
      </w:r>
      <w:r w:rsidRPr="004A1B6C">
        <w:t>identifierade eller kodade. Kodnycklarna skall förvaras hos vårdgivaren som förvarar vä</w:t>
      </w:r>
      <w:r w:rsidRPr="004A1B6C">
        <w:t>v</w:t>
      </w:r>
      <w:r w:rsidRPr="004A1B6C">
        <w:t>nadsproverna, 4 kap. 4 § biobankslagen. Om en provgivares personuppgifter lämnas ut samtidigt som ett kodat vävnadsprov från denne, skall de lämnas ut på ett sådant sätt att personuppgifterna inte kan kopplas samman med vä</w:t>
      </w:r>
      <w:r w:rsidRPr="004A1B6C">
        <w:t>v</w:t>
      </w:r>
      <w:r w:rsidRPr="004A1B6C">
        <w:t>nadsprovet, 4 kap. 10 § biobankslagen. En ansökan om att få bryta en kod för att få tillgång till personuppgifter om en enskild provgivare skall behandlas i samma ordning som en ansökan om att få tillg</w:t>
      </w:r>
      <w:r w:rsidRPr="004A1B6C">
        <w:t>ång till prover i en biobank, 4 kap. 4 § tredje stycket biobankslagen. Utöver detta får med de berörda enski</w:t>
      </w:r>
      <w:r w:rsidRPr="004A1B6C">
        <w:t>l</w:t>
      </w:r>
      <w:r w:rsidRPr="004A1B6C">
        <w:t>da vårdgivarnas samtycke under vissa förutsättningar vävnadsprover utlämnas inom eller utom Sverige till vårdgivare för vård och behandling, till fors</w:t>
      </w:r>
      <w:r w:rsidRPr="004A1B6C">
        <w:t>k</w:t>
      </w:r>
      <w:r w:rsidRPr="004A1B6C">
        <w:t>ningsenheter för forskning eller till bolag för analyser i samband med kliniska prövningar av läkemedel eller medicinte</w:t>
      </w:r>
      <w:r w:rsidRPr="004A1B6C">
        <w:t>k</w:t>
      </w:r>
      <w:r w:rsidRPr="004A1B6C">
        <w:t>niska produkter.</w:t>
      </w:r>
    </w:p>
    <w:p w:rsidR="00122EF6" w:rsidRPr="004A1B6C" w:rsidRDefault="00122EF6">
      <w:pPr>
        <w:pStyle w:val="Normaltindrag"/>
      </w:pPr>
      <w:r w:rsidRPr="004A1B6C">
        <w:t>Därtill gäller att PKU-registret innehållande personuppgifter inom den o</w:t>
      </w:r>
      <w:r w:rsidRPr="004A1B6C">
        <w:t>f</w:t>
      </w:r>
      <w:r w:rsidRPr="004A1B6C">
        <w:t>fentliga vården är allmänna handlingar enligt 2 kap. tryckfrihetsförordningen och därför omfattas av principerna om offentlighet och sekretess. Enligt 7 kap. 42 § första stycket sekretesslagen (1980:100) gäller sekretess i ver</w:t>
      </w:r>
      <w:r w:rsidRPr="004A1B6C">
        <w:t>k</w:t>
      </w:r>
      <w:r w:rsidRPr="004A1B6C">
        <w:t>samhet som avser screening av prover från nyfödda barn för vissa ämneso</w:t>
      </w:r>
      <w:r w:rsidRPr="004A1B6C">
        <w:t>m</w:t>
      </w:r>
      <w:r w:rsidRPr="004A1B6C">
        <w:t>sättningssjukdomar (PKU) och förande av eller uttag ur PKU-registret för uppgift om enskilds hälsotillstånd eller andra personliga förhållanden, om det inte står klart att uppgiften kan röjas utan att den enskild</w:t>
      </w:r>
      <w:r w:rsidRPr="004A1B6C">
        <w:t xml:space="preserve">e eller någon honom eller henne närstående lider men. Enligt andra stycket i samma paragraf gäller sekretessen i fråga om uppgift i allmän handling i högst sjuttio år. </w:t>
      </w:r>
    </w:p>
    <w:p w:rsidR="00122EF6" w:rsidRPr="004A1B6C" w:rsidRDefault="00122EF6">
      <w:r w:rsidRPr="004A1B6C">
        <w:t>De personuppgifter som finns i PKU-registret och andra biobanksregister omfattas även av bestämmelserna i personuppgiftslagen (1998:204). Enligt 2 kap. 4 § biobankslagen har dock 5 kap. biobankslagen om PKU-registret företräde framför bestämmelser i annan lag.</w:t>
      </w:r>
    </w:p>
    <w:p w:rsidR="00122EF6" w:rsidRPr="004A1B6C" w:rsidRDefault="00122EF6"/>
    <w:p w:rsidR="00122EF6" w:rsidRPr="004A1B6C" w:rsidRDefault="00122EF6"/>
    <w:p w:rsidR="00122EF6" w:rsidRPr="004A1B6C" w:rsidRDefault="00122EF6"/>
    <w:p w:rsidR="00122EF6" w:rsidRPr="004A1B6C" w:rsidRDefault="00122EF6">
      <w:pPr>
        <w:pStyle w:val="Normaltindrag"/>
        <w:sectPr w:rsidR="00000000" w:rsidRPr="004A1B6C">
          <w:headerReference w:type="even" r:id="rId26"/>
          <w:headerReference w:type="default" r:id="rId27"/>
          <w:footerReference w:type="even" r:id="rId28"/>
          <w:footerReference w:type="default" r:id="rId29"/>
          <w:headerReference w:type="first" r:id="rId30"/>
          <w:footerReference w:type="first" r:id="rId31"/>
          <w:pgSz w:w="11906" w:h="16838" w:code="9"/>
          <w:pgMar w:top="907" w:right="4649" w:bottom="4508" w:left="1304" w:header="340" w:footer="227" w:gutter="0"/>
          <w:cols w:space="720"/>
          <w:titlePg/>
        </w:sectPr>
      </w:pPr>
    </w:p>
    <w:p w:rsidR="00122EF6" w:rsidRPr="004A1B6C" w:rsidRDefault="00122EF6">
      <w:pPr>
        <w:pStyle w:val="Rubrik1"/>
        <w:rPr>
          <w:noProof w:val="0"/>
        </w:rPr>
      </w:pPr>
      <w:bookmarkStart w:id="14" w:name="_Toc92793892"/>
      <w:r w:rsidRPr="004A1B6C">
        <w:rPr>
          <w:noProof w:val="0"/>
        </w:rPr>
        <w:t>Utskottets överväganden</w:t>
      </w:r>
      <w:bookmarkEnd w:id="14"/>
    </w:p>
    <w:p w:rsidR="00122EF6" w:rsidRPr="004A1B6C" w:rsidRDefault="00122EF6">
      <w:pPr>
        <w:spacing w:before="0"/>
      </w:pPr>
      <w:r w:rsidRPr="004A1B6C">
        <w:t>Sverige har under lång tid i stort sett varit förskonat från stora naturkatastr</w:t>
      </w:r>
      <w:r w:rsidRPr="004A1B6C">
        <w:t>o</w:t>
      </w:r>
      <w:r w:rsidRPr="004A1B6C">
        <w:t>fer. Den svåra naturkatastrofen i Sydostasien nyligen har emellertid visat på behovet att snabbt kunna identifiera de många omkomna. Vid denna svåra naturkatastrof har sannolikt ett stort antal personer från Sverige omkommit som en direkt följd av den jättevåg, tsunami, som uppkom på grund av en jordbävning under havet i Indiska oceanen. Antalet barn bland de omkomna bedöms kunna vara relativt stort eftersom de omkomna i stor utsträckning vistades i kus</w:t>
      </w:r>
      <w:r w:rsidRPr="004A1B6C">
        <w:t>t</w:t>
      </w:r>
      <w:r w:rsidRPr="004A1B6C">
        <w:t xml:space="preserve">nära områden på badstränder. </w:t>
      </w:r>
    </w:p>
    <w:p w:rsidR="00122EF6" w:rsidRPr="004A1B6C" w:rsidRDefault="00122EF6">
      <w:pPr>
        <w:pStyle w:val="Normaltindrag"/>
      </w:pPr>
      <w:r w:rsidRPr="004A1B6C">
        <w:t>Vid den här typen av ka</w:t>
      </w:r>
      <w:r w:rsidRPr="004A1B6C">
        <w:t>tastrofer är självfallet önskan, liksom i andra sa</w:t>
      </w:r>
      <w:r w:rsidRPr="004A1B6C">
        <w:t>m</w:t>
      </w:r>
      <w:r w:rsidRPr="004A1B6C">
        <w:t xml:space="preserve">manhang, att så många som möjligt av de omkomna skall kunna identifieras och att deras kroppar skall kunna föras till Sverige så snart som möjligt. </w:t>
      </w:r>
    </w:p>
    <w:p w:rsidR="00122EF6" w:rsidRPr="004A1B6C" w:rsidRDefault="00122EF6">
      <w:pPr>
        <w:pStyle w:val="Normaltindrag"/>
      </w:pPr>
      <w:r w:rsidRPr="004A1B6C">
        <w:t xml:space="preserve">Socialutskottet har erfarit att identifieringsarbetet i Sydostasien liksom vid andra stora olyckor utförs enligt ett internationellt regelsystem. På plats i katastrofområdet finns ett center för identifieringsarbetet. Formellt är det chefen för centret som genom ett beslut fastställer identiteten för kroppen i </w:t>
      </w:r>
      <w:r w:rsidRPr="004A1B6C">
        <w:t>fråga. Arbetet med att identifiera kropparna efter de omkomna utförs vid stora olyckor av Rikskriminalpolisens ID-kommission. Kommissionen består av en expertgrupp för identifiering av de människor som omkommit och består av kriminaltekniker, rättsodontologer och rättsläkare. I samarbete kommer dessa tre yrkesgrupper fram till en identitet för kroppen i fråga. För att göra en identifiering krävs identifieringsunderlag som polisen samlar in genom ko</w:t>
      </w:r>
      <w:r w:rsidRPr="004A1B6C">
        <w:t>n</w:t>
      </w:r>
      <w:r w:rsidRPr="004A1B6C">
        <w:t>takter med anhöriga och tandläkare. Normalt används tandkor</w:t>
      </w:r>
      <w:r w:rsidRPr="004A1B6C">
        <w:t>t som ett viktigt referensmaterial. Uppgifter om en persons tatueringar, ärr och andra känn</w:t>
      </w:r>
      <w:r w:rsidRPr="004A1B6C">
        <w:t>e</w:t>
      </w:r>
      <w:r w:rsidRPr="004A1B6C">
        <w:t>tecken används också. Vid naturkatastrofen i Sydostasien undersöks alla kroppar oavsett nationalitet i samarbete med 22 länders ID-kommissioner. Den svenska ID-kommissionen jämför sedan de uppgifter som polisen hämtat från anh</w:t>
      </w:r>
      <w:r w:rsidRPr="004A1B6C">
        <w:t>ö</w:t>
      </w:r>
      <w:r w:rsidRPr="004A1B6C">
        <w:t>riga i Sverige med kropparna i katastrof</w:t>
      </w:r>
      <w:r w:rsidRPr="004A1B6C">
        <w:softHyphen/>
        <w:t xml:space="preserve">området. </w:t>
      </w:r>
    </w:p>
    <w:p w:rsidR="00122EF6" w:rsidRPr="004A1B6C" w:rsidRDefault="00122EF6">
      <w:pPr>
        <w:pStyle w:val="Normaltindrag"/>
      </w:pPr>
      <w:r w:rsidRPr="004A1B6C">
        <w:t>Det kan emellertid föreligga stora svårigheter att identifiera kropparna e</w:t>
      </w:r>
      <w:r w:rsidRPr="004A1B6C">
        <w:t>f</w:t>
      </w:r>
      <w:r w:rsidRPr="004A1B6C">
        <w:t>ter de omkomna. Detta kan, liksom i Sydostasien, bl.a. ha sin orsak i att de många döda kropparna inte kunnat förvaras kallt i den utsträckning som varit önskvärd varför de utsatts för olika stadier av förruttnelse, vilket gör vanlig okulär identifiering svår eller ibland omöjlig. I många fall måste därför  ide</w:t>
      </w:r>
      <w:r w:rsidRPr="004A1B6C">
        <w:t>n</w:t>
      </w:r>
      <w:r w:rsidRPr="004A1B6C">
        <w:t>tifiering grundas på uppgifter från tandkort eller DNA-analyser. Organiskt material, t.ex. från hårstrån kan användas för identifiering. Identifieringsa</w:t>
      </w:r>
      <w:r w:rsidRPr="004A1B6C">
        <w:t>r</w:t>
      </w:r>
      <w:r w:rsidRPr="004A1B6C">
        <w:t>betet kan försvåras om många av de avlidna är</w:t>
      </w:r>
      <w:r w:rsidRPr="004A1B6C">
        <w:t xml:space="preserve"> barn, som i mindre utsträc</w:t>
      </w:r>
      <w:r w:rsidRPr="004A1B6C">
        <w:t>k</w:t>
      </w:r>
      <w:r w:rsidRPr="004A1B6C">
        <w:t>ning än vuxna har tandkort, som annars alltså kan användas som referensm</w:t>
      </w:r>
      <w:r w:rsidRPr="004A1B6C">
        <w:t>a</w:t>
      </w:r>
      <w:r w:rsidRPr="004A1B6C">
        <w:t>terial vid identifieringen. DNA-prover kommer därför behöva tas på de avli</w:t>
      </w:r>
      <w:r w:rsidRPr="004A1B6C">
        <w:t>d</w:t>
      </w:r>
      <w:r w:rsidRPr="004A1B6C">
        <w:t>na.</w:t>
      </w:r>
    </w:p>
    <w:p w:rsidR="00122EF6" w:rsidRPr="004A1B6C" w:rsidRDefault="00122EF6">
      <w:pPr>
        <w:pStyle w:val="Normaltindrag"/>
      </w:pPr>
      <w:r w:rsidRPr="004A1B6C">
        <w:t>Av betydelse är även att avlidna normalt inte får föras ut från katastroflä</w:t>
      </w:r>
      <w:r w:rsidRPr="004A1B6C">
        <w:t>n</w:t>
      </w:r>
      <w:r w:rsidRPr="004A1B6C">
        <w:t>derna till Sverige förrän identiteten fastställts. Det är därför mycket angeläget att framtagna DNA-prover i det land där de omkomna finns snabbt kan ma</w:t>
      </w:r>
      <w:r w:rsidRPr="004A1B6C">
        <w:t>t</w:t>
      </w:r>
      <w:r w:rsidRPr="004A1B6C">
        <w:t>chas mot jämförelsematerial från Sverige. I vissa fall kan närstående identifi</w:t>
      </w:r>
      <w:r w:rsidRPr="004A1B6C">
        <w:t>e</w:t>
      </w:r>
      <w:r w:rsidRPr="004A1B6C">
        <w:t xml:space="preserve">ra sina döda familjemedlemmar eller vänner. I dessa fall kan det dock krävas att identiteten bekräftas genom exempelvis en DNA-analys. I andra fall kan en DNA-analys visa sig vara den enda framkomliga vägen att identifiera de som avlidit. </w:t>
      </w:r>
    </w:p>
    <w:p w:rsidR="00122EF6" w:rsidRPr="004A1B6C" w:rsidRDefault="00122EF6">
      <w:pPr>
        <w:pStyle w:val="Normaltindrag"/>
      </w:pPr>
      <w:r w:rsidRPr="004A1B6C">
        <w:t>Mot denna bakgrund anser socialutskotte</w:t>
      </w:r>
      <w:r w:rsidRPr="004A1B6C">
        <w:t>t att frågan om vävnadsmaterial ur PKU-biobanken skall få nyttjas för att efter DNA-analys</w:t>
      </w:r>
      <w:r w:rsidRPr="004A1B6C">
        <w:rPr>
          <w:b/>
        </w:rPr>
        <w:t xml:space="preserve"> </w:t>
      </w:r>
      <w:r w:rsidRPr="004A1B6C">
        <w:t>användas som referensmaterial och hjälp vid identifieringen av personer som omkommit i samband med mycket allvarliga olyckor och andra stora påfrestningar på samhället där många personer avlidit bör övervägas. Detta kräver att en än</w:t>
      </w:r>
      <w:r w:rsidRPr="004A1B6C">
        <w:t>d</w:t>
      </w:r>
      <w:r w:rsidRPr="004A1B6C">
        <w:t>ring görs i biobankslagen eftersom material ur PKU-biobanken i dag inte får användas för detta änd</w:t>
      </w:r>
      <w:r w:rsidRPr="004A1B6C">
        <w:t>a</w:t>
      </w:r>
      <w:r w:rsidRPr="004A1B6C">
        <w:t>mål.</w:t>
      </w:r>
    </w:p>
    <w:p w:rsidR="00122EF6" w:rsidRPr="004A1B6C" w:rsidRDefault="00122EF6">
      <w:r w:rsidRPr="004A1B6C">
        <w:t>Enligt lagen får material ur biobanker endast sparas och behandlas för i fö</w:t>
      </w:r>
      <w:r w:rsidRPr="004A1B6C">
        <w:t>r</w:t>
      </w:r>
      <w:r w:rsidRPr="004A1B6C">
        <w:t>väg uppsatta ändamål och den som lämnar provet eller en företrädare för denne skall lämna ett informerat samtycke till detta. Normalt krävs också samtycke för att material ur PKU-biobanken eller andra biobanker skall få användas för ett nytt ändamål. Vårdnadshavarna till dem vars vävnadsprover nu finns i PKU-biobanken har varken informerats om eller samtyckt till att denna används för andra ändamål än de som nu uttryckligen anges i 5 kap. 2 § bi</w:t>
      </w:r>
      <w:r w:rsidRPr="004A1B6C">
        <w:t>o</w:t>
      </w:r>
      <w:r w:rsidRPr="004A1B6C">
        <w:t xml:space="preserve">bankslagen. </w:t>
      </w:r>
    </w:p>
    <w:p w:rsidR="00122EF6" w:rsidRPr="004A1B6C" w:rsidRDefault="00122EF6">
      <w:pPr>
        <w:pStyle w:val="Normaltindrag"/>
      </w:pPr>
      <w:r w:rsidRPr="004A1B6C">
        <w:t>Socialutskottet vill understryka att de nyss näm</w:t>
      </w:r>
      <w:r w:rsidRPr="004A1B6C">
        <w:t>nda principerna även i framtiden bör vara vägledande för hur material som förvaras i biobanker skall behandlas. Sverige har under en lång tid varit förskonat från naturkatastrofer där många personer omkommit. Naturkatastrofen i Sydostasien har dock drabbat Sverige hårt och visat på behovet av att när så krävs snabbt och säkert kunna identifiera personer från Sverige som avlidit vid sådana händelser. Utskottet anser att vid dessa situationer måste alla tillgängliga resurser och möjligheter för att underlätta</w:t>
      </w:r>
      <w:r w:rsidRPr="004A1B6C">
        <w:t xml:space="preserve"> identifieringsarbetet tas i anspråk. Utskottet föreslår därför att det i biobankslagen införs en tidsbegränsad bestämmelse enligt vilken vävnadsprover ur PKU-biobanken skall få användas för att ide</w:t>
      </w:r>
      <w:r w:rsidRPr="004A1B6C">
        <w:t>n</w:t>
      </w:r>
      <w:r w:rsidRPr="004A1B6C">
        <w:t>tifiera de avlidna vid olyckor eller andra händelser där ett stort antal männ</w:t>
      </w:r>
      <w:r w:rsidRPr="004A1B6C">
        <w:t>i</w:t>
      </w:r>
      <w:r w:rsidRPr="004A1B6C">
        <w:t>skor har avlidit. Utskottet vill understryka att det inte i ett sådant samma</w:t>
      </w:r>
      <w:r w:rsidRPr="004A1B6C">
        <w:t>n</w:t>
      </w:r>
      <w:r w:rsidRPr="004A1B6C">
        <w:t>hang är frågan om något allmänt samhällsnyttigt ändamål utan något som rör just de individer som förolyckats och deras närstående. När en nära anhörig befaras</w:t>
      </w:r>
      <w:r w:rsidRPr="004A1B6C">
        <w:t xml:space="preserve"> ha avlidit är det naturligtvis av mycket stor vikt att man får visshet i denna fråga och snabbt och säkert får den anhörige identifierad så att kroppen kan tas om hand på önskat sätt och sorgearbetet underlättas. Detta intresse måste anses mycket starkt, och det finns enligt utskottets mening ingen anle</w:t>
      </w:r>
      <w:r w:rsidRPr="004A1B6C">
        <w:t>d</w:t>
      </w:r>
      <w:r w:rsidRPr="004A1B6C">
        <w:t>ning att befara att de som lämnat samtycke till att vävnadsmaterialet samlas i PKU-biobanken skulle motsätta sig att materialet används för identifieringen. Genom att i ett sådant här sammanhang göra ett un</w:t>
      </w:r>
      <w:r w:rsidRPr="004A1B6C">
        <w:t>dantag från samtyckeskr</w:t>
      </w:r>
      <w:r w:rsidRPr="004A1B6C">
        <w:t>a</w:t>
      </w:r>
      <w:r w:rsidRPr="004A1B6C">
        <w:t>vet just när materialet ur PKU-biobanken används för identifiering av avlidna förenklas ident</w:t>
      </w:r>
      <w:r w:rsidRPr="004A1B6C">
        <w:t>i</w:t>
      </w:r>
      <w:r w:rsidRPr="004A1B6C">
        <w:t xml:space="preserve">fieringsarbetet ytterligare.  </w:t>
      </w:r>
    </w:p>
    <w:p w:rsidR="00122EF6" w:rsidRPr="004A1B6C" w:rsidRDefault="00122EF6">
      <w:pPr>
        <w:pStyle w:val="Normaltindrag"/>
      </w:pPr>
      <w:r w:rsidRPr="004A1B6C">
        <w:t>Det har från olika håll påtalats det angelägna i att uppgifter om diagnostik av sjukdom som skett inom den reguljära PKU-verksamheten inte kommer ut till obehöriga i samband med en identifiering av omkomna. Utskottet i</w:t>
      </w:r>
      <w:r w:rsidRPr="004A1B6C">
        <w:t>n</w:t>
      </w:r>
      <w:r w:rsidRPr="004A1B6C">
        <w:t>stämmer fullständigt i denna syn. Utskottet understryker att det endast är aktuellt att använda PKU-biobanken när det är nödvändigt för säker identifi</w:t>
      </w:r>
      <w:r w:rsidRPr="004A1B6C">
        <w:t>e</w:t>
      </w:r>
      <w:r w:rsidRPr="004A1B6C">
        <w:t>ring. För att säkerställa att materialet ur PKU-biobanken endast används för det avsedda syftet och inte hamnar i orätta händer samt att identifieringen sker på ett säkert och värdigt sätt inom ramen för ID-kommissionens uppdrag anser utskottet att endast Rikspolisstyrelsen eller Rättsmedicinalverket skall få begära hos Karolinska Universitetssjukhuset om an</w:t>
      </w:r>
      <w:r w:rsidRPr="004A1B6C">
        <w:t>vändning av material för det nya ändamålet. Socialutskottet konstaterar att Rikskriminalpolisen och dess ID-kommission är underställda polisens centrala förvaltningsmyndighet Rik</w:t>
      </w:r>
      <w:r w:rsidRPr="004A1B6C">
        <w:t>s</w:t>
      </w:r>
      <w:r w:rsidRPr="004A1B6C">
        <w:t xml:space="preserve">polisstyrelsen. </w:t>
      </w:r>
    </w:p>
    <w:p w:rsidR="00122EF6" w:rsidRPr="004A1B6C" w:rsidRDefault="00122EF6">
      <w:pPr>
        <w:pStyle w:val="Normaltindrag"/>
      </w:pPr>
      <w:r w:rsidRPr="004A1B6C">
        <w:t>Socialutskottet föreslår en komplettering av 5 kap. biobankslagen genom en ny 2 a §. Utskottet anser att lagändringen, i detta skede, skall tidsbegränsas till utgången av juni 2006.</w:t>
      </w:r>
    </w:p>
    <w:p w:rsidR="00122EF6" w:rsidRPr="004A1B6C" w:rsidRDefault="00122EF6">
      <w:pPr>
        <w:pStyle w:val="Normaltindrag"/>
      </w:pPr>
      <w:r w:rsidRPr="004A1B6C">
        <w:t xml:space="preserve">Utskottet har naturligtvis ingen annan mening än att lagstiftning skall ske först efter vedertaget och sedvanligt beredningsarbete. Dock anser utskottet sammanfattningsvis och av skäl som redan nämnts att det finns såväl ett mycket starkt behov som intresse av att underlätta identifieringsarbete på det sätt och i sådana sammanhang som lagförslaget avser. </w:t>
      </w:r>
    </w:p>
    <w:p w:rsidR="00122EF6" w:rsidRPr="004A1B6C" w:rsidRDefault="00122EF6">
      <w:pPr>
        <w:pStyle w:val="Normaltindrag"/>
      </w:pPr>
      <w:r w:rsidRPr="004A1B6C">
        <w:t>Utskottet förutsätter att regeringen på lämpligt sätt återkommer med en r</w:t>
      </w:r>
      <w:r w:rsidRPr="004A1B6C">
        <w:t>e</w:t>
      </w:r>
      <w:r w:rsidRPr="004A1B6C">
        <w:t>dovisning av utfallet av den nu föreslagna lagändringen. Däri inbegrips enligt utskottets mening även de synpunkter från Lagrådet som inte beaktats nu.</w:t>
      </w:r>
    </w:p>
    <w:p w:rsidR="00122EF6" w:rsidRPr="004A1B6C" w:rsidRDefault="00122EF6">
      <w:pPr>
        <w:pStyle w:val="Normaltindrag"/>
      </w:pPr>
      <w:r w:rsidRPr="004A1B6C">
        <w:t>Slutligen konstaterar utskottet att det också finns skäl att återkomma till biobankslagen mot bakgrund av att Socialstyrelsen skall redovisa ett uppdrag senare under 2005.</w:t>
      </w:r>
    </w:p>
    <w:p w:rsidR="00122EF6" w:rsidRPr="004A1B6C" w:rsidRDefault="00122EF6">
      <w:pPr>
        <w:pStyle w:val="Normaltindrag"/>
      </w:pPr>
      <w:r w:rsidRPr="004A1B6C">
        <w:t>Allra sist hemställer utskottet att ärendet avgörs efter endast en bordläg</w:t>
      </w:r>
      <w:r w:rsidRPr="004A1B6C">
        <w:t>g</w:t>
      </w:r>
      <w:r w:rsidRPr="004A1B6C">
        <w:t>ning.</w:t>
      </w:r>
    </w:p>
    <w:p w:rsidR="00122EF6" w:rsidRPr="004A1B6C" w:rsidRDefault="00122EF6"/>
    <w:p w:rsidR="00122EF6" w:rsidRPr="004A1B6C" w:rsidRDefault="00122EF6"/>
    <w:p w:rsidR="00122EF6" w:rsidRPr="004A1B6C" w:rsidRDefault="00122EF6"/>
    <w:p w:rsidR="00122EF6" w:rsidRPr="004A1B6C" w:rsidRDefault="00122EF6">
      <w:pPr>
        <w:pStyle w:val="Normaltindrag"/>
        <w:sectPr w:rsidR="00000000" w:rsidRPr="004A1B6C">
          <w:headerReference w:type="even" r:id="rId32"/>
          <w:headerReference w:type="default" r:id="rId33"/>
          <w:footerReference w:type="even" r:id="rId34"/>
          <w:footerReference w:type="default" r:id="rId35"/>
          <w:headerReference w:type="first" r:id="rId36"/>
          <w:footerReference w:type="first" r:id="rId37"/>
          <w:pgSz w:w="11906" w:h="16838" w:code="9"/>
          <w:pgMar w:top="907" w:right="4649" w:bottom="4508" w:left="1304" w:header="340" w:footer="227" w:gutter="0"/>
          <w:cols w:space="720"/>
          <w:titlePg/>
        </w:sectPr>
      </w:pPr>
    </w:p>
    <w:p w:rsidR="00122EF6" w:rsidRPr="004A1B6C" w:rsidRDefault="00122EF6">
      <w:pPr>
        <w:pStyle w:val="Bilaga"/>
      </w:pPr>
      <w:bookmarkStart w:id="15" w:name="Nästa_Reservation"/>
      <w:bookmarkStart w:id="16" w:name="_Toc92784782"/>
      <w:bookmarkStart w:id="17" w:name="_Toc92793895"/>
      <w:bookmarkEnd w:id="15"/>
      <w:r w:rsidRPr="004A1B6C">
        <w:t>Bilaga 1</w:t>
      </w:r>
    </w:p>
    <w:p w:rsidR="00122EF6" w:rsidRPr="004A1B6C" w:rsidRDefault="00122EF6">
      <w:pPr>
        <w:pStyle w:val="Rubrik1"/>
        <w:rPr>
          <w:noProof w:val="0"/>
        </w:rPr>
      </w:pPr>
      <w:r w:rsidRPr="004A1B6C">
        <w:rPr>
          <w:noProof w:val="0"/>
        </w:rPr>
        <w:t>Utskottets lagförslag</w:t>
      </w:r>
      <w:bookmarkEnd w:id="16"/>
      <w:bookmarkEnd w:id="17"/>
    </w:p>
    <w:p w:rsidR="00122EF6" w:rsidRPr="004A1B6C" w:rsidRDefault="00122EF6">
      <w:pPr>
        <w:pStyle w:val="LagtextIndrag"/>
        <w:rPr>
          <w:b/>
        </w:rPr>
      </w:pPr>
      <w:r w:rsidRPr="004A1B6C">
        <w:rPr>
          <w:b/>
        </w:rPr>
        <w:t xml:space="preserve">Förslag till lag om ändring i lagen (2002:297) om biobanker i hälso- och sjukvården m.m. </w:t>
      </w:r>
    </w:p>
    <w:p w:rsidR="00122EF6" w:rsidRPr="004A1B6C" w:rsidRDefault="00122EF6">
      <w:pPr>
        <w:pStyle w:val="LagtextIndrag"/>
      </w:pPr>
    </w:p>
    <w:p w:rsidR="00122EF6" w:rsidRPr="004A1B6C" w:rsidRDefault="00122EF6">
      <w:pPr>
        <w:pStyle w:val="LagtextIndrag"/>
      </w:pPr>
      <w:r w:rsidRPr="004A1B6C">
        <w:t xml:space="preserve">Härigenom föreskrivs att det i lagen (2002:297) om biobanker i hälso- och sjukvården m.m. skall införas en ny paragraf, 5 kap. 2 a § av följande lydelse </w:t>
      </w:r>
    </w:p>
    <w:p w:rsidR="00122EF6" w:rsidRPr="004A1B6C" w:rsidRDefault="00122EF6">
      <w:pPr>
        <w:pStyle w:val="Normaltindrag"/>
      </w:pPr>
    </w:p>
    <w:tbl>
      <w:tblPr>
        <w:tblW w:w="0" w:type="auto"/>
        <w:tblInd w:w="-84" w:type="dxa"/>
        <w:tblLayout w:type="fixed"/>
        <w:tblCellMar>
          <w:left w:w="113" w:type="dxa"/>
          <w:right w:w="113" w:type="dxa"/>
        </w:tblCellMar>
        <w:tblLook w:val="0000" w:firstRow="0" w:lastRow="0" w:firstColumn="0" w:lastColumn="0" w:noHBand="0" w:noVBand="0"/>
      </w:tblPr>
      <w:tblGrid>
        <w:gridCol w:w="2999"/>
        <w:gridCol w:w="3090"/>
        <w:gridCol w:w="6"/>
      </w:tblGrid>
      <w:tr w:rsidR="00000000" w:rsidRPr="004A1B6C">
        <w:tblPrEx>
          <w:tblCellMar>
            <w:top w:w="0" w:type="dxa"/>
            <w:bottom w:w="0" w:type="dxa"/>
          </w:tblCellMar>
        </w:tblPrEx>
        <w:trPr>
          <w:gridAfter w:val="1"/>
          <w:wAfter w:w="6" w:type="dxa"/>
          <w:tblHeader/>
        </w:trPr>
        <w:tc>
          <w:tcPr>
            <w:tcW w:w="2999" w:type="dxa"/>
          </w:tcPr>
          <w:p w:rsidR="00122EF6" w:rsidRPr="004A1B6C" w:rsidRDefault="00122EF6">
            <w:pPr>
              <w:pStyle w:val="LagtextRubrik"/>
            </w:pPr>
            <w:bookmarkStart w:id="18" w:name="innfört"/>
            <w:bookmarkEnd w:id="18"/>
            <w:r w:rsidRPr="004A1B6C">
              <w:t>Nuvarande lydelse</w:t>
            </w:r>
          </w:p>
        </w:tc>
        <w:tc>
          <w:tcPr>
            <w:tcW w:w="3090" w:type="dxa"/>
          </w:tcPr>
          <w:p w:rsidR="00122EF6" w:rsidRPr="004A1B6C" w:rsidRDefault="00122EF6">
            <w:pPr>
              <w:pStyle w:val="LagtextRubrik"/>
            </w:pPr>
            <w:r w:rsidRPr="004A1B6C">
              <w:t>Föreslagen lydelse</w:t>
            </w:r>
          </w:p>
        </w:tc>
      </w:tr>
      <w:tr w:rsidR="00000000" w:rsidRPr="004A1B6C">
        <w:tblPrEx>
          <w:tblCellMar>
            <w:top w:w="0" w:type="dxa"/>
            <w:bottom w:w="0" w:type="dxa"/>
          </w:tblCellMar>
        </w:tblPrEx>
        <w:trPr>
          <w:cantSplit/>
        </w:trPr>
        <w:tc>
          <w:tcPr>
            <w:tcW w:w="6095" w:type="dxa"/>
            <w:gridSpan w:val="3"/>
          </w:tcPr>
          <w:p w:rsidR="00122EF6" w:rsidRPr="004A1B6C" w:rsidRDefault="00122EF6">
            <w:pPr>
              <w:pStyle w:val="Lagtext"/>
              <w:jc w:val="center"/>
            </w:pPr>
            <w:r w:rsidRPr="004A1B6C">
              <w:t>2 a  §</w:t>
            </w:r>
          </w:p>
        </w:tc>
      </w:tr>
    </w:tbl>
    <w:p w:rsidR="00122EF6" w:rsidRPr="004A1B6C" w:rsidRDefault="00122EF6">
      <w:pPr>
        <w:pStyle w:val="Normaltindrag"/>
      </w:pPr>
    </w:p>
    <w:tbl>
      <w:tblPr>
        <w:tblW w:w="0" w:type="auto"/>
        <w:tblInd w:w="-113" w:type="dxa"/>
        <w:tblLayout w:type="fixed"/>
        <w:tblCellMar>
          <w:left w:w="113" w:type="dxa"/>
          <w:right w:w="113" w:type="dxa"/>
        </w:tblCellMar>
        <w:tblLook w:val="0000" w:firstRow="0" w:lastRow="0" w:firstColumn="0" w:lastColumn="0" w:noHBand="0" w:noVBand="0"/>
      </w:tblPr>
      <w:tblGrid>
        <w:gridCol w:w="3090"/>
        <w:gridCol w:w="3090"/>
      </w:tblGrid>
      <w:tr w:rsidR="00000000" w:rsidRPr="004A1B6C">
        <w:tblPrEx>
          <w:tblCellMar>
            <w:top w:w="0" w:type="dxa"/>
            <w:bottom w:w="0" w:type="dxa"/>
          </w:tblCellMar>
        </w:tblPrEx>
        <w:tc>
          <w:tcPr>
            <w:tcW w:w="3090" w:type="dxa"/>
          </w:tcPr>
          <w:p w:rsidR="00122EF6" w:rsidRPr="004A1B6C" w:rsidRDefault="00122EF6">
            <w:pPr>
              <w:pStyle w:val="LagtextIndrag"/>
            </w:pPr>
          </w:p>
        </w:tc>
        <w:tc>
          <w:tcPr>
            <w:tcW w:w="3090" w:type="dxa"/>
          </w:tcPr>
          <w:p w:rsidR="00122EF6" w:rsidRPr="004A1B6C" w:rsidRDefault="00122EF6">
            <w:pPr>
              <w:pStyle w:val="Lagtext"/>
              <w:rPr>
                <w:i/>
              </w:rPr>
            </w:pPr>
            <w:r w:rsidRPr="004A1B6C">
              <w:rPr>
                <w:i/>
              </w:rPr>
              <w:t>Vid olyckor eller andra händelser, där ett stort antal människor har avlidit, får vävnadsprover i PKU-biobanken användas även för ident</w:t>
            </w:r>
            <w:r w:rsidRPr="004A1B6C">
              <w:rPr>
                <w:i/>
              </w:rPr>
              <w:t>i</w:t>
            </w:r>
            <w:r w:rsidRPr="004A1B6C">
              <w:rPr>
                <w:i/>
              </w:rPr>
              <w:t>fiering av avlidna. Sådan använ</w:t>
            </w:r>
            <w:r w:rsidRPr="004A1B6C">
              <w:rPr>
                <w:i/>
              </w:rPr>
              <w:t>d</w:t>
            </w:r>
            <w:r w:rsidRPr="004A1B6C">
              <w:rPr>
                <w:i/>
              </w:rPr>
              <w:t>ning får ske endast på begäran av Rikspolisstyrelsen eller Rättsmedic</w:t>
            </w:r>
            <w:r w:rsidRPr="004A1B6C">
              <w:rPr>
                <w:i/>
              </w:rPr>
              <w:t>i</w:t>
            </w:r>
            <w:r w:rsidRPr="004A1B6C">
              <w:rPr>
                <w:i/>
              </w:rPr>
              <w:t>nalverket. Vid sådan användning krävs inget samtycke.</w:t>
            </w:r>
          </w:p>
          <w:p w:rsidR="00122EF6" w:rsidRPr="004A1B6C" w:rsidRDefault="00122EF6">
            <w:pPr>
              <w:pStyle w:val="LagtextIndrag"/>
              <w:rPr>
                <w:i/>
              </w:rPr>
            </w:pPr>
          </w:p>
        </w:tc>
      </w:tr>
    </w:tbl>
    <w:p w:rsidR="00122EF6" w:rsidRPr="004A1B6C" w:rsidRDefault="00122EF6">
      <w:pPr>
        <w:pStyle w:val="Normaltindrag"/>
      </w:pPr>
    </w:p>
    <w:p w:rsidR="00122EF6" w:rsidRPr="004A1B6C" w:rsidRDefault="00122EF6">
      <w:pPr>
        <w:pStyle w:val="Normaltindrag"/>
      </w:pPr>
    </w:p>
    <w:p w:rsidR="00122EF6" w:rsidRPr="004A1B6C" w:rsidRDefault="00122EF6">
      <w:r w:rsidRPr="004A1B6C">
        <w:rPr>
          <w:u w:val="single"/>
        </w:rPr>
        <w:t>                                     </w:t>
      </w:r>
    </w:p>
    <w:p w:rsidR="00122EF6" w:rsidRPr="004A1B6C" w:rsidRDefault="00122EF6">
      <w:pPr>
        <w:pStyle w:val="Normaltindrag"/>
      </w:pPr>
    </w:p>
    <w:p w:rsidR="00122EF6" w:rsidRPr="004A1B6C" w:rsidRDefault="00122EF6">
      <w:pPr>
        <w:pStyle w:val="Normaltindrag"/>
      </w:pPr>
      <w:r w:rsidRPr="004A1B6C">
        <w:t xml:space="preserve">Denna lag träder i kraft den 10 januari 2005 och  upphör att gälla den 30 juni 2006. </w:t>
      </w:r>
    </w:p>
    <w:p w:rsidR="00122EF6" w:rsidRPr="004A1B6C" w:rsidRDefault="00122EF6">
      <w:bookmarkStart w:id="19" w:name="aaaa"/>
      <w:bookmarkEnd w:id="19"/>
    </w:p>
    <w:p w:rsidR="00122EF6" w:rsidRPr="004A1B6C" w:rsidRDefault="00122EF6"/>
    <w:p w:rsidR="00122EF6" w:rsidRPr="004A1B6C" w:rsidRDefault="00122EF6"/>
    <w:p w:rsidR="00122EF6" w:rsidRPr="004A1B6C" w:rsidRDefault="00122EF6">
      <w:pPr>
        <w:pStyle w:val="Normaltindrag"/>
        <w:sectPr w:rsidR="00000000" w:rsidRPr="004A1B6C">
          <w:headerReference w:type="even" r:id="rId38"/>
          <w:headerReference w:type="default" r:id="rId39"/>
          <w:footerReference w:type="even" r:id="rId40"/>
          <w:footerReference w:type="default" r:id="rId41"/>
          <w:headerReference w:type="first" r:id="rId42"/>
          <w:footerReference w:type="first" r:id="rId43"/>
          <w:pgSz w:w="11906" w:h="16838" w:code="9"/>
          <w:pgMar w:top="907" w:right="4649" w:bottom="4508" w:left="1304" w:header="340" w:footer="227" w:gutter="0"/>
          <w:cols w:space="720"/>
          <w:titlePg/>
        </w:sectPr>
      </w:pPr>
    </w:p>
    <w:p w:rsidR="00122EF6" w:rsidRPr="004A1B6C" w:rsidRDefault="00122EF6">
      <w:pPr>
        <w:pStyle w:val="Bilaga"/>
      </w:pPr>
      <w:bookmarkStart w:id="20" w:name="_Toc92793898"/>
      <w:r w:rsidRPr="004A1B6C">
        <w:t>Bilaga 2</w:t>
      </w:r>
    </w:p>
    <w:p w:rsidR="00122EF6" w:rsidRPr="004A1B6C" w:rsidRDefault="00122EF6">
      <w:pPr>
        <w:pStyle w:val="Rubrik1"/>
        <w:rPr>
          <w:noProof w:val="0"/>
        </w:rPr>
      </w:pPr>
      <w:r w:rsidRPr="004A1B6C">
        <w:rPr>
          <w:noProof w:val="0"/>
        </w:rPr>
        <w:t>Lagrådsyttrande som begärts av utskottet</w:t>
      </w:r>
      <w:bookmarkEnd w:id="20"/>
    </w:p>
    <w:p w:rsidR="00122EF6" w:rsidRPr="004A1B6C" w:rsidRDefault="004A1B6C">
      <w:r w:rsidRPr="004A1B6C">
        <w:rPr>
          <w:noProof/>
        </w:rPr>
        <w:drawing>
          <wp:inline distT="0" distB="0" distL="0" distR="0">
            <wp:extent cx="4229100" cy="56769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229100" cy="5676900"/>
                    </a:xfrm>
                    <a:prstGeom prst="rect">
                      <a:avLst/>
                    </a:prstGeom>
                    <a:noFill/>
                    <a:ln>
                      <a:noFill/>
                    </a:ln>
                  </pic:spPr>
                </pic:pic>
              </a:graphicData>
            </a:graphic>
          </wp:inline>
        </w:drawing>
      </w:r>
    </w:p>
    <w:p w:rsidR="00122EF6" w:rsidRPr="004A1B6C" w:rsidRDefault="00122EF6">
      <w:pPr>
        <w:pStyle w:val="Normaltindrag"/>
      </w:pPr>
      <w:r w:rsidRPr="004A1B6C">
        <w:br w:type="page"/>
      </w:r>
      <w:r w:rsidR="004A1B6C" w:rsidRPr="004A1B6C">
        <w:rPr>
          <w:noProof/>
        </w:rPr>
        <w:drawing>
          <wp:inline distT="0" distB="0" distL="0" distR="0">
            <wp:extent cx="3777615" cy="625411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77615" cy="6254115"/>
                    </a:xfrm>
                    <a:prstGeom prst="rect">
                      <a:avLst/>
                    </a:prstGeom>
                    <a:noFill/>
                    <a:ln>
                      <a:noFill/>
                    </a:ln>
                  </pic:spPr>
                </pic:pic>
              </a:graphicData>
            </a:graphic>
          </wp:inline>
        </w:drawing>
      </w:r>
    </w:p>
    <w:p w:rsidR="00122EF6" w:rsidRPr="004A1B6C" w:rsidRDefault="00122EF6">
      <w:pPr>
        <w:pStyle w:val="Normaltindrag"/>
      </w:pPr>
    </w:p>
    <w:p w:rsidR="00122EF6" w:rsidRPr="004A1B6C" w:rsidRDefault="004A1B6C">
      <w:pPr>
        <w:pStyle w:val="Normaltindrag"/>
      </w:pPr>
      <w:r w:rsidRPr="004A1B6C">
        <w:rPr>
          <w:noProof/>
        </w:rPr>
        <w:drawing>
          <wp:inline distT="0" distB="0" distL="0" distR="0">
            <wp:extent cx="3777615" cy="603631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77615" cy="6036310"/>
                    </a:xfrm>
                    <a:prstGeom prst="rect">
                      <a:avLst/>
                    </a:prstGeom>
                    <a:noFill/>
                    <a:ln>
                      <a:noFill/>
                    </a:ln>
                  </pic:spPr>
                </pic:pic>
              </a:graphicData>
            </a:graphic>
          </wp:inline>
        </w:drawing>
      </w:r>
    </w:p>
    <w:p w:rsidR="00122EF6" w:rsidRPr="004A1B6C" w:rsidRDefault="00122EF6">
      <w:pPr>
        <w:pStyle w:val="Normaltindrag"/>
      </w:pPr>
    </w:p>
    <w:p w:rsidR="00122EF6" w:rsidRPr="004A1B6C" w:rsidRDefault="004A1B6C">
      <w:pPr>
        <w:pStyle w:val="Normaltindrag"/>
      </w:pPr>
      <w:r w:rsidRPr="004A1B6C">
        <w:rPr>
          <w:noProof/>
        </w:rPr>
        <w:drawing>
          <wp:inline distT="0" distB="0" distL="0" distR="0">
            <wp:extent cx="3777615" cy="669988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777615" cy="6699885"/>
                    </a:xfrm>
                    <a:prstGeom prst="rect">
                      <a:avLst/>
                    </a:prstGeom>
                    <a:noFill/>
                    <a:ln>
                      <a:noFill/>
                    </a:ln>
                  </pic:spPr>
                </pic:pic>
              </a:graphicData>
            </a:graphic>
          </wp:inline>
        </w:drawing>
      </w:r>
    </w:p>
    <w:p w:rsidR="00122EF6" w:rsidRPr="004A1B6C" w:rsidRDefault="00122EF6">
      <w:pPr>
        <w:pStyle w:val="Normaltindrag"/>
      </w:pPr>
    </w:p>
    <w:p w:rsidR="00122EF6" w:rsidRPr="004A1B6C" w:rsidRDefault="004A1B6C">
      <w:pPr>
        <w:pStyle w:val="Normaltindrag"/>
      </w:pPr>
      <w:r w:rsidRPr="004A1B6C">
        <w:rPr>
          <w:noProof/>
        </w:rPr>
        <w:drawing>
          <wp:inline distT="0" distB="0" distL="0" distR="0">
            <wp:extent cx="3978910" cy="420751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78910" cy="4207510"/>
                    </a:xfrm>
                    <a:prstGeom prst="rect">
                      <a:avLst/>
                    </a:prstGeom>
                    <a:noFill/>
                    <a:ln>
                      <a:noFill/>
                    </a:ln>
                  </pic:spPr>
                </pic:pic>
              </a:graphicData>
            </a:graphic>
          </wp:inline>
        </w:drawing>
      </w:r>
    </w:p>
    <w:p w:rsidR="00122EF6" w:rsidRPr="004A1B6C" w:rsidRDefault="00122EF6"/>
    <w:p w:rsidR="00122EF6" w:rsidRPr="004A1B6C" w:rsidRDefault="00122EF6"/>
    <w:p w:rsidR="00122EF6" w:rsidRPr="004A1B6C" w:rsidRDefault="00122EF6">
      <w:pPr>
        <w:pStyle w:val="Tryckort"/>
        <w:framePr w:wrap="around"/>
      </w:pPr>
      <w:r w:rsidRPr="004A1B6C">
        <w:t>Elanders Gotab, Stockholm  2005</w:t>
      </w:r>
    </w:p>
    <w:p w:rsidR="00122EF6" w:rsidRPr="004A1B6C" w:rsidRDefault="00122EF6">
      <w:pPr>
        <w:pStyle w:val="Normaltindrag"/>
      </w:pPr>
    </w:p>
    <w:sectPr w:rsidR="00122EF6" w:rsidRPr="004A1B6C">
      <w:headerReference w:type="even" r:id="rId49"/>
      <w:headerReference w:type="default" r:id="rId50"/>
      <w:footerReference w:type="even" r:id="rId51"/>
      <w:footerReference w:type="default" r:id="rId52"/>
      <w:headerReference w:type="first" r:id="rId53"/>
      <w:footerReference w:type="first" r:id="rId54"/>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2EF6" w:rsidRPr="004A1B6C" w:rsidRDefault="00122EF6">
      <w:r w:rsidRPr="004A1B6C">
        <w:separator/>
      </w:r>
    </w:p>
  </w:endnote>
  <w:endnote w:type="continuationSeparator" w:id="0">
    <w:p w:rsidR="00122EF6" w:rsidRPr="004A1B6C" w:rsidRDefault="00122EF6">
      <w:r w:rsidRPr="004A1B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2</w:t>
    </w:r>
    <w:r w:rsidRPr="004A1B6C">
      <w:fldChar w:fldCharType="end"/>
    </w:r>
  </w:p>
  <w:p w:rsidR="00122EF6" w:rsidRPr="004A1B6C" w:rsidRDefault="00122EF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3</w:t>
    </w:r>
    <w:r w:rsidRPr="004A1B6C">
      <w:fldChar w:fldCharType="end"/>
    </w:r>
  </w:p>
  <w:p w:rsidR="00122EF6" w:rsidRPr="004A1B6C" w:rsidRDefault="00122EF6">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004A1B6C">
      <w:rPr>
        <w:noProof/>
      </w:rPr>
      <w:instrText>1</w:instrText>
    </w:r>
    <w:r w:rsidRPr="004A1B6C">
      <w:fldChar w:fldCharType="end"/>
    </w:r>
    <w:r w:rsidRPr="004A1B6C">
      <w:instrText xml:space="preserve">/2 </w:instrText>
    </w:r>
    <w:r w:rsidRPr="004A1B6C">
      <w:fldChar w:fldCharType="separate"/>
    </w:r>
    <w:r w:rsidR="004A1B6C">
      <w:rPr>
        <w:noProof/>
      </w:rPr>
      <w:instrText>0,5</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004A1B6C">
      <w:rPr>
        <w:noProof/>
      </w:rPr>
      <w:instrText>1</w:instrText>
    </w:r>
    <w:r w:rsidRPr="004A1B6C">
      <w:fldChar w:fldCharType="end"/>
    </w:r>
    <w:r w:rsidRPr="004A1B6C">
      <w:instrText xml:space="preserve">/2) </w:instrText>
    </w:r>
    <w:r w:rsidRPr="004A1B6C">
      <w:fldChar w:fldCharType="separate"/>
    </w:r>
    <w:r w:rsidR="004A1B6C">
      <w:rPr>
        <w:noProof/>
      </w:rPr>
      <w:instrText>0</w:instrText>
    </w:r>
    <w:r w:rsidRPr="004A1B6C">
      <w:fldChar w:fldCharType="end"/>
    </w:r>
    <w:r w:rsidRPr="004A1B6C">
      <w:fldChar w:fldCharType="separate"/>
    </w:r>
    <w:r w:rsidR="004A1B6C">
      <w:rPr>
        <w:noProof/>
      </w:rPr>
      <w:instrText>0,5</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2</w:instrText>
    </w:r>
    <w:r w:rsidRPr="004A1B6C">
      <w:fldChar w:fldCharType="end"/>
    </w:r>
  </w:p>
  <w:p w:rsidR="00122EF6" w:rsidRPr="004A1B6C" w:rsidRDefault="00122EF6">
    <w:pPr>
      <w:pStyle w:val="SidfotH"/>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004A1B6C">
      <w:rPr>
        <w:noProof/>
      </w:rPr>
      <w:instrText>1</w:instrText>
    </w:r>
    <w:r w:rsidRPr="004A1B6C">
      <w:fldChar w:fldCharType="end"/>
    </w:r>
    <w:r w:rsidRPr="004A1B6C">
      <w:instrText>"</w:instrText>
    </w:r>
    <w:r w:rsidRPr="004A1B6C">
      <w:fldChar w:fldCharType="separate"/>
    </w:r>
    <w:r w:rsidR="004A1B6C">
      <w:rPr>
        <w:noProof/>
      </w:rPr>
      <w:t>1</w:t>
    </w:r>
    <w:r w:rsidRPr="004A1B6C">
      <w:fldChar w:fldCharType="end"/>
    </w:r>
  </w:p>
  <w:p w:rsidR="00122EF6" w:rsidRPr="004A1B6C" w:rsidRDefault="00122EF6">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2</w:t>
    </w:r>
    <w:r w:rsidRPr="004A1B6C">
      <w:fldChar w:fldCharType="end"/>
    </w:r>
  </w:p>
  <w:p w:rsidR="00122EF6" w:rsidRPr="004A1B6C" w:rsidRDefault="00122EF6">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3</w:t>
    </w:r>
    <w:r w:rsidRPr="004A1B6C">
      <w:fldChar w:fldCharType="end"/>
    </w:r>
  </w:p>
  <w:p w:rsidR="00122EF6" w:rsidRPr="004A1B6C" w:rsidRDefault="00122EF6">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2</w:instrText>
    </w:r>
    <w:r w:rsidRPr="004A1B6C">
      <w:fldChar w:fldCharType="end"/>
    </w:r>
    <w:r w:rsidRPr="004A1B6C">
      <w:instrText xml:space="preserve">/2 </w:instrText>
    </w:r>
    <w:r w:rsidRPr="004A1B6C">
      <w:fldChar w:fldCharType="separate"/>
    </w:r>
    <w:r w:rsidRPr="004A1B6C">
      <w:instrText>1</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2</w:instrText>
    </w:r>
    <w:r w:rsidRPr="004A1B6C">
      <w:fldChar w:fldCharType="end"/>
    </w:r>
    <w:r w:rsidRPr="004A1B6C">
      <w:instrText xml:space="preserve">/2) </w:instrText>
    </w:r>
    <w:r w:rsidRPr="004A1B6C">
      <w:fldChar w:fldCharType="separate"/>
    </w:r>
    <w:r w:rsidRPr="004A1B6C">
      <w:instrText>1</w:instrText>
    </w:r>
    <w:r w:rsidRPr="004A1B6C">
      <w:fldChar w:fldCharType="end"/>
    </w:r>
    <w:r w:rsidRPr="004A1B6C">
      <w:fldChar w:fldCharType="separate"/>
    </w:r>
    <w:r w:rsidRPr="004A1B6C">
      <w:instrText>0</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2</w:instrText>
    </w:r>
    <w:r w:rsidRPr="004A1B6C">
      <w:fldChar w:fldCharType="end"/>
    </w:r>
  </w:p>
  <w:p w:rsidR="00122EF6" w:rsidRPr="004A1B6C" w:rsidRDefault="00122EF6">
    <w:pPr>
      <w:pStyle w:val="SidfotV"/>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3</w:instrText>
    </w:r>
    <w:r w:rsidRPr="004A1B6C">
      <w:fldChar w:fldCharType="end"/>
    </w:r>
    <w:r w:rsidRPr="004A1B6C">
      <w:instrText>"</w:instrText>
    </w:r>
    <w:r w:rsidRPr="004A1B6C">
      <w:fldChar w:fldCharType="separate"/>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2</w:t>
    </w:r>
    <w:r w:rsidRPr="004A1B6C">
      <w:fldChar w:fldCharType="end"/>
    </w:r>
  </w:p>
  <w:p w:rsidR="00122EF6" w:rsidRPr="004A1B6C" w:rsidRDefault="00122EF6">
    <w:pPr>
      <w:pStyle w:val="SidfotH"/>
      <w:framePr w:w="8732" w:h="284" w:hRule="exact" w:hSpace="0" w:vSpace="0" w:wrap="around" w:xAlign="inside" w:y="13042" w:anchorLock="0"/>
    </w:pPr>
    <w:r w:rsidRPr="004A1B6C">
      <w:fldChar w:fldCharType="end"/>
    </w:r>
  </w:p>
  <w:p w:rsidR="00122EF6" w:rsidRPr="004A1B6C" w:rsidRDefault="00122EF6">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2</w:t>
    </w:r>
    <w:r w:rsidRPr="004A1B6C">
      <w:fldChar w:fldCharType="end"/>
    </w:r>
  </w:p>
  <w:p w:rsidR="00122EF6" w:rsidRPr="004A1B6C" w:rsidRDefault="00122EF6">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3</w:t>
    </w:r>
    <w:r w:rsidRPr="004A1B6C">
      <w:fldChar w:fldCharType="end"/>
    </w:r>
  </w:p>
  <w:p w:rsidR="00122EF6" w:rsidRPr="004A1B6C" w:rsidRDefault="00122EF6">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3</w:instrText>
    </w:r>
    <w:r w:rsidRPr="004A1B6C">
      <w:fldChar w:fldCharType="end"/>
    </w:r>
    <w:r w:rsidRPr="004A1B6C">
      <w:instrText xml:space="preserve">/2 </w:instrText>
    </w:r>
    <w:r w:rsidRPr="004A1B6C">
      <w:fldChar w:fldCharType="separate"/>
    </w:r>
    <w:r w:rsidRPr="004A1B6C">
      <w:instrText>1,5</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3</w:instrText>
    </w:r>
    <w:r w:rsidRPr="004A1B6C">
      <w:fldChar w:fldCharType="end"/>
    </w:r>
    <w:r w:rsidRPr="004A1B6C">
      <w:instrText xml:space="preserve">/2) </w:instrText>
    </w:r>
    <w:r w:rsidRPr="004A1B6C">
      <w:fldChar w:fldCharType="separate"/>
    </w:r>
    <w:r w:rsidRPr="004A1B6C">
      <w:instrText>1</w:instrText>
    </w:r>
    <w:r w:rsidRPr="004A1B6C">
      <w:fldChar w:fldCharType="end"/>
    </w:r>
    <w:r w:rsidRPr="004A1B6C">
      <w:fldChar w:fldCharType="separate"/>
    </w:r>
    <w:r w:rsidRPr="004A1B6C">
      <w:instrText>0,5</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4</w:instrText>
    </w:r>
    <w:r w:rsidRPr="004A1B6C">
      <w:fldChar w:fldCharType="end"/>
    </w:r>
  </w:p>
  <w:p w:rsidR="00122EF6" w:rsidRPr="004A1B6C" w:rsidRDefault="00122EF6">
    <w:pPr>
      <w:pStyle w:val="SidfotH"/>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3</w:instrText>
    </w:r>
    <w:r w:rsidRPr="004A1B6C">
      <w:fldChar w:fldCharType="end"/>
    </w:r>
    <w:r w:rsidRPr="004A1B6C">
      <w:instrText>"</w:instrText>
    </w:r>
    <w:r w:rsidRPr="004A1B6C">
      <w:fldChar w:fldCharType="separate"/>
    </w:r>
    <w:r w:rsidRPr="004A1B6C">
      <w:t>3</w:t>
    </w:r>
    <w:r w:rsidRPr="004A1B6C">
      <w:fldChar w:fldCharType="end"/>
    </w:r>
  </w:p>
  <w:p w:rsidR="00122EF6" w:rsidRPr="004A1B6C" w:rsidRDefault="00122EF6">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6</w:t>
    </w:r>
    <w:r w:rsidRPr="004A1B6C">
      <w:fldChar w:fldCharType="end"/>
    </w:r>
  </w:p>
  <w:p w:rsidR="00122EF6" w:rsidRPr="004A1B6C" w:rsidRDefault="00122EF6">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5</w:t>
    </w:r>
    <w:r w:rsidRPr="004A1B6C">
      <w:fldChar w:fldCharType="end"/>
    </w:r>
  </w:p>
  <w:p w:rsidR="00122EF6" w:rsidRPr="004A1B6C" w:rsidRDefault="00122EF6">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4</w:instrText>
    </w:r>
    <w:r w:rsidRPr="004A1B6C">
      <w:fldChar w:fldCharType="end"/>
    </w:r>
    <w:r w:rsidRPr="004A1B6C">
      <w:instrText xml:space="preserve">/2 </w:instrText>
    </w:r>
    <w:r w:rsidRPr="004A1B6C">
      <w:fldChar w:fldCharType="separate"/>
    </w:r>
    <w:r w:rsidRPr="004A1B6C">
      <w:instrText>2</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4</w:instrText>
    </w:r>
    <w:r w:rsidRPr="004A1B6C">
      <w:fldChar w:fldCharType="end"/>
    </w:r>
    <w:r w:rsidRPr="004A1B6C">
      <w:instrText xml:space="preserve">/2) </w:instrText>
    </w:r>
    <w:r w:rsidRPr="004A1B6C">
      <w:fldChar w:fldCharType="separate"/>
    </w:r>
    <w:r w:rsidRPr="004A1B6C">
      <w:instrText>2</w:instrText>
    </w:r>
    <w:r w:rsidRPr="004A1B6C">
      <w:fldChar w:fldCharType="end"/>
    </w:r>
    <w:r w:rsidRPr="004A1B6C">
      <w:fldChar w:fldCharType="separate"/>
    </w:r>
    <w:r w:rsidRPr="004A1B6C">
      <w:instrText>0</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4</w:instrText>
    </w:r>
    <w:r w:rsidRPr="004A1B6C">
      <w:fldChar w:fldCharType="end"/>
    </w:r>
  </w:p>
  <w:p w:rsidR="00122EF6" w:rsidRPr="004A1B6C" w:rsidRDefault="00122EF6">
    <w:pPr>
      <w:pStyle w:val="SidfotV"/>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5</w:instrText>
    </w:r>
    <w:r w:rsidRPr="004A1B6C">
      <w:fldChar w:fldCharType="end"/>
    </w:r>
    <w:r w:rsidRPr="004A1B6C">
      <w:instrText>"</w:instrText>
    </w:r>
    <w:r w:rsidRPr="004A1B6C">
      <w:fldChar w:fldCharType="separate"/>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4</w:t>
    </w:r>
    <w:r w:rsidRPr="004A1B6C">
      <w:fldChar w:fldCharType="end"/>
    </w:r>
  </w:p>
  <w:p w:rsidR="00122EF6" w:rsidRPr="004A1B6C" w:rsidRDefault="00122EF6">
    <w:pPr>
      <w:pStyle w:val="SidfotH"/>
      <w:framePr w:w="8732" w:h="284" w:hRule="exact" w:hSpace="0" w:vSpace="0" w:wrap="around" w:xAlign="inside" w:y="13042" w:anchorLock="0"/>
    </w:pPr>
    <w:r w:rsidRPr="004A1B6C">
      <w:fldChar w:fldCharType="end"/>
    </w:r>
  </w:p>
  <w:p w:rsidR="00122EF6" w:rsidRPr="004A1B6C" w:rsidRDefault="00122EF6">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8</w:t>
    </w:r>
    <w:r w:rsidRPr="004A1B6C">
      <w:fldChar w:fldCharType="end"/>
    </w:r>
  </w:p>
  <w:p w:rsidR="00122EF6" w:rsidRPr="004A1B6C" w:rsidRDefault="00122EF6">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9</w:t>
    </w:r>
    <w:r w:rsidRPr="004A1B6C">
      <w:fldChar w:fldCharType="end"/>
    </w:r>
  </w:p>
  <w:p w:rsidR="00122EF6" w:rsidRPr="004A1B6C" w:rsidRDefault="00122EF6">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7</w:instrText>
    </w:r>
    <w:r w:rsidRPr="004A1B6C">
      <w:fldChar w:fldCharType="end"/>
    </w:r>
    <w:r w:rsidRPr="004A1B6C">
      <w:instrText xml:space="preserve">/2 </w:instrText>
    </w:r>
    <w:r w:rsidRPr="004A1B6C">
      <w:fldChar w:fldCharType="separate"/>
    </w:r>
    <w:r w:rsidRPr="004A1B6C">
      <w:instrText>3,5</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7</w:instrText>
    </w:r>
    <w:r w:rsidRPr="004A1B6C">
      <w:fldChar w:fldCharType="end"/>
    </w:r>
    <w:r w:rsidRPr="004A1B6C">
      <w:instrText xml:space="preserve">/2) </w:instrText>
    </w:r>
    <w:r w:rsidRPr="004A1B6C">
      <w:fldChar w:fldCharType="separate"/>
    </w:r>
    <w:r w:rsidRPr="004A1B6C">
      <w:instrText>3</w:instrText>
    </w:r>
    <w:r w:rsidRPr="004A1B6C">
      <w:fldChar w:fldCharType="end"/>
    </w:r>
    <w:r w:rsidRPr="004A1B6C">
      <w:fldChar w:fldCharType="separate"/>
    </w:r>
    <w:r w:rsidRPr="004A1B6C">
      <w:instrText>0,5</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8</w:instrText>
    </w:r>
    <w:r w:rsidRPr="004A1B6C">
      <w:fldChar w:fldCharType="end"/>
    </w:r>
  </w:p>
  <w:p w:rsidR="00122EF6" w:rsidRPr="004A1B6C" w:rsidRDefault="00122EF6">
    <w:pPr>
      <w:pStyle w:val="SidfotH"/>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7</w:instrText>
    </w:r>
    <w:r w:rsidRPr="004A1B6C">
      <w:fldChar w:fldCharType="end"/>
    </w:r>
    <w:r w:rsidRPr="004A1B6C">
      <w:instrText>"</w:instrText>
    </w:r>
    <w:r w:rsidRPr="004A1B6C">
      <w:fldChar w:fldCharType="separate"/>
    </w:r>
    <w:r w:rsidRPr="004A1B6C">
      <w:t>7</w:t>
    </w:r>
    <w:r w:rsidRPr="004A1B6C">
      <w:fldChar w:fldCharType="end"/>
    </w:r>
  </w:p>
  <w:p w:rsidR="00122EF6" w:rsidRPr="004A1B6C" w:rsidRDefault="00122EF6">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12</w:t>
    </w:r>
    <w:r w:rsidRPr="004A1B6C">
      <w:fldChar w:fldCharType="end"/>
    </w:r>
  </w:p>
  <w:p w:rsidR="00122EF6" w:rsidRPr="004A1B6C" w:rsidRDefault="00122EF6">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11</w:t>
    </w:r>
    <w:r w:rsidRPr="004A1B6C">
      <w:fldChar w:fldCharType="end"/>
    </w:r>
  </w:p>
  <w:p w:rsidR="00122EF6" w:rsidRPr="004A1B6C" w:rsidRDefault="00122EF6">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10</w:instrText>
    </w:r>
    <w:r w:rsidRPr="004A1B6C">
      <w:fldChar w:fldCharType="end"/>
    </w:r>
    <w:r w:rsidRPr="004A1B6C">
      <w:instrText xml:space="preserve">/2 </w:instrText>
    </w:r>
    <w:r w:rsidRPr="004A1B6C">
      <w:fldChar w:fldCharType="separate"/>
    </w:r>
    <w:r w:rsidRPr="004A1B6C">
      <w:instrText>5</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10</w:instrText>
    </w:r>
    <w:r w:rsidRPr="004A1B6C">
      <w:fldChar w:fldCharType="end"/>
    </w:r>
    <w:r w:rsidRPr="004A1B6C">
      <w:instrText xml:space="preserve">/2) </w:instrText>
    </w:r>
    <w:r w:rsidRPr="004A1B6C">
      <w:fldChar w:fldCharType="separate"/>
    </w:r>
    <w:r w:rsidRPr="004A1B6C">
      <w:instrText>5</w:instrText>
    </w:r>
    <w:r w:rsidRPr="004A1B6C">
      <w:fldChar w:fldCharType="end"/>
    </w:r>
    <w:r w:rsidRPr="004A1B6C">
      <w:fldChar w:fldCharType="separate"/>
    </w:r>
    <w:r w:rsidRPr="004A1B6C">
      <w:instrText>0</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10</w:instrText>
    </w:r>
    <w:r w:rsidRPr="004A1B6C">
      <w:fldChar w:fldCharType="end"/>
    </w:r>
  </w:p>
  <w:p w:rsidR="00122EF6" w:rsidRPr="004A1B6C" w:rsidRDefault="00122EF6">
    <w:pPr>
      <w:pStyle w:val="SidfotV"/>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11</w:instrText>
    </w:r>
    <w:r w:rsidRPr="004A1B6C">
      <w:fldChar w:fldCharType="end"/>
    </w:r>
    <w:r w:rsidRPr="004A1B6C">
      <w:instrText>"</w:instrText>
    </w:r>
    <w:r w:rsidRPr="004A1B6C">
      <w:fldChar w:fldCharType="separate"/>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10</w:t>
    </w:r>
    <w:r w:rsidRPr="004A1B6C">
      <w:fldChar w:fldCharType="end"/>
    </w:r>
  </w:p>
  <w:p w:rsidR="00122EF6" w:rsidRPr="004A1B6C" w:rsidRDefault="00122EF6">
    <w:pPr>
      <w:pStyle w:val="SidfotH"/>
      <w:framePr w:w="8732" w:h="284" w:hRule="exact" w:hSpace="0" w:vSpace="0" w:wrap="around" w:xAlign="inside" w:y="13042" w:anchorLock="0"/>
    </w:pPr>
    <w:r w:rsidRPr="004A1B6C">
      <w:fldChar w:fldCharType="end"/>
    </w:r>
  </w:p>
  <w:p w:rsidR="00122EF6" w:rsidRPr="004A1B6C" w:rsidRDefault="00122EF6">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12</w:t>
    </w:r>
    <w:r w:rsidRPr="004A1B6C">
      <w:fldChar w:fldCharType="end"/>
    </w:r>
  </w:p>
  <w:p w:rsidR="00122EF6" w:rsidRPr="004A1B6C" w:rsidRDefault="00122EF6">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H"/>
      <w:framePr w:w="8732" w:h="284" w:hRule="exact" w:hSpace="0" w:vSpace="0" w:wrap="around" w:xAlign="inside" w:y="13042" w:anchorLock="0"/>
    </w:pP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t>13</w:t>
    </w:r>
    <w:r w:rsidRPr="004A1B6C">
      <w:fldChar w:fldCharType="end"/>
    </w:r>
  </w:p>
  <w:p w:rsidR="00122EF6" w:rsidRPr="004A1B6C" w:rsidRDefault="00122EF6">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fotV"/>
      <w:framePr w:w="8732" w:h="284" w:hRule="exact" w:hSpace="0" w:vSpace="0" w:wrap="around" w:xAlign="inside" w:y="13042" w:anchorLock="0"/>
    </w:pPr>
    <w:r w:rsidRPr="004A1B6C">
      <w:fldChar w:fldCharType="begin" w:fldLock="1"/>
    </w:r>
    <w:r w:rsidRPr="004A1B6C">
      <w:instrText xml:space="preserve"> if </w:instrText>
    </w:r>
    <w:r w:rsidRPr="004A1B6C">
      <w:fldChar w:fldCharType="begin" w:fldLock="1"/>
    </w:r>
    <w:r w:rsidRPr="004A1B6C">
      <w:instrText xml:space="preserve"> = </w:instrText>
    </w:r>
    <w:r w:rsidRPr="004A1B6C">
      <w:fldChar w:fldCharType="begin" w:fldLock="1"/>
    </w:r>
    <w:r w:rsidRPr="004A1B6C">
      <w:instrText xml:space="preserve"> = </w:instrText>
    </w:r>
    <w:r w:rsidRPr="004A1B6C">
      <w:fldChar w:fldCharType="begin" w:fldLock="1"/>
    </w:r>
    <w:r w:rsidRPr="004A1B6C">
      <w:instrText xml:space="preserve"> page</w:instrText>
    </w:r>
    <w:r w:rsidRPr="004A1B6C">
      <w:fldChar w:fldCharType="separate"/>
    </w:r>
    <w:r w:rsidRPr="004A1B6C">
      <w:instrText>11</w:instrText>
    </w:r>
    <w:r w:rsidRPr="004A1B6C">
      <w:fldChar w:fldCharType="end"/>
    </w:r>
    <w:r w:rsidRPr="004A1B6C">
      <w:instrText xml:space="preserve">/2 </w:instrText>
    </w:r>
    <w:r w:rsidRPr="004A1B6C">
      <w:fldChar w:fldCharType="separate"/>
    </w:r>
    <w:r w:rsidRPr="004A1B6C">
      <w:instrText>5,5</w:instrText>
    </w:r>
    <w:r w:rsidRPr="004A1B6C">
      <w:fldChar w:fldCharType="end"/>
    </w:r>
    <w:r w:rsidRPr="004A1B6C">
      <w:instrText xml:space="preserve"> - </w:instrText>
    </w:r>
    <w:r w:rsidRPr="004A1B6C">
      <w:fldChar w:fldCharType="begin" w:fldLock="1"/>
    </w:r>
    <w:r w:rsidRPr="004A1B6C">
      <w:instrText xml:space="preserve"> = int(</w:instrText>
    </w:r>
    <w:r w:rsidRPr="004A1B6C">
      <w:fldChar w:fldCharType="begin" w:fldLock="1"/>
    </w:r>
    <w:r w:rsidRPr="004A1B6C">
      <w:instrText xml:space="preserve"> page</w:instrText>
    </w:r>
    <w:r w:rsidRPr="004A1B6C">
      <w:fldChar w:fldCharType="separate"/>
    </w:r>
    <w:r w:rsidRPr="004A1B6C">
      <w:instrText>11</w:instrText>
    </w:r>
    <w:r w:rsidRPr="004A1B6C">
      <w:fldChar w:fldCharType="end"/>
    </w:r>
    <w:r w:rsidRPr="004A1B6C">
      <w:instrText xml:space="preserve">/2) </w:instrText>
    </w:r>
    <w:r w:rsidRPr="004A1B6C">
      <w:fldChar w:fldCharType="separate"/>
    </w:r>
    <w:r w:rsidRPr="004A1B6C">
      <w:instrText>5</w:instrText>
    </w:r>
    <w:r w:rsidRPr="004A1B6C">
      <w:fldChar w:fldCharType="end"/>
    </w:r>
    <w:r w:rsidRPr="004A1B6C">
      <w:fldChar w:fldCharType="separate"/>
    </w:r>
    <w:r w:rsidRPr="004A1B6C">
      <w:instrText>0,5</w:instrText>
    </w:r>
    <w:r w:rsidRPr="004A1B6C">
      <w:fldChar w:fldCharType="end"/>
    </w:r>
    <w:r w:rsidRPr="004A1B6C">
      <w:instrText xml:space="preserve"> = 0 "</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12</w:instrText>
    </w:r>
    <w:r w:rsidRPr="004A1B6C">
      <w:fldChar w:fldCharType="end"/>
    </w:r>
  </w:p>
  <w:p w:rsidR="00122EF6" w:rsidRPr="004A1B6C" w:rsidRDefault="00122EF6">
    <w:pPr>
      <w:pStyle w:val="SidfotH"/>
      <w:framePr w:w="8732" w:h="284" w:hRule="exact" w:hSpace="0" w:vSpace="0" w:wrap="around" w:xAlign="inside" w:y="13042" w:anchorLock="0"/>
    </w:pPr>
    <w:r w:rsidRPr="004A1B6C">
      <w:instrText>""</w:instrText>
    </w:r>
    <w:r w:rsidRPr="004A1B6C">
      <w:fldChar w:fldCharType="begin" w:fldLock="1"/>
    </w:r>
    <w:r w:rsidRPr="004A1B6C">
      <w:instrText xml:space="preserve"> P</w:instrText>
    </w:r>
    <w:r w:rsidRPr="004A1B6C">
      <w:instrText>A</w:instrText>
    </w:r>
    <w:r w:rsidRPr="004A1B6C">
      <w:instrText xml:space="preserve">GE </w:instrText>
    </w:r>
    <w:r w:rsidRPr="004A1B6C">
      <w:fldChar w:fldCharType="separate"/>
    </w:r>
    <w:r w:rsidRPr="004A1B6C">
      <w:instrText>11</w:instrText>
    </w:r>
    <w:r w:rsidRPr="004A1B6C">
      <w:fldChar w:fldCharType="end"/>
    </w:r>
    <w:r w:rsidRPr="004A1B6C">
      <w:instrText>"</w:instrText>
    </w:r>
    <w:r w:rsidRPr="004A1B6C">
      <w:fldChar w:fldCharType="separate"/>
    </w:r>
    <w:r w:rsidRPr="004A1B6C">
      <w:t>11</w:t>
    </w:r>
    <w:r w:rsidRPr="004A1B6C">
      <w:fldChar w:fldCharType="end"/>
    </w:r>
  </w:p>
  <w:p w:rsidR="00122EF6" w:rsidRPr="004A1B6C" w:rsidRDefault="00122EF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2EF6" w:rsidRPr="004A1B6C" w:rsidRDefault="00122EF6">
      <w:r w:rsidRPr="004A1B6C">
        <w:separator/>
      </w:r>
    </w:p>
  </w:footnote>
  <w:footnote w:type="continuationSeparator" w:id="0">
    <w:p w:rsidR="00122EF6" w:rsidRPr="004A1B6C" w:rsidRDefault="00122EF6">
      <w:r w:rsidRPr="004A1B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 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BetänkandeNr</w:instrText>
    </w:r>
    <w:r w:rsidRPr="004A1B6C">
      <w:rPr>
        <w:rStyle w:val="SidhuvudUtskott"/>
      </w:rPr>
      <w:fldChar w:fldCharType="separate"/>
    </w:r>
    <w:r w:rsidRPr="004A1B6C">
      <w:rPr>
        <w:rStyle w:val="SidhuvudUtskott"/>
      </w:rPr>
      <w:t>14</w:t>
    </w:r>
    <w:r w:rsidRPr="004A1B6C">
      <w:rPr>
        <w:rStyle w:val="SidhuvudUtskott"/>
      </w:rPr>
      <w:fldChar w:fldCharType="end"/>
    </w:r>
    <w:r w:rsidRPr="004A1B6C">
      <w:t xml:space="preserve">     </w:t>
    </w:r>
    <w:r w:rsidRPr="004A1B6C">
      <w:rPr>
        <w:rStyle w:val="SidhuvudBilaga"/>
      </w:rPr>
      <w:t xml:space="preserve"> </w:t>
    </w: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Sammanfattning</w:t>
    </w:r>
    <w:r w:rsidRPr="004A1B6C">
      <w:rPr>
        <w:rStyle w:val="SidhuvudRubrikReferens"/>
      </w:rPr>
      <w:fldChar w:fldCharType="end"/>
    </w:r>
  </w:p>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Status</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    </w:instrText>
    </w:r>
    <w:r w:rsidRPr="004A1B6C">
      <w:rPr>
        <w:rStyle w:val="SidhuvudUtskott"/>
      </w:rPr>
      <w:fldChar w:fldCharType="begin" w:fldLock="1"/>
    </w:r>
    <w:r w:rsidRPr="004A1B6C">
      <w:rPr>
        <w:rStyle w:val="SidhuvudUtskott"/>
      </w:rPr>
      <w:instrText xml:space="preserve"> PRINTDATE \@ "yyyy-MM-dd HH.mm"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p>
  <w:p w:rsidR="00122EF6" w:rsidRPr="004A1B6C" w:rsidRDefault="00122EF6">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Sammanfattning</w:t>
    </w:r>
    <w:r w:rsidRPr="004A1B6C">
      <w:rPr>
        <w:rStyle w:val="SidhuvudRubrikReferens"/>
      </w:rPr>
      <w:fldChar w:fldCharType="end"/>
    </w:r>
    <w:r w:rsidRPr="004A1B6C">
      <w:rPr>
        <w:rStyle w:val="SidhuvudBilaga"/>
      </w:rPr>
      <w:t xml:space="preserve"> </w:t>
    </w:r>
    <w:r w:rsidRPr="004A1B6C">
      <w:t xml:space="preserve">     </w:t>
    </w: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w:instrText>
    </w:r>
    <w:r w:rsidRPr="004A1B6C">
      <w:instrText xml:space="preserve"> </w:instrText>
    </w:r>
    <w:r w:rsidRPr="004A1B6C">
      <w:rPr>
        <w:rStyle w:val="SidhuvudUtskott"/>
      </w:rPr>
      <w:instrText>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w:instrText>
    </w:r>
    <w:r w:rsidRPr="004A1B6C">
      <w:rPr>
        <w:rStyle w:val="SidhuvudUtskott"/>
      </w:rPr>
      <w:instrText>n</w:instrText>
    </w:r>
    <w:r w:rsidRPr="004A1B6C">
      <w:rPr>
        <w:rStyle w:val="SidhuvudUtskott"/>
      </w:rPr>
      <w:instrText>kandeNr</w:instrText>
    </w:r>
    <w:r w:rsidRPr="004A1B6C">
      <w:rPr>
        <w:rStyle w:val="SidhuvudUtskott"/>
      </w:rPr>
      <w:fldChar w:fldCharType="separate"/>
    </w:r>
    <w:r w:rsidRPr="004A1B6C">
      <w:rPr>
        <w:rStyle w:val="SidhuvudUtskott"/>
      </w:rPr>
      <w:t>14</w:t>
    </w:r>
    <w:r w:rsidRPr="004A1B6C">
      <w:rPr>
        <w:rStyle w:val="SidhuvudUtskott"/>
      </w:rPr>
      <w:fldChar w:fldCharType="end"/>
    </w:r>
  </w:p>
  <w:p w:rsidR="00122EF6" w:rsidRPr="004A1B6C" w:rsidRDefault="00122EF6">
    <w:pPr>
      <w:pStyle w:val="SidhuvudKantUdda"/>
      <w:framePr w:w="8732" w:h="567" w:hRule="exact" w:vSpace="0" w:wrap="around" w:vAnchor="page" w:y="341" w:anchorLock="0"/>
    </w:pP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w:instrText>
    </w:r>
    <w:r w:rsidRPr="004A1B6C">
      <w:rPr>
        <w:rStyle w:val="SidhuvudUtskott"/>
      </w:rPr>
      <w:fldChar w:fldCharType="begin" w:fldLock="1"/>
    </w:r>
    <w:r w:rsidRPr="004A1B6C">
      <w:rPr>
        <w:rStyle w:val="SidhuvudUtskott"/>
      </w:rPr>
      <w:instrText xml:space="preserve"> PRINTDATE \@ "yyyy-MM-dd HH.mm    "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w:instrText>
    </w:r>
    <w:r w:rsidRPr="004A1B6C">
      <w:rPr>
        <w:rStyle w:val="SidhuvudUtskott"/>
      </w:rPr>
      <w:instrText>O</w:instrText>
    </w:r>
    <w:r w:rsidRPr="004A1B6C">
      <w:rPr>
        <w:rStyle w:val="SidhuvudUtskott"/>
      </w:rPr>
      <w:instrText>PERTY Status</w:instrText>
    </w:r>
    <w:r w:rsidRPr="004A1B6C">
      <w:rPr>
        <w:rStyle w:val="SidhuvudUtskott"/>
      </w:rPr>
      <w:fldChar w:fldCharType="end"/>
    </w:r>
  </w:p>
  <w:p w:rsidR="00122EF6" w:rsidRPr="004A1B6C" w:rsidRDefault="00122EF6">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t xml:space="preserve"> </w:t>
    </w:r>
  </w:p>
  <w:p w:rsidR="00122EF6" w:rsidRPr="004A1B6C" w:rsidRDefault="00122EF6">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 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BetänkandeNr</w:instrText>
    </w:r>
    <w:r w:rsidRPr="004A1B6C">
      <w:rPr>
        <w:rStyle w:val="SidhuvudUtskott"/>
      </w:rPr>
      <w:fldChar w:fldCharType="separate"/>
    </w:r>
    <w:r w:rsidRPr="004A1B6C">
      <w:rPr>
        <w:rStyle w:val="SidhuvudUtskott"/>
      </w:rPr>
      <w:t>14</w:t>
    </w:r>
    <w:r w:rsidRPr="004A1B6C">
      <w:rPr>
        <w:rStyle w:val="SidhuvudUtskott"/>
      </w:rPr>
      <w:fldChar w:fldCharType="end"/>
    </w:r>
    <w:r w:rsidRPr="004A1B6C">
      <w:t xml:space="preserve">     </w:t>
    </w:r>
    <w:r w:rsidRPr="004A1B6C">
      <w:rPr>
        <w:rStyle w:val="SidhuvudBilaga"/>
      </w:rPr>
      <w:t xml:space="preserve"> </w:t>
    </w: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Sammanfattning</w:t>
    </w:r>
    <w:r w:rsidRPr="004A1B6C">
      <w:rPr>
        <w:rStyle w:val="SidhuvudRubrikReferens"/>
      </w:rPr>
      <w:fldChar w:fldCharType="end"/>
    </w:r>
  </w:p>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Status</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    </w:instrText>
    </w:r>
    <w:r w:rsidRPr="004A1B6C">
      <w:rPr>
        <w:rStyle w:val="SidhuvudUtskott"/>
      </w:rPr>
      <w:fldChar w:fldCharType="begin" w:fldLock="1"/>
    </w:r>
    <w:r w:rsidRPr="004A1B6C">
      <w:rPr>
        <w:rStyle w:val="SidhuvudUtskott"/>
      </w:rPr>
      <w:instrText xml:space="preserve"> PRINTDATE \@ "yyyy-MM-dd HH.mm"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p>
  <w:p w:rsidR="00122EF6" w:rsidRPr="004A1B6C" w:rsidRDefault="00122EF6">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Sammanfattning</w:t>
    </w:r>
    <w:r w:rsidRPr="004A1B6C">
      <w:rPr>
        <w:rStyle w:val="SidhuvudRubrikReferens"/>
      </w:rPr>
      <w:fldChar w:fldCharType="end"/>
    </w:r>
    <w:r w:rsidRPr="004A1B6C">
      <w:rPr>
        <w:rStyle w:val="SidhuvudBilaga"/>
      </w:rPr>
      <w:t xml:space="preserve"> </w:t>
    </w:r>
    <w:r w:rsidRPr="004A1B6C">
      <w:t xml:space="preserve">     </w:t>
    </w: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w:instrText>
    </w:r>
    <w:r w:rsidRPr="004A1B6C">
      <w:instrText xml:space="preserve"> </w:instrText>
    </w:r>
    <w:r w:rsidRPr="004A1B6C">
      <w:rPr>
        <w:rStyle w:val="SidhuvudUtskott"/>
      </w:rPr>
      <w:instrText>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w:instrText>
    </w:r>
    <w:r w:rsidRPr="004A1B6C">
      <w:rPr>
        <w:rStyle w:val="SidhuvudUtskott"/>
      </w:rPr>
      <w:instrText>n</w:instrText>
    </w:r>
    <w:r w:rsidRPr="004A1B6C">
      <w:rPr>
        <w:rStyle w:val="SidhuvudUtskott"/>
      </w:rPr>
      <w:instrText>kandeNr</w:instrText>
    </w:r>
    <w:r w:rsidRPr="004A1B6C">
      <w:rPr>
        <w:rStyle w:val="SidhuvudUtskott"/>
      </w:rPr>
      <w:fldChar w:fldCharType="separate"/>
    </w:r>
    <w:r w:rsidRPr="004A1B6C">
      <w:rPr>
        <w:rStyle w:val="SidhuvudUtskott"/>
      </w:rPr>
      <w:t>14</w:t>
    </w:r>
    <w:r w:rsidRPr="004A1B6C">
      <w:rPr>
        <w:rStyle w:val="SidhuvudUtskott"/>
      </w:rPr>
      <w:fldChar w:fldCharType="end"/>
    </w:r>
  </w:p>
  <w:p w:rsidR="00122EF6" w:rsidRPr="004A1B6C" w:rsidRDefault="00122EF6">
    <w:pPr>
      <w:pStyle w:val="SidhuvudKantUdda"/>
      <w:framePr w:w="8732" w:h="567" w:hRule="exact" w:vSpace="0" w:wrap="around" w:vAnchor="page" w:y="341" w:anchorLock="0"/>
    </w:pP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w:instrText>
    </w:r>
    <w:r w:rsidRPr="004A1B6C">
      <w:rPr>
        <w:rStyle w:val="SidhuvudUtskott"/>
      </w:rPr>
      <w:fldChar w:fldCharType="begin" w:fldLock="1"/>
    </w:r>
    <w:r w:rsidRPr="004A1B6C">
      <w:rPr>
        <w:rStyle w:val="SidhuvudUtskott"/>
      </w:rPr>
      <w:instrText xml:space="preserve"> PRINTDATE \@ "yyyy-MM-dd HH.mm    "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w:instrText>
    </w:r>
    <w:r w:rsidRPr="004A1B6C">
      <w:rPr>
        <w:rStyle w:val="SidhuvudUtskott"/>
      </w:rPr>
      <w:instrText>O</w:instrText>
    </w:r>
    <w:r w:rsidRPr="004A1B6C">
      <w:rPr>
        <w:rStyle w:val="SidhuvudUtskott"/>
      </w:rPr>
      <w:instrText>PERTY Status</w:instrText>
    </w:r>
    <w:r w:rsidRPr="004A1B6C">
      <w:rPr>
        <w:rStyle w:val="SidhuvudUtskott"/>
      </w:rPr>
      <w:fldChar w:fldCharType="end"/>
    </w:r>
  </w:p>
  <w:p w:rsidR="00122EF6" w:rsidRPr="004A1B6C" w:rsidRDefault="00122EF6">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p>
  <w:p w:rsidR="00122EF6" w:rsidRPr="004A1B6C" w:rsidRDefault="00122EF6">
    <w:pPr>
      <w:pStyle w:val="SidhuvudKantJmn"/>
      <w:framePr w:w="8732" w:h="567" w:hRule="exact" w:vSpace="0" w:wrap="around" w:vAnchor="page" w:y="341" w:anchorLock="0"/>
    </w:pPr>
  </w:p>
  <w:p w:rsidR="00122EF6" w:rsidRPr="004A1B6C" w:rsidRDefault="00122EF6">
    <w:pPr>
      <w:pStyle w:val="SidhuvudKantUdda"/>
      <w:framePr w:w="8732" w:h="567" w:hRule="exact" w:vSpace="0" w:wrap="around" w:vAnchor="page" w:y="341" w:anchorLock="0"/>
    </w:pPr>
    <w:r w:rsidRPr="004A1B6C">
      <w:rPr>
        <w:rStyle w:val="SidhuvudRubrikReferens"/>
        <w:smallCaps w:val="0"/>
      </w:rPr>
      <w:t xml:space="preserve"> </w:t>
    </w:r>
  </w:p>
  <w:p w:rsidR="00122EF6" w:rsidRPr="004A1B6C" w:rsidRDefault="00122EF6">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 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BetänkandeNr</w:instrText>
    </w:r>
    <w:r w:rsidRPr="004A1B6C">
      <w:rPr>
        <w:rStyle w:val="SidhuvudUtskott"/>
      </w:rPr>
      <w:fldChar w:fldCharType="separate"/>
    </w:r>
    <w:r w:rsidRPr="004A1B6C">
      <w:rPr>
        <w:rStyle w:val="SidhuvudUtskott"/>
      </w:rPr>
      <w:t>14</w:t>
    </w:r>
    <w:r w:rsidRPr="004A1B6C">
      <w:rPr>
        <w:rStyle w:val="SidhuvudUtskott"/>
      </w:rPr>
      <w:fldChar w:fldCharType="end"/>
    </w:r>
    <w:r w:rsidRPr="004A1B6C">
      <w:t xml:space="preserve">     </w:t>
    </w:r>
    <w:r w:rsidRPr="004A1B6C">
      <w:rPr>
        <w:rStyle w:val="SidhuvudBilaga"/>
      </w:rPr>
      <w:t xml:space="preserve"> </w:t>
    </w: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Innehållsförteckning</w:t>
    </w:r>
    <w:r w:rsidRPr="004A1B6C">
      <w:rPr>
        <w:rStyle w:val="SidhuvudRubrikReferens"/>
      </w:rPr>
      <w:fldChar w:fldCharType="end"/>
    </w:r>
  </w:p>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Status</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    </w:instrText>
    </w:r>
    <w:r w:rsidRPr="004A1B6C">
      <w:rPr>
        <w:rStyle w:val="SidhuvudUtskott"/>
      </w:rPr>
      <w:fldChar w:fldCharType="begin" w:fldLock="1"/>
    </w:r>
    <w:r w:rsidRPr="004A1B6C">
      <w:rPr>
        <w:rStyle w:val="SidhuvudUtskott"/>
      </w:rPr>
      <w:instrText xml:space="preserve"> PRINTDATE \@ "yyyy-MM-dd HH.mm"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p>
  <w:p w:rsidR="00122EF6" w:rsidRPr="004A1B6C" w:rsidRDefault="00122EF6">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Innehållsförteckning</w:t>
    </w:r>
    <w:r w:rsidRPr="004A1B6C">
      <w:rPr>
        <w:rStyle w:val="SidhuvudRubrikReferens"/>
      </w:rPr>
      <w:fldChar w:fldCharType="end"/>
    </w:r>
    <w:r w:rsidRPr="004A1B6C">
      <w:rPr>
        <w:rStyle w:val="SidhuvudBilaga"/>
      </w:rPr>
      <w:t xml:space="preserve"> </w:t>
    </w:r>
    <w:r w:rsidRPr="004A1B6C">
      <w:t xml:space="preserve">     </w:t>
    </w: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w:instrText>
    </w:r>
    <w:r w:rsidRPr="004A1B6C">
      <w:instrText xml:space="preserve"> </w:instrText>
    </w:r>
    <w:r w:rsidRPr="004A1B6C">
      <w:rPr>
        <w:rStyle w:val="SidhuvudUtskott"/>
      </w:rPr>
      <w:instrText>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w:instrText>
    </w:r>
    <w:r w:rsidRPr="004A1B6C">
      <w:rPr>
        <w:rStyle w:val="SidhuvudUtskott"/>
      </w:rPr>
      <w:instrText>n</w:instrText>
    </w:r>
    <w:r w:rsidRPr="004A1B6C">
      <w:rPr>
        <w:rStyle w:val="SidhuvudUtskott"/>
      </w:rPr>
      <w:instrText>kandeNr</w:instrText>
    </w:r>
    <w:r w:rsidRPr="004A1B6C">
      <w:rPr>
        <w:rStyle w:val="SidhuvudUtskott"/>
      </w:rPr>
      <w:fldChar w:fldCharType="separate"/>
    </w:r>
    <w:r w:rsidRPr="004A1B6C">
      <w:rPr>
        <w:rStyle w:val="SidhuvudUtskott"/>
      </w:rPr>
      <w:t>14</w:t>
    </w:r>
    <w:r w:rsidRPr="004A1B6C">
      <w:rPr>
        <w:rStyle w:val="SidhuvudUtskott"/>
      </w:rPr>
      <w:fldChar w:fldCharType="end"/>
    </w:r>
  </w:p>
  <w:p w:rsidR="00122EF6" w:rsidRPr="004A1B6C" w:rsidRDefault="00122EF6">
    <w:pPr>
      <w:pStyle w:val="SidhuvudKantUdda"/>
      <w:framePr w:w="8732" w:h="567" w:hRule="exact" w:vSpace="0" w:wrap="around" w:vAnchor="page" w:y="341" w:anchorLock="0"/>
    </w:pP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w:instrText>
    </w:r>
    <w:r w:rsidRPr="004A1B6C">
      <w:rPr>
        <w:rStyle w:val="SidhuvudUtskott"/>
      </w:rPr>
      <w:fldChar w:fldCharType="begin" w:fldLock="1"/>
    </w:r>
    <w:r w:rsidRPr="004A1B6C">
      <w:rPr>
        <w:rStyle w:val="SidhuvudUtskott"/>
      </w:rPr>
      <w:instrText xml:space="preserve"> PRINTDATE \@ "yyyy-MM-dd HH.mm    "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w:instrText>
    </w:r>
    <w:r w:rsidRPr="004A1B6C">
      <w:rPr>
        <w:rStyle w:val="SidhuvudUtskott"/>
      </w:rPr>
      <w:instrText>O</w:instrText>
    </w:r>
    <w:r w:rsidRPr="004A1B6C">
      <w:rPr>
        <w:rStyle w:val="SidhuvudUtskott"/>
      </w:rPr>
      <w:instrText>PERTY Status</w:instrText>
    </w:r>
    <w:r w:rsidRPr="004A1B6C">
      <w:rPr>
        <w:rStyle w:val="SidhuvudUtskott"/>
      </w:rPr>
      <w:fldChar w:fldCharType="end"/>
    </w:r>
  </w:p>
  <w:p w:rsidR="00122EF6" w:rsidRPr="004A1B6C" w:rsidRDefault="00122EF6">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r w:rsidRPr="004A1B6C">
      <w:rPr>
        <w:rStyle w:val="SidhuvudBilaga"/>
      </w:rPr>
      <w:t xml:space="preserve"> </w:t>
    </w:r>
    <w:r w:rsidRPr="004A1B6C">
      <w:rPr>
        <w:rStyle w:val="SidhuvudRubrikReferens"/>
      </w:rPr>
      <w:t>Redogörelse för ärendet</w:t>
    </w:r>
  </w:p>
  <w:p w:rsidR="00122EF6" w:rsidRPr="004A1B6C" w:rsidRDefault="00122EF6">
    <w:pPr>
      <w:pStyle w:val="SidhuvudKantJmn"/>
      <w:framePr w:w="8732" w:h="567" w:hRule="exact" w:vSpace="0" w:wrap="around" w:vAnchor="page" w:y="341" w:anchorLock="0"/>
    </w:pPr>
  </w:p>
  <w:p w:rsidR="00122EF6" w:rsidRPr="004A1B6C" w:rsidRDefault="00122EF6">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t>Redogörelse för ärendet</w:t>
    </w:r>
    <w:r w:rsidRPr="004A1B6C">
      <w:rPr>
        <w:rStyle w:val="SidhuvudBilaga"/>
      </w:rPr>
      <w:t xml:space="preserve"> </w:t>
    </w: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p>
  <w:p w:rsidR="00122EF6" w:rsidRPr="004A1B6C" w:rsidRDefault="00122EF6">
    <w:pPr>
      <w:pStyle w:val="SidhuvudKantJmn"/>
      <w:framePr w:w="8732" w:h="567" w:hRule="exact" w:vSpace="0" w:wrap="around" w:vAnchor="page" w:y="341" w:anchorLock="0"/>
    </w:pPr>
  </w:p>
  <w:p w:rsidR="00122EF6" w:rsidRPr="004A1B6C" w:rsidRDefault="00122EF6">
    <w:pPr>
      <w:pStyle w:val="SidhuvudKantUdda"/>
      <w:framePr w:w="8732" w:h="567" w:hRule="exact" w:vSpace="0" w:wrap="around" w:vAnchor="page" w:y="341" w:anchorLock="0"/>
    </w:pPr>
    <w:r w:rsidRPr="004A1B6C">
      <w:rPr>
        <w:rStyle w:val="SidhuvudRubrikReferens"/>
        <w:smallCaps w:val="0"/>
      </w:rPr>
      <w:t xml:space="preserve"> </w:t>
    </w:r>
  </w:p>
  <w:p w:rsidR="00122EF6" w:rsidRPr="004A1B6C" w:rsidRDefault="00122EF6">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r w:rsidRPr="004A1B6C">
      <w:rPr>
        <w:rStyle w:val="SidhuvudBilaga"/>
      </w:rPr>
      <w:t xml:space="preserve"> </w:t>
    </w:r>
    <w:r w:rsidRPr="004A1B6C">
      <w:rPr>
        <w:rStyle w:val="SidhuvudRubrikReferens"/>
      </w:rPr>
      <w:t>Utskottets överväganden</w:t>
    </w:r>
  </w:p>
  <w:p w:rsidR="00122EF6" w:rsidRPr="004A1B6C" w:rsidRDefault="00122EF6">
    <w:pPr>
      <w:pStyle w:val="SidhuvudKantJmn"/>
      <w:framePr w:w="8732" w:h="567" w:hRule="exact" w:vSpace="0" w:wrap="around" w:vAnchor="page" w:y="341" w:anchorLock="0"/>
    </w:pPr>
  </w:p>
  <w:p w:rsidR="00122EF6" w:rsidRPr="004A1B6C" w:rsidRDefault="00122EF6">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t>Utskottets överväganden</w:t>
    </w:r>
    <w:r w:rsidRPr="004A1B6C">
      <w:rPr>
        <w:rStyle w:val="SidhuvudBilaga"/>
      </w:rPr>
      <w:t xml:space="preserve"> </w:t>
    </w: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 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DOCPROPERTY BetänkandeNr</w:instrText>
    </w:r>
    <w:r w:rsidRPr="004A1B6C">
      <w:rPr>
        <w:rStyle w:val="SidhuvudUtskott"/>
      </w:rPr>
      <w:fldChar w:fldCharType="separate"/>
    </w:r>
    <w:r w:rsidRPr="004A1B6C">
      <w:rPr>
        <w:rStyle w:val="SidhuvudUtskott"/>
      </w:rPr>
      <w:t>14</w:t>
    </w:r>
    <w:r w:rsidRPr="004A1B6C">
      <w:rPr>
        <w:rStyle w:val="SidhuvudUtskott"/>
      </w:rPr>
      <w:fldChar w:fldCharType="end"/>
    </w:r>
    <w:r w:rsidRPr="004A1B6C">
      <w:t xml:space="preserve">     </w:t>
    </w:r>
    <w:r w:rsidRPr="004A1B6C">
      <w:rPr>
        <w:rStyle w:val="SidhuvudBilaga"/>
      </w:rPr>
      <w:t xml:space="preserve"> Bilaga 1   </w:t>
    </w: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Utskottets överväganden</w:t>
    </w:r>
    <w:r w:rsidRPr="004A1B6C">
      <w:rPr>
        <w:rStyle w:val="SidhuvudRubrikReferens"/>
      </w:rPr>
      <w:fldChar w:fldCharType="end"/>
    </w:r>
  </w:p>
  <w:p w:rsidR="00122EF6" w:rsidRPr="004A1B6C" w:rsidRDefault="00122EF6">
    <w:pPr>
      <w:pStyle w:val="SidhuvudKantJmn"/>
      <w:framePr w:w="8732" w:h="567" w:hRule="exact" w:vSpace="0" w:wrap="around" w:vAnchor="page" w:y="341" w:anchorLock="0"/>
    </w:pPr>
    <w:r w:rsidRPr="004A1B6C">
      <w:rPr>
        <w:rStyle w:val="SidhuvudUtskott"/>
      </w:rPr>
      <w:fldChar w:fldCharType="begin" w:fldLock="1"/>
    </w:r>
    <w:r w:rsidRPr="004A1B6C">
      <w:rPr>
        <w:rStyle w:val="SidhuvudUtskott"/>
      </w:rPr>
      <w:instrText xml:space="preserve"> DOCPROPERTY Status</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    </w:instrText>
    </w:r>
    <w:r w:rsidRPr="004A1B6C">
      <w:rPr>
        <w:rStyle w:val="SidhuvudUtskott"/>
      </w:rPr>
      <w:fldChar w:fldCharType="begin" w:fldLock="1"/>
    </w:r>
    <w:r w:rsidRPr="004A1B6C">
      <w:rPr>
        <w:rStyle w:val="SidhuvudUtskott"/>
      </w:rPr>
      <w:instrText xml:space="preserve"> PRINTDATE \@ "yyyy-MM-dd HH.mm"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p>
  <w:p w:rsidR="00122EF6" w:rsidRPr="004A1B6C" w:rsidRDefault="00122EF6">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fldChar w:fldCharType="begin" w:fldLock="1"/>
    </w:r>
    <w:r w:rsidRPr="004A1B6C">
      <w:rPr>
        <w:rStyle w:val="SidhuvudRubrikReferens"/>
      </w:rPr>
      <w:instrText xml:space="preserve"> StyleREF "Rubrik 1" </w:instrText>
    </w:r>
    <w:r w:rsidRPr="004A1B6C">
      <w:rPr>
        <w:rStyle w:val="SidhuvudRubrikReferens"/>
      </w:rPr>
      <w:fldChar w:fldCharType="separate"/>
    </w:r>
    <w:r w:rsidRPr="004A1B6C">
      <w:rPr>
        <w:rStyle w:val="SidhuvudRubrikReferens"/>
      </w:rPr>
      <w:t>Utskottets överväganden</w:t>
    </w:r>
    <w:r w:rsidRPr="004A1B6C">
      <w:rPr>
        <w:rStyle w:val="SidhuvudRubrikReferens"/>
      </w:rPr>
      <w:fldChar w:fldCharType="end"/>
    </w:r>
    <w:r w:rsidRPr="004A1B6C">
      <w:rPr>
        <w:rStyle w:val="SidhuvudBilaga"/>
      </w:rPr>
      <w:t xml:space="preserve">   Bilaga 1 </w:t>
    </w:r>
    <w:r w:rsidRPr="004A1B6C">
      <w:t xml:space="preserve">     </w:t>
    </w:r>
    <w:r w:rsidRPr="004A1B6C">
      <w:rPr>
        <w:rStyle w:val="SidhuvudUtskott"/>
      </w:rPr>
      <w:fldChar w:fldCharType="begin" w:fldLock="1"/>
    </w:r>
    <w:r w:rsidRPr="004A1B6C">
      <w:rPr>
        <w:rStyle w:val="SidhuvudUtskott"/>
      </w:rPr>
      <w:instrText xml:space="preserve"> DOCPROPERTY BetänkandeÅr</w:instrText>
    </w:r>
    <w:r w:rsidRPr="004A1B6C">
      <w:rPr>
        <w:rStyle w:val="SidhuvudUtskott"/>
      </w:rPr>
      <w:fldChar w:fldCharType="separate"/>
    </w:r>
    <w:r w:rsidRPr="004A1B6C">
      <w:rPr>
        <w:rStyle w:val="SidhuvudUtskott"/>
      </w:rPr>
      <w:t>2004/05</w:t>
    </w:r>
    <w:r w:rsidRPr="004A1B6C">
      <w:rPr>
        <w:rStyle w:val="SidhuvudUtskott"/>
      </w:rPr>
      <w:fldChar w:fldCharType="end"/>
    </w:r>
    <w:r w:rsidRPr="004A1B6C">
      <w:rPr>
        <w:rStyle w:val="SidhuvudUtskott"/>
      </w:rPr>
      <w:t>:</w:t>
    </w:r>
    <w:r w:rsidRPr="004A1B6C">
      <w:rPr>
        <w:rStyle w:val="SidhuvudUtskott"/>
      </w:rPr>
      <w:fldChar w:fldCharType="begin" w:fldLock="1"/>
    </w:r>
    <w:r w:rsidRPr="004A1B6C">
      <w:rPr>
        <w:rStyle w:val="SidhuvudUtskott"/>
      </w:rPr>
      <w:instrText xml:space="preserve"> DOCPROPERTY</w:instrText>
    </w:r>
    <w:r w:rsidRPr="004A1B6C">
      <w:instrText xml:space="preserve"> </w:instrText>
    </w:r>
    <w:r w:rsidRPr="004A1B6C">
      <w:rPr>
        <w:rStyle w:val="SidhuvudUtskott"/>
      </w:rPr>
      <w:instrText>Utskott</w:instrText>
    </w:r>
    <w:r w:rsidRPr="004A1B6C">
      <w:rPr>
        <w:rStyle w:val="SidhuvudUtskott"/>
      </w:rPr>
      <w:fldChar w:fldCharType="separate"/>
    </w:r>
    <w:r w:rsidRPr="004A1B6C">
      <w:rPr>
        <w:rStyle w:val="SidhuvudUtskott"/>
      </w:rPr>
      <w:t>SoU</w:t>
    </w:r>
    <w:r w:rsidRPr="004A1B6C">
      <w:rPr>
        <w:rStyle w:val="SidhuvudUtskott"/>
      </w:rPr>
      <w:fldChar w:fldCharType="end"/>
    </w:r>
    <w:r w:rsidRPr="004A1B6C">
      <w:rPr>
        <w:rStyle w:val="SidhuvudUtskott"/>
      </w:rPr>
      <w:fldChar w:fldCharType="begin" w:fldLock="1"/>
    </w:r>
    <w:r w:rsidRPr="004A1B6C">
      <w:rPr>
        <w:rStyle w:val="SidhuvudUtskott"/>
      </w:rPr>
      <w:instrText xml:space="preserve"> DO</w:instrText>
    </w:r>
    <w:r w:rsidRPr="004A1B6C">
      <w:rPr>
        <w:rStyle w:val="SidhuvudUtskott"/>
      </w:rPr>
      <w:instrText>C</w:instrText>
    </w:r>
    <w:r w:rsidRPr="004A1B6C">
      <w:rPr>
        <w:rStyle w:val="SidhuvudUtskott"/>
      </w:rPr>
      <w:instrText>PROPERTY Betä</w:instrText>
    </w:r>
    <w:r w:rsidRPr="004A1B6C">
      <w:rPr>
        <w:rStyle w:val="SidhuvudUtskott"/>
      </w:rPr>
      <w:instrText>n</w:instrText>
    </w:r>
    <w:r w:rsidRPr="004A1B6C">
      <w:rPr>
        <w:rStyle w:val="SidhuvudUtskott"/>
      </w:rPr>
      <w:instrText>kandeNr</w:instrText>
    </w:r>
    <w:r w:rsidRPr="004A1B6C">
      <w:rPr>
        <w:rStyle w:val="SidhuvudUtskott"/>
      </w:rPr>
      <w:fldChar w:fldCharType="separate"/>
    </w:r>
    <w:r w:rsidRPr="004A1B6C">
      <w:rPr>
        <w:rStyle w:val="SidhuvudUtskott"/>
      </w:rPr>
      <w:t>14</w:t>
    </w:r>
    <w:r w:rsidRPr="004A1B6C">
      <w:rPr>
        <w:rStyle w:val="SidhuvudUtskott"/>
      </w:rPr>
      <w:fldChar w:fldCharType="end"/>
    </w:r>
  </w:p>
  <w:p w:rsidR="00122EF6" w:rsidRPr="004A1B6C" w:rsidRDefault="00122EF6">
    <w:pPr>
      <w:pStyle w:val="SidhuvudKantUdda"/>
      <w:framePr w:w="8732" w:h="567" w:hRule="exact" w:vSpace="0" w:wrap="around" w:vAnchor="page" w:y="341" w:anchorLock="0"/>
    </w:pPr>
    <w:r w:rsidRPr="004A1B6C">
      <w:rPr>
        <w:rStyle w:val="SidhuvudUtskott"/>
      </w:rPr>
      <w:fldChar w:fldCharType="begin" w:fldLock="1"/>
    </w:r>
    <w:r w:rsidRPr="004A1B6C">
      <w:rPr>
        <w:rStyle w:val="SidhuvudUtskott"/>
      </w:rPr>
      <w:instrText xml:space="preserve"> if </w:instrText>
    </w:r>
    <w:r w:rsidRPr="004A1B6C">
      <w:rPr>
        <w:rStyle w:val="SidhuvudUtskott"/>
      </w:rPr>
      <w:fldChar w:fldCharType="begin" w:fldLock="1"/>
    </w:r>
    <w:r w:rsidRPr="004A1B6C">
      <w:rPr>
        <w:rStyle w:val="SidhuvudUtskott"/>
      </w:rPr>
      <w:instrText xml:space="preserve"> DOCPROPERTY "UtkastDatum"</w:instrText>
    </w:r>
    <w:r w:rsidRPr="004A1B6C">
      <w:rPr>
        <w:rStyle w:val="SidhuvudUtskott"/>
      </w:rPr>
      <w:fldChar w:fldCharType="separate"/>
    </w:r>
    <w:r w:rsidRPr="004A1B6C">
      <w:rPr>
        <w:rStyle w:val="SidhuvudUtskott"/>
      </w:rPr>
      <w:instrText>Nej</w:instrText>
    </w:r>
    <w:r w:rsidRPr="004A1B6C">
      <w:rPr>
        <w:rStyle w:val="SidhuvudUtskott"/>
      </w:rPr>
      <w:fldChar w:fldCharType="end"/>
    </w:r>
    <w:r w:rsidRPr="004A1B6C">
      <w:rPr>
        <w:rStyle w:val="SidhuvudUtskott"/>
      </w:rPr>
      <w:instrText xml:space="preserve"> = "Ja" "</w:instrText>
    </w:r>
    <w:r w:rsidRPr="004A1B6C">
      <w:rPr>
        <w:rStyle w:val="SidhuvudUtskott"/>
      </w:rPr>
      <w:fldChar w:fldCharType="begin" w:fldLock="1"/>
    </w:r>
    <w:r w:rsidRPr="004A1B6C">
      <w:rPr>
        <w:rStyle w:val="SidhuvudUtskott"/>
      </w:rPr>
      <w:instrText xml:space="preserve"> PRINTDATE \@ "yyyy-MM-dd HH.mm    " </w:instrText>
    </w:r>
    <w:r w:rsidRPr="004A1B6C">
      <w:rPr>
        <w:rStyle w:val="SidhuvudUtskott"/>
      </w:rPr>
      <w:fldChar w:fldCharType="separate"/>
    </w:r>
    <w:r w:rsidRPr="004A1B6C">
      <w:rPr>
        <w:rStyle w:val="SidhuvudUtskott"/>
      </w:rPr>
      <w:instrText>2000-08-11 16.42</w:instrText>
    </w:r>
    <w:r w:rsidRPr="004A1B6C">
      <w:rPr>
        <w:rStyle w:val="SidhuvudUtskott"/>
      </w:rPr>
      <w:fldChar w:fldCharType="end"/>
    </w:r>
    <w:r w:rsidRPr="004A1B6C">
      <w:rPr>
        <w:rStyle w:val="SidhuvudUtskott"/>
      </w:rPr>
      <w:instrText xml:space="preserve">" </w:instrText>
    </w:r>
    <w:r w:rsidRPr="004A1B6C">
      <w:rPr>
        <w:rStyle w:val="SidhuvudUtskott"/>
      </w:rPr>
      <w:fldChar w:fldCharType="end"/>
    </w:r>
    <w:r w:rsidRPr="004A1B6C">
      <w:rPr>
        <w:rStyle w:val="SidhuvudUtskott"/>
      </w:rPr>
      <w:fldChar w:fldCharType="begin" w:fldLock="1"/>
    </w:r>
    <w:r w:rsidRPr="004A1B6C">
      <w:rPr>
        <w:rStyle w:val="SidhuvudUtskott"/>
      </w:rPr>
      <w:instrText xml:space="preserve"> DOCPR</w:instrText>
    </w:r>
    <w:r w:rsidRPr="004A1B6C">
      <w:rPr>
        <w:rStyle w:val="SidhuvudUtskott"/>
      </w:rPr>
      <w:instrText>O</w:instrText>
    </w:r>
    <w:r w:rsidRPr="004A1B6C">
      <w:rPr>
        <w:rStyle w:val="SidhuvudUtskott"/>
      </w:rPr>
      <w:instrText>PERTY Status</w:instrText>
    </w:r>
    <w:r w:rsidRPr="004A1B6C">
      <w:rPr>
        <w:rStyle w:val="SidhuvudUtskott"/>
      </w:rPr>
      <w:fldChar w:fldCharType="end"/>
    </w:r>
  </w:p>
  <w:p w:rsidR="00122EF6" w:rsidRPr="004A1B6C" w:rsidRDefault="00122EF6">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p>
  <w:p w:rsidR="00122EF6" w:rsidRPr="004A1B6C" w:rsidRDefault="00122EF6">
    <w:pPr>
      <w:pStyle w:val="SidhuvudKantJmn"/>
      <w:framePr w:w="8732" w:h="567" w:hRule="exact" w:vSpace="0" w:wrap="around" w:vAnchor="page" w:y="341" w:anchorLock="0"/>
    </w:pPr>
  </w:p>
  <w:p w:rsidR="00122EF6" w:rsidRPr="004A1B6C" w:rsidRDefault="00122EF6">
    <w:pPr>
      <w:pStyle w:val="SidhuvudKantUdda"/>
      <w:framePr w:w="8732" w:h="567" w:hRule="exact" w:vSpace="0" w:wrap="around" w:vAnchor="page" w:y="341" w:anchorLock="0"/>
    </w:pPr>
    <w:r w:rsidRPr="004A1B6C">
      <w:rPr>
        <w:rStyle w:val="SidhuvudRubrikReferens"/>
        <w:smallCaps w:val="0"/>
      </w:rPr>
      <w:t xml:space="preserve"> </w:t>
    </w:r>
  </w:p>
  <w:p w:rsidR="00122EF6" w:rsidRPr="004A1B6C" w:rsidRDefault="00122EF6">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Jmn"/>
      <w:framePr w:w="8732" w:h="567" w:hRule="exact" w:vSpace="0" w:wrap="around" w:vAnchor="page" w:y="341" w:anchorLock="0"/>
    </w:pPr>
    <w:r w:rsidRPr="004A1B6C">
      <w:rPr>
        <w:rStyle w:val="SidhuvudUtskott"/>
      </w:rPr>
      <w:t>2004/05:SoU14</w:t>
    </w:r>
    <w:r w:rsidRPr="004A1B6C">
      <w:t xml:space="preserve">     </w:t>
    </w:r>
    <w:r w:rsidRPr="004A1B6C">
      <w:rPr>
        <w:rStyle w:val="SidhuvudBilaga"/>
      </w:rPr>
      <w:t xml:space="preserve"> Bilaga 2   </w:t>
    </w:r>
    <w:r w:rsidRPr="004A1B6C">
      <w:rPr>
        <w:rStyle w:val="SidhuvudRubrikReferens"/>
      </w:rPr>
      <w:t>Lagrådsyttrande som begärts av utskottet</w:t>
    </w:r>
  </w:p>
  <w:p w:rsidR="00122EF6" w:rsidRPr="004A1B6C" w:rsidRDefault="00122EF6">
    <w:pPr>
      <w:pStyle w:val="SidhuvudKantJmn"/>
      <w:framePr w:w="8732" w:h="567" w:hRule="exact" w:vSpace="0" w:wrap="around" w:vAnchor="page" w:y="341" w:anchorLock="0"/>
    </w:pPr>
  </w:p>
  <w:p w:rsidR="00122EF6" w:rsidRPr="004A1B6C" w:rsidRDefault="00122EF6">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rPr>
        <w:rStyle w:val="SidhuvudRubrikReferens"/>
      </w:rPr>
      <w:t>Lagrådsyttrande som begärts av utskottet</w:t>
    </w:r>
    <w:r w:rsidRPr="004A1B6C">
      <w:rPr>
        <w:rStyle w:val="SidhuvudBilaga"/>
      </w:rPr>
      <w:t xml:space="preserve">   Bilaga 2 </w:t>
    </w: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EF6" w:rsidRPr="004A1B6C" w:rsidRDefault="00122EF6">
    <w:pPr>
      <w:pStyle w:val="SidhuvudKantUdda"/>
      <w:framePr w:w="8732" w:h="567" w:hRule="exact" w:vSpace="0" w:wrap="around" w:vAnchor="page" w:y="341" w:anchorLock="0"/>
    </w:pPr>
    <w:r w:rsidRPr="004A1B6C">
      <w:t xml:space="preserve">  </w:t>
    </w:r>
    <w:r w:rsidRPr="004A1B6C">
      <w:rPr>
        <w:rStyle w:val="SidhuvudUtskott"/>
      </w:rPr>
      <w:t>2004/05:SoU14</w:t>
    </w:r>
  </w:p>
  <w:p w:rsidR="00122EF6" w:rsidRPr="004A1B6C" w:rsidRDefault="00122EF6">
    <w:pPr>
      <w:pStyle w:val="SidhuvudKantUdda"/>
      <w:framePr w:w="8732" w:h="567" w:hRule="exact" w:vSpace="0" w:wrap="around" w:vAnchor="page" w:y="341" w:anchorLock="0"/>
    </w:pPr>
  </w:p>
  <w:p w:rsidR="00122EF6" w:rsidRPr="004A1B6C" w:rsidRDefault="00122EF6">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1" w15:restartNumberingAfterBreak="0">
    <w:nsid w:val="1DBD0066"/>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2" w15:restartNumberingAfterBreak="0">
    <w:nsid w:val="477B72B0"/>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num w:numId="1" w16cid:durableId="232785496">
    <w:abstractNumId w:val="10"/>
  </w:num>
  <w:num w:numId="2" w16cid:durableId="33695338">
    <w:abstractNumId w:val="8"/>
  </w:num>
  <w:num w:numId="3" w16cid:durableId="1839727979">
    <w:abstractNumId w:val="3"/>
  </w:num>
  <w:num w:numId="4" w16cid:durableId="203369000">
    <w:abstractNumId w:val="2"/>
  </w:num>
  <w:num w:numId="5" w16cid:durableId="2053726155">
    <w:abstractNumId w:val="1"/>
  </w:num>
  <w:num w:numId="6" w16cid:durableId="712269104">
    <w:abstractNumId w:val="0"/>
  </w:num>
  <w:num w:numId="7" w16cid:durableId="967006173">
    <w:abstractNumId w:val="9"/>
  </w:num>
  <w:num w:numId="8" w16cid:durableId="1933273903">
    <w:abstractNumId w:val="7"/>
  </w:num>
  <w:num w:numId="9" w16cid:durableId="716516143">
    <w:abstractNumId w:val="6"/>
  </w:num>
  <w:num w:numId="10" w16cid:durableId="1626617495">
    <w:abstractNumId w:val="5"/>
  </w:num>
  <w:num w:numId="11" w16cid:durableId="2034187582">
    <w:abstractNumId w:val="4"/>
  </w:num>
  <w:num w:numId="12" w16cid:durableId="961571538">
    <w:abstractNumId w:val="12"/>
  </w:num>
  <w:num w:numId="13" w16cid:durableId="1427261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socialutskottets"/>
    <w:docVar w:name="Skapår" w:val="0405"/>
  </w:docVars>
  <w:rsids>
    <w:rsidRoot w:val="004319D7"/>
    <w:rsid w:val="00122EF6"/>
    <w:rsid w:val="004319D7"/>
    <w:rsid w:val="004A1B6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D7D02D-7EB7-4347-8A3C-026DE3CA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Formatmall1">
    <w:name w:val="Formatmall1"/>
    <w:basedOn w:val="Reservationspunkt"/>
    <w:next w:val="Reservanter"/>
  </w:style>
  <w:style w:type="character" w:styleId="Fotnotsreferens">
    <w:name w:val="footnote reference"/>
    <w:basedOn w:val="Standardstycketeckensnitt"/>
    <w:semiHidden/>
    <w:rPr>
      <w:vertAlign w:val="superscript"/>
    </w:rPr>
  </w:style>
  <w:style w:type="paragraph" w:styleId="Fotnotstext">
    <w:name w:val="footnote text"/>
    <w:basedOn w:val="Normal"/>
    <w:next w:val="Fotnotstextindrag"/>
    <w:semiHidden/>
    <w:pPr>
      <w:spacing w:before="0" w:line="170" w:lineRule="exact"/>
    </w:pPr>
    <w:rPr>
      <w:sz w:val="17"/>
    </w:rPr>
  </w:style>
  <w:style w:type="paragraph" w:customStyle="1" w:styleId="Fotnotstextindrag">
    <w:name w:val="Fotnotstext indrag"/>
    <w:basedOn w:val="Fotnotstext"/>
    <w:pPr>
      <w:ind w:left="113"/>
    </w:p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customStyle="1" w:styleId="LagtextRubrik">
    <w:name w:val="LagtextRubrik"/>
    <w:basedOn w:val="Normal"/>
    <w:next w:val="LagtextIndrag"/>
    <w:pPr>
      <w:spacing w:before="0" w:after="22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semiHidden/>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character" w:styleId="Radnummer">
    <w:name w:val="line number"/>
    <w:basedOn w:val="Standardstycketeckensnitt"/>
    <w:semiHidden/>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semiHidden/>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semiHidden/>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paragraph" w:customStyle="1" w:styleId="Proputanindrag">
    <w:name w:val="Prop. utan indrag"/>
    <w:basedOn w:val="Normal"/>
    <w:next w:val="Normal"/>
    <w:pPr>
      <w:tabs>
        <w:tab w:val="left" w:pos="2835"/>
      </w:tabs>
      <w:overflowPunct w:val="0"/>
      <w:autoSpaceDE w:val="0"/>
      <w:autoSpaceDN w:val="0"/>
      <w:adjustRightInd w:val="0"/>
      <w:spacing w:before="0" w:line="240" w:lineRule="auto"/>
      <w:textAlignment w:val="baseline"/>
    </w:pPr>
    <w:rPr>
      <w:sz w:val="25"/>
    </w:rPr>
  </w:style>
  <w:style w:type="paragraph" w:styleId="Brdtext">
    <w:name w:val="Body Text"/>
    <w:basedOn w:val="Normal"/>
    <w:semiHidden/>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3.xml"/><Relationship Id="rId42" Type="http://schemas.openxmlformats.org/officeDocument/2006/relationships/header" Target="header18.xml"/><Relationship Id="rId47" Type="http://schemas.openxmlformats.org/officeDocument/2006/relationships/image" Target="media/image5.png"/><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1.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image" Target="media/image3.png"/><Relationship Id="rId53" Type="http://schemas.openxmlformats.org/officeDocument/2006/relationships/header" Target="header2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image" Target="media/image2.png"/><Relationship Id="rId52" Type="http://schemas.openxmlformats.org/officeDocument/2006/relationships/footer" Target="footer2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image" Target="media/image6.png"/><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image" Target="media/image4.png"/><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header" Target="header19.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2759</Words>
  <Characters>16862</Characters>
  <Application>Microsoft Office Word</Application>
  <DocSecurity>4</DocSecurity>
  <Lines>374</Lines>
  <Paragraphs>92</Paragraphs>
  <ScaleCrop>false</ScaleCrop>
  <HeadingPairs>
    <vt:vector size="2" baseType="variant">
      <vt:variant>
        <vt:lpstr>Title</vt:lpstr>
      </vt:variant>
      <vt:variant>
        <vt:i4>1</vt:i4>
      </vt:variant>
    </vt:vector>
  </HeadingPairs>
  <TitlesOfParts>
    <vt:vector size="1" baseType="lpstr">
      <vt:lpstr>Socialutskottets betänkande</vt:lpstr>
    </vt:vector>
  </TitlesOfParts>
  <Company>Riksdagen</Company>
  <LinksUpToDate>false</LinksUpToDate>
  <CharactersWithSpaces>19529</CharactersWithSpaces>
  <SharedDoc>false</SharedDoc>
  <HLinks>
    <vt:vector size="30" baseType="variant">
      <vt:variant>
        <vt:i4>3735658</vt:i4>
      </vt:variant>
      <vt:variant>
        <vt:i4>20596</vt:i4>
      </vt:variant>
      <vt:variant>
        <vt:i4>1026</vt:i4>
      </vt:variant>
      <vt:variant>
        <vt:i4>1</vt:i4>
      </vt:variant>
      <vt:variant>
        <vt:lpwstr>N:\ScanProp\200405\LagrådetSoU14\Lagrådsida1.tif</vt:lpwstr>
      </vt:variant>
      <vt:variant>
        <vt:lpwstr/>
      </vt:variant>
      <vt:variant>
        <vt:i4>3801194</vt:i4>
      </vt:variant>
      <vt:variant>
        <vt:i4>20599</vt:i4>
      </vt:variant>
      <vt:variant>
        <vt:i4>1027</vt:i4>
      </vt:variant>
      <vt:variant>
        <vt:i4>1</vt:i4>
      </vt:variant>
      <vt:variant>
        <vt:lpwstr>N:\ScanProp\200405\LagrådetSoU14\Lagrådsida2.tif</vt:lpwstr>
      </vt:variant>
      <vt:variant>
        <vt:lpwstr/>
      </vt:variant>
      <vt:variant>
        <vt:i4>3866730</vt:i4>
      </vt:variant>
      <vt:variant>
        <vt:i4>20602</vt:i4>
      </vt:variant>
      <vt:variant>
        <vt:i4>1028</vt:i4>
      </vt:variant>
      <vt:variant>
        <vt:i4>1</vt:i4>
      </vt:variant>
      <vt:variant>
        <vt:lpwstr>N:\ScanProp\200405\LagrådetSoU14\Lagrådsida3.tif</vt:lpwstr>
      </vt:variant>
      <vt:variant>
        <vt:lpwstr/>
      </vt:variant>
      <vt:variant>
        <vt:i4>3932266</vt:i4>
      </vt:variant>
      <vt:variant>
        <vt:i4>20605</vt:i4>
      </vt:variant>
      <vt:variant>
        <vt:i4>1029</vt:i4>
      </vt:variant>
      <vt:variant>
        <vt:i4>1</vt:i4>
      </vt:variant>
      <vt:variant>
        <vt:lpwstr>N:\ScanProp\200405\LagrådetSoU14\Lagrådsida4.tif</vt:lpwstr>
      </vt:variant>
      <vt:variant>
        <vt:lpwstr/>
      </vt:variant>
      <vt:variant>
        <vt:i4>3997802</vt:i4>
      </vt:variant>
      <vt:variant>
        <vt:i4>20608</vt:i4>
      </vt:variant>
      <vt:variant>
        <vt:i4>1030</vt:i4>
      </vt:variant>
      <vt:variant>
        <vt:i4>1</vt:i4>
      </vt:variant>
      <vt:variant>
        <vt:lpwstr>N:\ScanProp\200405\LagrådetSoU14\Lagrådsida5.tif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Socialutskottets betänkande</dc:title>
  <dc:subject>Socialutskottets betänkande</dc:subject>
  <dc:creator>Riksdagen</dc:creator>
  <cp:keywords>Riksdagen</cp:keywords>
  <dc:description/>
  <cp:lastModifiedBy>Lars Brink</cp:lastModifiedBy>
  <cp:revision>2</cp:revision>
  <cp:lastPrinted>2005-01-10T07:49:00Z</cp:lastPrinted>
  <dcterms:created xsi:type="dcterms:W3CDTF">2025-12-16T18:30:00Z</dcterms:created>
  <dcterms:modified xsi:type="dcterms:W3CDTF">2025-12-16T18:30:00Z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14</vt:lpwstr>
  </property>
  <property fmtid="{D5CDD505-2E9C-101B-9397-08002B2CF9AE}" pid="3" name="Utskott">
    <vt:lpwstr>SoU</vt:lpwstr>
  </property>
  <property fmtid="{D5CDD505-2E9C-101B-9397-08002B2CF9AE}" pid="4" name="BetänkandeÅr">
    <vt:lpwstr>2004/05</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