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5A97325" w14:textId="77777777">
        <w:tc>
          <w:tcPr>
            <w:tcW w:w="2268" w:type="dxa"/>
          </w:tcPr>
          <w:p w14:paraId="1740FE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3363C5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1098F6" w14:textId="77777777">
        <w:tc>
          <w:tcPr>
            <w:tcW w:w="2268" w:type="dxa"/>
          </w:tcPr>
          <w:p w14:paraId="20B302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0E6440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5FCBAF55" w14:textId="77777777">
        <w:tc>
          <w:tcPr>
            <w:tcW w:w="3402" w:type="dxa"/>
            <w:gridSpan w:val="2"/>
          </w:tcPr>
          <w:p w14:paraId="12C8F6DA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42B2C8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0FD87" w14:textId="77777777">
        <w:tc>
          <w:tcPr>
            <w:tcW w:w="2268" w:type="dxa"/>
          </w:tcPr>
          <w:p w14:paraId="24124452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6BD3BB9A" w14:textId="77777777" w:rsidR="006E4E11" w:rsidRPr="00ED583F" w:rsidRDefault="004551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Ju2017/00377/POL</w:t>
            </w:r>
          </w:p>
        </w:tc>
      </w:tr>
      <w:tr w:rsidR="006E4E11" w14:paraId="11AE7C23" w14:textId="77777777">
        <w:tc>
          <w:tcPr>
            <w:tcW w:w="2268" w:type="dxa"/>
          </w:tcPr>
          <w:p w14:paraId="509B04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FC0D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0A2D33" w14:textId="77777777">
        <w:trPr>
          <w:trHeight w:val="284"/>
        </w:trPr>
        <w:tc>
          <w:tcPr>
            <w:tcW w:w="4911" w:type="dxa"/>
          </w:tcPr>
          <w:p w14:paraId="6DDD120B" w14:textId="77777777" w:rsidR="006E4E11" w:rsidRDefault="004551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A796029" w14:textId="77777777">
        <w:trPr>
          <w:trHeight w:val="284"/>
        </w:trPr>
        <w:tc>
          <w:tcPr>
            <w:tcW w:w="4911" w:type="dxa"/>
          </w:tcPr>
          <w:p w14:paraId="0274EB74" w14:textId="77777777" w:rsidR="006E4E11" w:rsidRDefault="0045515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914EDC9" w14:textId="77777777">
        <w:trPr>
          <w:trHeight w:val="284"/>
        </w:trPr>
        <w:tc>
          <w:tcPr>
            <w:tcW w:w="4911" w:type="dxa"/>
          </w:tcPr>
          <w:p w14:paraId="7D6AE6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502244" w14:paraId="3B164642" w14:textId="77777777">
        <w:trPr>
          <w:trHeight w:val="284"/>
        </w:trPr>
        <w:tc>
          <w:tcPr>
            <w:tcW w:w="4911" w:type="dxa"/>
          </w:tcPr>
          <w:p w14:paraId="02F2E3B5" w14:textId="77777777" w:rsidR="00502244" w:rsidRDefault="00502244" w:rsidP="00D06C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502244" w14:paraId="2EE1A44E" w14:textId="77777777">
        <w:trPr>
          <w:trHeight w:val="284"/>
        </w:trPr>
        <w:tc>
          <w:tcPr>
            <w:tcW w:w="4911" w:type="dxa"/>
          </w:tcPr>
          <w:p w14:paraId="609231F6" w14:textId="77777777" w:rsidR="00502244" w:rsidRDefault="00502244" w:rsidP="005022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  <w:p w14:paraId="63938EFE" w14:textId="77777777" w:rsidR="00502244" w:rsidRDefault="00502244" w:rsidP="0050224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02244" w14:paraId="55F455D5" w14:textId="77777777">
        <w:trPr>
          <w:trHeight w:val="284"/>
        </w:trPr>
        <w:tc>
          <w:tcPr>
            <w:tcW w:w="4911" w:type="dxa"/>
          </w:tcPr>
          <w:p w14:paraId="21690BBF" w14:textId="77777777" w:rsidR="00502244" w:rsidRDefault="00502244" w:rsidP="005022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6"/>
            <w:bookmarkEnd w:id="13"/>
          </w:p>
        </w:tc>
      </w:tr>
      <w:tr w:rsidR="00502244" w14:paraId="6C8FE899" w14:textId="77777777">
        <w:trPr>
          <w:trHeight w:val="284"/>
        </w:trPr>
        <w:tc>
          <w:tcPr>
            <w:tcW w:w="4911" w:type="dxa"/>
          </w:tcPr>
          <w:p w14:paraId="198DB61B" w14:textId="77777777" w:rsidR="00502244" w:rsidRDefault="00502244" w:rsidP="005022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7"/>
            <w:bookmarkEnd w:id="14"/>
          </w:p>
        </w:tc>
      </w:tr>
      <w:tr w:rsidR="00502244" w14:paraId="5B27A5C1" w14:textId="77777777">
        <w:trPr>
          <w:trHeight w:val="284"/>
        </w:trPr>
        <w:tc>
          <w:tcPr>
            <w:tcW w:w="4911" w:type="dxa"/>
          </w:tcPr>
          <w:p w14:paraId="67DB17A9" w14:textId="77777777" w:rsidR="00502244" w:rsidRDefault="00502244" w:rsidP="005022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502244" w14:paraId="2095C8E8" w14:textId="77777777">
        <w:trPr>
          <w:trHeight w:val="284"/>
        </w:trPr>
        <w:tc>
          <w:tcPr>
            <w:tcW w:w="4911" w:type="dxa"/>
          </w:tcPr>
          <w:p w14:paraId="1B0EC484" w14:textId="77777777" w:rsidR="00502244" w:rsidRDefault="00502244" w:rsidP="00D06C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14:paraId="2D4934AA" w14:textId="77777777" w:rsidR="006E4E11" w:rsidRDefault="00455154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14:paraId="6C762310" w14:textId="77777777" w:rsidR="006E4E11" w:rsidRDefault="00455154" w:rsidP="00455154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 xml:space="preserve">Svar på fråga 2016/17:628 av </w:t>
      </w:r>
      <w:proofErr w:type="spellStart"/>
      <w:r>
        <w:t>Boriana</w:t>
      </w:r>
      <w:proofErr w:type="spellEnd"/>
      <w:r>
        <w:t xml:space="preserve"> Åberg (M) Utvisningar av dömda brottslingar</w:t>
      </w:r>
    </w:p>
    <w:p w14:paraId="0B2C1DB1" w14:textId="77777777" w:rsidR="006E4E11" w:rsidRDefault="006E4E11">
      <w:pPr>
        <w:pStyle w:val="RKnormal"/>
      </w:pPr>
      <w:bookmarkStart w:id="19" w:name="bBilaga"/>
      <w:bookmarkEnd w:id="19"/>
    </w:p>
    <w:p w14:paraId="367BD2F6" w14:textId="77777777" w:rsidR="006E4E11" w:rsidRDefault="00455154" w:rsidP="006762F7">
      <w:bookmarkStart w:id="20" w:name="BrevSÖver"/>
      <w:bookmarkStart w:id="21" w:name="bSkrivStart"/>
      <w:bookmarkEnd w:id="20"/>
      <w:bookmarkEnd w:id="21"/>
      <w:proofErr w:type="spellStart"/>
      <w:r>
        <w:t>Boriana</w:t>
      </w:r>
      <w:proofErr w:type="spellEnd"/>
      <w:r>
        <w:t xml:space="preserve"> Åberg har frågat mig vilka åtgärder jag avser att vidta för att dömda brottslingar som ska utvisas lämnar landet efter avtjänat straff.</w:t>
      </w:r>
    </w:p>
    <w:p w14:paraId="47590208" w14:textId="77777777" w:rsidR="00455154" w:rsidRDefault="00455154" w:rsidP="006762F7"/>
    <w:p w14:paraId="3CAFBE81" w14:textId="77777777" w:rsidR="00455154" w:rsidRDefault="00455154" w:rsidP="006762F7">
      <w:r>
        <w:t xml:space="preserve">En </w:t>
      </w:r>
      <w:r w:rsidR="00F54F07">
        <w:t xml:space="preserve">person </w:t>
      </w:r>
      <w:r>
        <w:t>som ska utvisas på grund av brott kan enligt gällande lagstiftning tas i förvar om utvisning</w:t>
      </w:r>
      <w:r w:rsidR="00254B6F">
        <w:t>en</w:t>
      </w:r>
      <w:r>
        <w:t xml:space="preserve"> inte kan</w:t>
      </w:r>
      <w:r w:rsidR="00833CC3">
        <w:t xml:space="preserve"> </w:t>
      </w:r>
      <w:r w:rsidR="00AB2FA9">
        <w:t>verkställas</w:t>
      </w:r>
      <w:r>
        <w:t xml:space="preserve"> omedelbart när</w:t>
      </w:r>
      <w:r w:rsidR="00055650">
        <w:t xml:space="preserve"> straffet är avtjänat</w:t>
      </w:r>
      <w:r>
        <w:t xml:space="preserve">. </w:t>
      </w:r>
      <w:r w:rsidR="00254B6F">
        <w:t>Beslut</w:t>
      </w:r>
      <w:r w:rsidR="00E03745">
        <w:t xml:space="preserve"> </w:t>
      </w:r>
      <w:r w:rsidR="00254B6F">
        <w:t xml:space="preserve">om förvar får meddelas om det finns risk för att </w:t>
      </w:r>
      <w:r w:rsidR="00F54F07">
        <w:t xml:space="preserve">personen </w:t>
      </w:r>
      <w:r w:rsidR="00254B6F">
        <w:t xml:space="preserve">bedriver brottslig verksamhet i Sverige, avviker eller håller sig undan eller på </w:t>
      </w:r>
      <w:r w:rsidR="00D06C44">
        <w:t xml:space="preserve">något </w:t>
      </w:r>
      <w:r w:rsidR="00254B6F">
        <w:t xml:space="preserve">annat sätt förhindrar att utvisningen genomförs. </w:t>
      </w:r>
      <w:r>
        <w:t xml:space="preserve">Det finns inte någon lagstadgad tidsgräns för hur länge en person som ska utvisas på grund av brott kan hållas </w:t>
      </w:r>
      <w:r w:rsidR="006762F7">
        <w:t>i förvar.</w:t>
      </w:r>
      <w:r>
        <w:t xml:space="preserve"> </w:t>
      </w:r>
      <w:r w:rsidR="006762F7">
        <w:t xml:space="preserve">Enligt praxis ska det göras en </w:t>
      </w:r>
      <w:r>
        <w:t>proportionalitetsbedömning</w:t>
      </w:r>
      <w:r w:rsidR="006762F7">
        <w:t xml:space="preserve"> utifrån omständigheterna i det enskilda fallet</w:t>
      </w:r>
      <w:r w:rsidR="00DE4EBB">
        <w:t>. Detta</w:t>
      </w:r>
      <w:r w:rsidR="006762F7">
        <w:t xml:space="preserve"> är högst rimligt när det handlar om </w:t>
      </w:r>
      <w:r w:rsidR="00376948">
        <w:t xml:space="preserve">att </w:t>
      </w:r>
      <w:r w:rsidR="006762F7">
        <w:t>frihets</w:t>
      </w:r>
      <w:r w:rsidR="00254B6F">
        <w:softHyphen/>
      </w:r>
      <w:r w:rsidR="006762F7">
        <w:t>beröva</w:t>
      </w:r>
      <w:r w:rsidR="00376948">
        <w:t xml:space="preserve"> </w:t>
      </w:r>
      <w:r w:rsidR="006762F7">
        <w:t>personer.</w:t>
      </w:r>
    </w:p>
    <w:p w14:paraId="3D2C2D49" w14:textId="77777777" w:rsidR="00455154" w:rsidRDefault="00455154">
      <w:pPr>
        <w:pStyle w:val="RKnormal"/>
      </w:pPr>
    </w:p>
    <w:p w14:paraId="62D21BDD" w14:textId="77777777" w:rsidR="006762F7" w:rsidRDefault="00254B6F" w:rsidP="00254B6F">
      <w:r>
        <w:t xml:space="preserve">Regeringen har vidtagit ett antal åtgärder och har tillfört resurser till </w:t>
      </w:r>
      <w:r w:rsidR="00550B7C">
        <w:t xml:space="preserve">flera </w:t>
      </w:r>
      <w:r>
        <w:t>berörda myndigheter för att få till stånd ett effektivt och välordnat återvändande av personer som saknar rätt att vistas i Sverige. Detta ska bidra till att motverka att personer som har fått ett avvisnings- eller utvisningsbeslut avviker i samband med verkställighetsprocessen.</w:t>
      </w:r>
    </w:p>
    <w:p w14:paraId="3183DF07" w14:textId="77777777" w:rsidR="00254B6F" w:rsidRDefault="00254B6F">
      <w:pPr>
        <w:pStyle w:val="RKnormal"/>
      </w:pPr>
    </w:p>
    <w:p w14:paraId="2B0FDF0B" w14:textId="77777777" w:rsidR="00E03745" w:rsidRDefault="00E03745" w:rsidP="00E03745">
      <w:r>
        <w:t xml:space="preserve">I </w:t>
      </w:r>
      <w:r w:rsidR="00D06C44">
        <w:t>d</w:t>
      </w:r>
      <w:r>
        <w:t>en nyligen r</w:t>
      </w:r>
      <w:r w:rsidRPr="00111CD0">
        <w:t>emitterad</w:t>
      </w:r>
      <w:r w:rsidR="00D06C44">
        <w:t>e</w:t>
      </w:r>
      <w:r w:rsidRPr="00111CD0">
        <w:t xml:space="preserve"> lagrådsremiss</w:t>
      </w:r>
      <w:r w:rsidR="00D06C44">
        <w:t>en</w:t>
      </w:r>
      <w:r w:rsidRPr="00111CD0">
        <w:t xml:space="preserve"> </w:t>
      </w:r>
      <w:r w:rsidR="00DC7064">
        <w:t>”Tydligare befogenheter för polisen när beslut om avvisning eller utvisning verkställs”</w:t>
      </w:r>
      <w:r w:rsidR="002766F2">
        <w:t xml:space="preserve"> </w:t>
      </w:r>
      <w:r>
        <w:t>föreslås</w:t>
      </w:r>
      <w:r w:rsidRPr="00111CD0">
        <w:t xml:space="preserve"> flera åtgärder som syftar till att </w:t>
      </w:r>
      <w:r>
        <w:t>tydliggöra</w:t>
      </w:r>
      <w:r w:rsidRPr="00111CD0">
        <w:t xml:space="preserve"> Polismyndig</w:t>
      </w:r>
      <w:r>
        <w:softHyphen/>
      </w:r>
      <w:r w:rsidRPr="00111CD0">
        <w:t>hetens och Säkerhets</w:t>
      </w:r>
      <w:r w:rsidR="002766F2">
        <w:softHyphen/>
      </w:r>
      <w:r w:rsidRPr="00111CD0">
        <w:t xml:space="preserve">polisens möjligheter att </w:t>
      </w:r>
      <w:r>
        <w:t xml:space="preserve">använda tvång för att </w:t>
      </w:r>
      <w:r w:rsidRPr="00111CD0">
        <w:t>verk</w:t>
      </w:r>
      <w:r>
        <w:softHyphen/>
      </w:r>
      <w:r w:rsidRPr="00111CD0">
        <w:t xml:space="preserve">ställa beslut om avvisning eller utvisning. </w:t>
      </w:r>
      <w:r>
        <w:t xml:space="preserve">Exempelvis ska </w:t>
      </w:r>
      <w:r w:rsidRPr="00111CD0">
        <w:t>Polismyndi</w:t>
      </w:r>
      <w:r>
        <w:t>g</w:t>
      </w:r>
      <w:r>
        <w:softHyphen/>
        <w:t xml:space="preserve">heten och Säkerhetspolisen </w:t>
      </w:r>
      <w:r w:rsidRPr="00111CD0">
        <w:t xml:space="preserve">i samband med verkställighet av </w:t>
      </w:r>
      <w:r>
        <w:t xml:space="preserve">avvisnings- </w:t>
      </w:r>
      <w:r w:rsidRPr="00111CD0">
        <w:t xml:space="preserve">eller utvisningsbeslut kunna omhänderta en </w:t>
      </w:r>
      <w:r w:rsidR="00F54F07">
        <w:t>person</w:t>
      </w:r>
      <w:r w:rsidR="00F54F07" w:rsidRPr="00111CD0">
        <w:t xml:space="preserve"> </w:t>
      </w:r>
      <w:r w:rsidRPr="00111CD0">
        <w:t>i högst 48 timmar. Omhändertagandet ger också myndigheterna befogenhet att genomföra kroppsvisitation och göra husrannsakan för att söka efter den person som ska omhändertas. Polismyndigheten eller Säkerhetspolisen ska</w:t>
      </w:r>
      <w:r>
        <w:t xml:space="preserve"> </w:t>
      </w:r>
      <w:r>
        <w:lastRenderedPageBreak/>
        <w:t>också kunna</w:t>
      </w:r>
      <w:r w:rsidRPr="00111CD0">
        <w:t xml:space="preserve"> vidta sådana åtgärder som behövs för att se till att en </w:t>
      </w:r>
      <w:r w:rsidR="00F54F07">
        <w:t>person</w:t>
      </w:r>
      <w:r w:rsidR="00F54F07" w:rsidRPr="00111CD0">
        <w:t xml:space="preserve"> </w:t>
      </w:r>
      <w:r w:rsidR="00F54F07">
        <w:t xml:space="preserve">som ska utvisas </w:t>
      </w:r>
      <w:r w:rsidRPr="00111CD0">
        <w:t xml:space="preserve">har nödvändiga resehandlingar eller för att </w:t>
      </w:r>
      <w:r w:rsidR="00055650">
        <w:t>hans eller h</w:t>
      </w:r>
      <w:r w:rsidR="00F54F07">
        <w:t>ennes</w:t>
      </w:r>
      <w:r w:rsidR="00F54F07" w:rsidRPr="00111CD0">
        <w:t xml:space="preserve"> </w:t>
      </w:r>
      <w:r w:rsidRPr="00111CD0">
        <w:t>identitet eller medborgarskap ska kunna klargöras.</w:t>
      </w:r>
      <w:r>
        <w:t xml:space="preserve"> Lagändringar</w:t>
      </w:r>
      <w:r w:rsidR="00DC7064">
        <w:t>na</w:t>
      </w:r>
      <w:r>
        <w:t xml:space="preserve"> föreslås träda i kraft 1 juli 2017.</w:t>
      </w:r>
    </w:p>
    <w:p w14:paraId="1AEC781F" w14:textId="77777777" w:rsidR="00E03745" w:rsidRPr="00111CD0" w:rsidRDefault="00E03745" w:rsidP="00E03745"/>
    <w:p w14:paraId="7CC90FE7" w14:textId="77777777" w:rsidR="00E03745" w:rsidRDefault="00E03745" w:rsidP="00E03745">
      <w:r>
        <w:t xml:space="preserve">Regeringen för också </w:t>
      </w:r>
      <w:r w:rsidR="00D06C44">
        <w:t xml:space="preserve">en </w:t>
      </w:r>
      <w:r>
        <w:t xml:space="preserve">dialog med mottagarländer som bedöms svåra att verkställa avvisnings- och utvisningsbeslut till, både på EU-nivå och bilateralt. Bland annat </w:t>
      </w:r>
      <w:r w:rsidR="00D06C44">
        <w:t>tecknade</w:t>
      </w:r>
      <w:r>
        <w:t xml:space="preserve"> regeringen i höstas </w:t>
      </w:r>
      <w:r w:rsidRPr="00085528">
        <w:rPr>
          <w:rFonts w:eastAsia="Calibri"/>
          <w:szCs w:val="24"/>
        </w:rPr>
        <w:t>ett samförstånds</w:t>
      </w:r>
      <w:r w:rsidR="00FE5D2E">
        <w:rPr>
          <w:rFonts w:eastAsia="Calibri"/>
          <w:szCs w:val="24"/>
        </w:rPr>
        <w:softHyphen/>
      </w:r>
      <w:r w:rsidRPr="00085528">
        <w:rPr>
          <w:rFonts w:eastAsia="Calibri"/>
          <w:szCs w:val="24"/>
        </w:rPr>
        <w:t>avtal om återtagande med Afghanistan</w:t>
      </w:r>
      <w:r>
        <w:rPr>
          <w:rFonts w:eastAsia="Calibri"/>
          <w:szCs w:val="24"/>
        </w:rPr>
        <w:t xml:space="preserve">. </w:t>
      </w:r>
    </w:p>
    <w:p w14:paraId="48741E88" w14:textId="77777777" w:rsidR="00E03745" w:rsidRDefault="00E03745" w:rsidP="00E03745">
      <w:pPr>
        <w:rPr>
          <w:rFonts w:ascii="Arial" w:hAnsi="Arial" w:cs="Arial"/>
          <w:color w:val="303030"/>
          <w:szCs w:val="24"/>
          <w:lang w:eastAsia="sv-SE"/>
        </w:rPr>
      </w:pPr>
    </w:p>
    <w:p w14:paraId="29C42CC9" w14:textId="77777777" w:rsidR="00E03745" w:rsidRDefault="00E03745" w:rsidP="00E03745">
      <w:pPr>
        <w:pStyle w:val="RKnormal"/>
      </w:pPr>
    </w:p>
    <w:p w14:paraId="65F6EBA4" w14:textId="77777777" w:rsidR="00E03745" w:rsidRDefault="00E03745" w:rsidP="00E03745">
      <w:r>
        <w:t>Stockholm den 18 januari 2017</w:t>
      </w:r>
    </w:p>
    <w:p w14:paraId="4CBADD80" w14:textId="77777777" w:rsidR="00E03745" w:rsidRDefault="00E03745" w:rsidP="00E03745"/>
    <w:p w14:paraId="37D0590F" w14:textId="77777777" w:rsidR="00E03745" w:rsidRDefault="00E03745" w:rsidP="00E03745"/>
    <w:p w14:paraId="4EF55AF5" w14:textId="77777777" w:rsidR="00E03745" w:rsidRDefault="00E03745" w:rsidP="00E03745">
      <w:r>
        <w:t>Morgan Johansson</w:t>
      </w:r>
    </w:p>
    <w:p w14:paraId="35AF3FEC" w14:textId="77777777" w:rsidR="00254B6F" w:rsidRDefault="00254B6F" w:rsidP="00E03745"/>
    <w:p w14:paraId="1F340F30" w14:textId="77777777" w:rsidR="006762F7" w:rsidRDefault="006762F7">
      <w:pPr>
        <w:pStyle w:val="RKnormal"/>
      </w:pPr>
      <w:bookmarkStart w:id="22" w:name="_GoBack"/>
      <w:bookmarkEnd w:id="22"/>
    </w:p>
    <w:sectPr w:rsidR="006762F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EC963" w14:textId="77777777" w:rsidR="00EF73A9" w:rsidRDefault="00EF73A9">
      <w:r>
        <w:separator/>
      </w:r>
    </w:p>
  </w:endnote>
  <w:endnote w:type="continuationSeparator" w:id="0">
    <w:p w14:paraId="2EE1760B" w14:textId="77777777" w:rsidR="00EF73A9" w:rsidRDefault="00EF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5EBC" w14:textId="77777777" w:rsidR="00EF73A9" w:rsidRDefault="00EF73A9">
      <w:r>
        <w:separator/>
      </w:r>
    </w:p>
  </w:footnote>
  <w:footnote w:type="continuationSeparator" w:id="0">
    <w:p w14:paraId="7CCDF9A6" w14:textId="77777777" w:rsidR="00EF73A9" w:rsidRDefault="00EF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9E5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7C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941912" w14:textId="77777777">
      <w:trPr>
        <w:cantSplit/>
      </w:trPr>
      <w:tc>
        <w:tcPr>
          <w:tcW w:w="3119" w:type="dxa"/>
        </w:tcPr>
        <w:p w14:paraId="6AB38D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5B2B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A97256" w14:textId="77777777" w:rsidR="00E80146" w:rsidRDefault="00E80146">
          <w:pPr>
            <w:pStyle w:val="Sidhuvud"/>
            <w:ind w:right="360"/>
          </w:pPr>
        </w:p>
      </w:tc>
    </w:tr>
  </w:tbl>
  <w:p w14:paraId="6C929A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AD11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EB58B8" w14:textId="77777777">
      <w:trPr>
        <w:cantSplit/>
      </w:trPr>
      <w:tc>
        <w:tcPr>
          <w:tcW w:w="3119" w:type="dxa"/>
        </w:tcPr>
        <w:p w14:paraId="62A457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CAAFF1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5BCC97E0" w14:textId="77777777" w:rsidR="00E80146" w:rsidRDefault="00E80146">
          <w:pPr>
            <w:pStyle w:val="Sidhuvud"/>
            <w:ind w:right="360"/>
          </w:pPr>
        </w:p>
      </w:tc>
    </w:tr>
  </w:tbl>
  <w:p w14:paraId="29B77DB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F4C1" w14:textId="77777777" w:rsidR="00455154" w:rsidRDefault="001157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A3A728" wp14:editId="6850A82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88E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CBC7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6BB863A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1BD41134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54"/>
    <w:rsid w:val="00055650"/>
    <w:rsid w:val="000B7C4A"/>
    <w:rsid w:val="00115782"/>
    <w:rsid w:val="00150384"/>
    <w:rsid w:val="00160901"/>
    <w:rsid w:val="001805B7"/>
    <w:rsid w:val="00254B6F"/>
    <w:rsid w:val="002766F2"/>
    <w:rsid w:val="00295570"/>
    <w:rsid w:val="00367B1C"/>
    <w:rsid w:val="00376948"/>
    <w:rsid w:val="00396C60"/>
    <w:rsid w:val="00455154"/>
    <w:rsid w:val="004A328D"/>
    <w:rsid w:val="00502244"/>
    <w:rsid w:val="00531FAC"/>
    <w:rsid w:val="00550B7C"/>
    <w:rsid w:val="0058762B"/>
    <w:rsid w:val="006762F7"/>
    <w:rsid w:val="006E4E11"/>
    <w:rsid w:val="007242A3"/>
    <w:rsid w:val="007A6855"/>
    <w:rsid w:val="00833CC3"/>
    <w:rsid w:val="0092027A"/>
    <w:rsid w:val="00955E31"/>
    <w:rsid w:val="00992E72"/>
    <w:rsid w:val="00AB2FA9"/>
    <w:rsid w:val="00AF26D1"/>
    <w:rsid w:val="00B27F04"/>
    <w:rsid w:val="00D06C44"/>
    <w:rsid w:val="00D133D7"/>
    <w:rsid w:val="00D43530"/>
    <w:rsid w:val="00D621BA"/>
    <w:rsid w:val="00DB223F"/>
    <w:rsid w:val="00DC7064"/>
    <w:rsid w:val="00DE4EBB"/>
    <w:rsid w:val="00E03745"/>
    <w:rsid w:val="00E80146"/>
    <w:rsid w:val="00E904D0"/>
    <w:rsid w:val="00EC25F9"/>
    <w:rsid w:val="00ED583F"/>
    <w:rsid w:val="00EF73A9"/>
    <w:rsid w:val="00F54F07"/>
    <w:rsid w:val="00FD031F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F6E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4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4E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022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4E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E4EB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502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48882b4c-efdd-4459-8733-2e2c9eb8c3ca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B7E0-1309-4E4D-B89C-C782099DE060}"/>
</file>

<file path=customXml/itemProps2.xml><?xml version="1.0" encoding="utf-8"?>
<ds:datastoreItem xmlns:ds="http://schemas.openxmlformats.org/officeDocument/2006/customXml" ds:itemID="{FEB53396-FAE0-47EA-97E3-FDFDD9867058}"/>
</file>

<file path=customXml/itemProps3.xml><?xml version="1.0" encoding="utf-8"?>
<ds:datastoreItem xmlns:ds="http://schemas.openxmlformats.org/officeDocument/2006/customXml" ds:itemID="{1D6FCA71-ED36-4FE6-8746-D40C75E1B613}"/>
</file>

<file path=customXml/itemProps4.xml><?xml version="1.0" encoding="utf-8"?>
<ds:datastoreItem xmlns:ds="http://schemas.openxmlformats.org/officeDocument/2006/customXml" ds:itemID="{1584F511-BC93-4B77-8216-E0A730CD88E7}"/>
</file>

<file path=customXml/itemProps5.xml><?xml version="1.0" encoding="utf-8"?>
<ds:datastoreItem xmlns:ds="http://schemas.openxmlformats.org/officeDocument/2006/customXml" ds:itemID="{5C042DC4-9D12-463B-9350-6F42979532C4}"/>
</file>

<file path=customXml/itemProps6.xml><?xml version="1.0" encoding="utf-8"?>
<ds:datastoreItem xmlns:ds="http://schemas.openxmlformats.org/officeDocument/2006/customXml" ds:itemID="{C02596C6-3217-42B7-9F80-118703E8D14F}"/>
</file>

<file path=customXml/itemProps7.xml><?xml version="1.0" encoding="utf-8"?>
<ds:datastoreItem xmlns:ds="http://schemas.openxmlformats.org/officeDocument/2006/customXml" ds:itemID="{B16839A9-BBE5-405B-84D8-F14B4794D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Jenny Strandberg</dc:creator>
  <cp:lastModifiedBy>Gunilla Hansson-Böe</cp:lastModifiedBy>
  <cp:revision>2</cp:revision>
  <cp:lastPrinted>2017-01-17T10:54:00Z</cp:lastPrinted>
  <dcterms:created xsi:type="dcterms:W3CDTF">2017-01-17T13:40:00Z</dcterms:created>
  <dcterms:modified xsi:type="dcterms:W3CDTF">2017-01-17T13:40:00Z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cbdc7d66-5200-43da-9a68-26683a3a5519</vt:lpwstr>
  </property>
</Properties>
</file>