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52109" w:rsidRDefault="00D52109">
            <w:pPr>
              <w:pStyle w:val="HuvudRubrik"/>
            </w:pPr>
            <w:bookmarkStart w:id="0" w:name="BetänkandeRubrik"/>
            <w:bookmarkEnd w:id="0"/>
            <w:r>
              <w:t>Socialutskottets betänkande</w:t>
            </w:r>
            <w:r w:rsidR="008256B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45794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52109" w:rsidRDefault="00D521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999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52109" w:rsidRDefault="00D52109">
                            <w:pPr>
                              <w:pStyle w:val="Logo"/>
                            </w:pPr>
                            <w:r>
                              <w:object w:dxaOrig="840" w:dyaOrig="1545">
                                <v:shape id="_x0000_i1025" type="#_x0000_t75" style="width:41.55pt;height:77.15pt" fillcolor="window">
                                  <v:imagedata r:id="rId6" o:title=""/>
                                </v:shape>
                                <o:OLEObject Type="Embed" ProgID="Word.Picture.8" ShapeID="_x0000_i1025" DrawAspect="Content" ObjectID="_1827339996" r:id="rId8"/>
                              </w:object>
                            </w:r>
                          </w:p>
                        </w:txbxContent>
                      </v:textbox>
                      <w10:wrap anchorx="page" anchory="page"/>
                    </v:shape>
                  </w:pict>
                </mc:Fallback>
              </mc:AlternateContent>
            </w:r>
          </w:p>
          <w:p w:rsidR="00D52109" w:rsidRDefault="00D52109">
            <w:pPr>
              <w:pStyle w:val="HuvudRubrikRad2"/>
            </w:pPr>
            <w:bookmarkStart w:id="15" w:name="BetänkandeNr"/>
            <w:bookmarkEnd w:id="15"/>
            <w:r>
              <w:t>1998/99:SoU13</w:t>
            </w:r>
          </w:p>
          <w:p w:rsidR="00D52109" w:rsidRDefault="00D52109">
            <w:pPr>
              <w:pStyle w:val="BetnkandeRubrik"/>
            </w:pPr>
            <w:bookmarkStart w:id="16" w:name="Huvudrubrik"/>
            <w:bookmarkEnd w:id="16"/>
            <w:r>
              <w:t>Ersättning av staten till steriliserade i vissa fall</w:t>
            </w:r>
          </w:p>
        </w:tc>
        <w:tc>
          <w:tcPr>
            <w:tcW w:w="1559" w:type="dxa"/>
            <w:tcBorders>
              <w:bottom w:val="nil"/>
            </w:tcBorders>
          </w:tcPr>
          <w:p w:rsidR="00D52109" w:rsidRDefault="00D5210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52109" w:rsidRDefault="00D52109">
            <w:pPr>
              <w:spacing w:before="40" w:after="900" w:line="280" w:lineRule="exact"/>
              <w:jc w:val="left"/>
              <w:rPr>
                <w:sz w:val="28"/>
              </w:rPr>
            </w:pPr>
          </w:p>
        </w:tc>
        <w:tc>
          <w:tcPr>
            <w:tcW w:w="1559" w:type="dxa"/>
          </w:tcPr>
          <w:p w:rsidR="00D52109" w:rsidRDefault="00D5210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52109" w:rsidRDefault="00D52109">
            <w:pPr>
              <w:spacing w:before="40" w:after="900" w:line="280" w:lineRule="exact"/>
              <w:jc w:val="left"/>
              <w:rPr>
                <w:sz w:val="28"/>
              </w:rPr>
            </w:pPr>
          </w:p>
        </w:tc>
        <w:tc>
          <w:tcPr>
            <w:tcW w:w="1559" w:type="dxa"/>
            <w:tcBorders>
              <w:bottom w:val="single" w:sz="6" w:space="0" w:color="auto"/>
            </w:tcBorders>
          </w:tcPr>
          <w:p w:rsidR="00D52109" w:rsidRDefault="00D52109">
            <w:pPr>
              <w:pStyle w:val="rtal"/>
            </w:pPr>
            <w:r>
              <w:t>SoU13</w:t>
            </w:r>
          </w:p>
        </w:tc>
      </w:tr>
      <w:tr w:rsidR="00000000">
        <w:tblPrEx>
          <w:tblCellMar>
            <w:top w:w="0" w:type="dxa"/>
            <w:bottom w:w="0" w:type="dxa"/>
          </w:tblCellMar>
        </w:tblPrEx>
        <w:trPr>
          <w:cantSplit/>
          <w:trHeight w:hRule="exact" w:val="660"/>
        </w:trPr>
        <w:tc>
          <w:tcPr>
            <w:tcW w:w="3012" w:type="dxa"/>
          </w:tcPr>
          <w:p w:rsidR="00D52109" w:rsidRDefault="00D52109">
            <w:pPr>
              <w:pStyle w:val="StatusSida1"/>
            </w:pPr>
          </w:p>
          <w:p w:rsidR="00D52109" w:rsidRDefault="00D52109">
            <w:pPr>
              <w:pStyle w:val="StatusSida1"/>
            </w:pPr>
          </w:p>
          <w:p w:rsidR="00D52109" w:rsidRDefault="00D52109">
            <w:pPr>
              <w:pStyle w:val="StatusSida1"/>
            </w:pPr>
          </w:p>
        </w:tc>
        <w:tc>
          <w:tcPr>
            <w:tcW w:w="3012" w:type="dxa"/>
          </w:tcPr>
          <w:p w:rsidR="00D52109" w:rsidRDefault="00D52109">
            <w:pPr>
              <w:pStyle w:val="UtskriftsdatumSida1"/>
              <w:rPr>
                <w:b/>
                <w:sz w:val="28"/>
              </w:rPr>
            </w:pPr>
          </w:p>
        </w:tc>
        <w:tc>
          <w:tcPr>
            <w:tcW w:w="1559" w:type="dxa"/>
          </w:tcPr>
          <w:p w:rsidR="00D52109" w:rsidRDefault="00D52109"/>
        </w:tc>
      </w:tr>
    </w:tbl>
    <w:p w:rsidR="00D52109" w:rsidRDefault="00D52109">
      <w:pPr>
        <w:pStyle w:val="Rubrik1"/>
        <w:spacing w:before="0"/>
      </w:pPr>
      <w:bookmarkStart w:id="17" w:name="_Toc450032623"/>
      <w:r>
        <w:t>Sammanfattning</w:t>
      </w:r>
      <w:bookmarkEnd w:id="17"/>
    </w:p>
    <w:p w:rsidR="00D52109" w:rsidRDefault="00D52109">
      <w:bookmarkStart w:id="18" w:name="Textstart"/>
      <w:bookmarkEnd w:id="18"/>
      <w:r>
        <w:t>I betänkandet</w:t>
      </w:r>
      <w:r>
        <w:rPr>
          <w:i/>
        </w:rPr>
        <w:t xml:space="preserve"> </w:t>
      </w:r>
      <w:r>
        <w:t xml:space="preserve">behandlas regeringens proposition 1998/99:71 Ersättning av staten till steriliserade i vissa fall. Utskottet tillstyrker regeringens förslag till lag om ersättning till steriliserade i vissa fall. Förslaget ger vissa personer som steriliserats mot sin vilja eller på någon annans initiativ rätt att begära och erhålla ekonomisk ersättning av staten. </w:t>
      </w:r>
    </w:p>
    <w:p w:rsidR="00D52109" w:rsidRDefault="00D52109">
      <w:pPr>
        <w:pStyle w:val="Normaltindrag"/>
      </w:pPr>
      <w:r>
        <w:t>Även i övrigt tillstyrker utskottet propositionens lagförslag. Lagarna för</w:t>
      </w:r>
      <w:r>
        <w:t>e</w:t>
      </w:r>
      <w:r>
        <w:t xml:space="preserve">slås träda i kraft den 1 juli 1999. </w:t>
      </w:r>
    </w:p>
    <w:p w:rsidR="00D52109" w:rsidRDefault="00D52109">
      <w:pPr>
        <w:pStyle w:val="Normaltindrag"/>
      </w:pPr>
      <w:r>
        <w:t xml:space="preserve">Inga motioner har väckts med anledning av propositionen. </w:t>
      </w:r>
    </w:p>
    <w:p w:rsidR="00D52109" w:rsidRDefault="00D52109">
      <w:pPr>
        <w:pStyle w:val="Rubrik1"/>
      </w:pPr>
      <w:bookmarkStart w:id="19" w:name="_Toc450032624"/>
      <w:r>
        <w:t>Propositionen</w:t>
      </w:r>
      <w:bookmarkEnd w:id="19"/>
    </w:p>
    <w:p w:rsidR="00D52109" w:rsidRDefault="00D52109">
      <w:r>
        <w:t>I proposition 1998/99:71 föreslår regeringen (Socialdepartementet) – efter hörande av Lagrådet – att riksdagen antar förslagen till</w:t>
      </w:r>
    </w:p>
    <w:p w:rsidR="00D52109" w:rsidRDefault="00D52109">
      <w:r>
        <w:t>1. lag om ersättning till steriliserade i vissa fall,</w:t>
      </w:r>
    </w:p>
    <w:p w:rsidR="00D52109" w:rsidRDefault="00D52109">
      <w:r>
        <w:t>2. lag om ändring i sekretesslagen (1980:100).</w:t>
      </w:r>
    </w:p>
    <w:p w:rsidR="00D52109" w:rsidRDefault="00D52109">
      <w:r>
        <w:t xml:space="preserve">Lagförslagen fogas till betänkandet som </w:t>
      </w:r>
      <w:r>
        <w:rPr>
          <w:i/>
        </w:rPr>
        <w:t>bilaga 1</w:t>
      </w:r>
      <w:r>
        <w:t>.</w:t>
      </w:r>
    </w:p>
    <w:p w:rsidR="00D52109" w:rsidRDefault="00D52109">
      <w:pPr>
        <w:pStyle w:val="Rubrik1"/>
      </w:pPr>
      <w:bookmarkStart w:id="20" w:name="_Toc450032625"/>
      <w:r>
        <w:t>Utskottet</w:t>
      </w:r>
      <w:bookmarkEnd w:id="20"/>
    </w:p>
    <w:p w:rsidR="00D52109" w:rsidRDefault="00D52109">
      <w:pPr>
        <w:pStyle w:val="Rubrik2"/>
        <w:spacing w:before="123"/>
      </w:pPr>
      <w:bookmarkStart w:id="21" w:name="_Toc450032626"/>
      <w:r>
        <w:t>Propositionen i huvuddrag</w:t>
      </w:r>
      <w:bookmarkEnd w:id="21"/>
    </w:p>
    <w:p w:rsidR="00D52109" w:rsidRDefault="00D52109">
      <w:r>
        <w:t>Propositionen innehåller förslag till lag som ger rätt för vissa personer som steriliserats mot sin vilja eller på någon annans initiativ att begära och erhålla ekonomisk ersättning av staten.</w:t>
      </w:r>
    </w:p>
    <w:p w:rsidR="00D52109" w:rsidRDefault="00D52109">
      <w:pPr>
        <w:pStyle w:val="Normaltindrag"/>
      </w:pPr>
      <w:r>
        <w:t>För att vara ersättningsgrundande skall steriliseringen ha skett innan den nu gällande steriliseringslagen (1975:580) trädde i kraft den 1 januari 1976. I lagen uppställs därutöver vissa villkor för att ersättning skall be</w:t>
      </w:r>
      <w:r>
        <w:softHyphen/>
        <w:t>viljas. Dessa villkor är utformade så att ersättning skall utgå om vissa yttre omständigheter eller kriterier är uppfyllda.</w:t>
      </w:r>
    </w:p>
    <w:p w:rsidR="00D52109" w:rsidRDefault="00D52109">
      <w:pPr>
        <w:pStyle w:val="Normaltindrag"/>
      </w:pPr>
      <w:r>
        <w:t>Ersättningen är ett schablonbelopp om 175 000 kr.</w:t>
      </w:r>
    </w:p>
    <w:p w:rsidR="00D52109" w:rsidRDefault="00D52109">
      <w:pPr>
        <w:pStyle w:val="Normaltindrag"/>
      </w:pPr>
      <w:r>
        <w:t>En särskild nämnd skall handlägga och besluta i ersättningsfrågorna efter det att ansökan lämnats till nämnden. Nämndens beslut skall inte gå att öve</w:t>
      </w:r>
      <w:r>
        <w:t>r</w:t>
      </w:r>
      <w:r>
        <w:t>klaga.</w:t>
      </w:r>
    </w:p>
    <w:p w:rsidR="00D52109" w:rsidRDefault="00D52109">
      <w:pPr>
        <w:pStyle w:val="Normaltindrag"/>
      </w:pPr>
      <w:r>
        <w:t xml:space="preserve">Den nya lagen föreslås träda i kraft den 1 juli 1999. </w:t>
      </w:r>
    </w:p>
    <w:p w:rsidR="00D52109" w:rsidRDefault="00D52109">
      <w:pPr>
        <w:pStyle w:val="Normaltindrag"/>
      </w:pPr>
      <w:r>
        <w:lastRenderedPageBreak/>
        <w:t>I propositionen föreslås även ändringar i sekretesslagen (1980:100). Dessa ändringar föreslås träda i kraft samtidigt med den nya l</w:t>
      </w:r>
      <w:r>
        <w:t>a</w:t>
      </w:r>
      <w:r>
        <w:t xml:space="preserve">gen. </w:t>
      </w:r>
    </w:p>
    <w:p w:rsidR="00D52109" w:rsidRDefault="00D52109">
      <w:pPr>
        <w:pStyle w:val="Rubrik2"/>
      </w:pPr>
      <w:bookmarkStart w:id="22" w:name="_Toc450032627"/>
      <w:r>
        <w:t>Förslag till lag om ersättning till steriliserade i vissa fall</w:t>
      </w:r>
      <w:bookmarkEnd w:id="22"/>
    </w:p>
    <w:p w:rsidR="00D52109" w:rsidRDefault="00D52109">
      <w:pPr>
        <w:pStyle w:val="Rubrik3"/>
        <w:spacing w:before="123"/>
      </w:pPr>
      <w:bookmarkStart w:id="23" w:name="_Toc450032628"/>
      <w:r>
        <w:t>Bakgrund</w:t>
      </w:r>
      <w:bookmarkEnd w:id="23"/>
    </w:p>
    <w:p w:rsidR="00D52109" w:rsidRDefault="00D52109">
      <w:r>
        <w:t>Den 4 september 1997 gav dåvarande chefen för Socialdepartementet efter regeringens bemyndigande en särskild utredare i uppdrag att allsidigt belysa de politiska beslutsfattarnas, myndigheternas, forskarsamhällets och den medicinska professionens ställningstaganden och ansvar vad gäller tillkom</w:t>
      </w:r>
      <w:r>
        <w:t>s</w:t>
      </w:r>
      <w:r>
        <w:t>ten och tillämpningen av den steriliseringslagstiftning som var i kraft i Sver</w:t>
      </w:r>
      <w:r>
        <w:t>i</w:t>
      </w:r>
      <w:r>
        <w:t>ge under 1930-, 1940-, 1950-, 1960- och 1970-talen, fram till dess att den nuvarande steriliseringslagen trädde i kraft år 1976. Utredningen lade den 26 januari 1999 fram delbetänkandet Steriliseringsfrågan i Sverige 1935–1975, Ekonomisk ersättning (SOU 1999:2). Utredaren har i delbetänkandet övervägt principerna för en gottgörelse av samhället till dem som steriliser</w:t>
      </w:r>
      <w:r>
        <w:t>a</w:t>
      </w:r>
      <w:r>
        <w:t xml:space="preserve">des mot sin vilja eller på någon annans initiativ och lämnat </w:t>
      </w:r>
      <w:r>
        <w:t>förslag till la</w:t>
      </w:r>
      <w:r>
        <w:t>g</w:t>
      </w:r>
      <w:r>
        <w:t xml:space="preserve">stiftning. Utredningen skall ha slutfört sitt arbete senast den 30 september 1999. </w:t>
      </w:r>
    </w:p>
    <w:p w:rsidR="00D52109" w:rsidRDefault="00D52109">
      <w:pPr>
        <w:pStyle w:val="Rubrik3"/>
      </w:pPr>
      <w:bookmarkStart w:id="24" w:name="_Toc450032629"/>
      <w:r>
        <w:t>Lagens omfattning</w:t>
      </w:r>
      <w:bookmarkEnd w:id="24"/>
    </w:p>
    <w:p w:rsidR="00D52109" w:rsidRDefault="00D52109">
      <w:r>
        <w:t>Enligt propositionen skall lagen reglera rätten till ersättning för vissa pers</w:t>
      </w:r>
      <w:r>
        <w:t>o</w:t>
      </w:r>
      <w:r>
        <w:t>ner som steriliserats med tillämpning av 1934 och 1941 års steriliseringsl</w:t>
      </w:r>
      <w:r>
        <w:t>a</w:t>
      </w:r>
      <w:r>
        <w:t>gar. Utöver dem som steriliserats enligt dessa lagar skall vissa andra personer som steriliserats ha rätt till ersättning under de förutsättningar som lagen i övrigt ställer upp. Det gäller personer som steriliserades före 1935, dvs. innan 1934 års steriliseringslag trädde i kraft samt personer som steriliser</w:t>
      </w:r>
      <w:r>
        <w:t>a</w:t>
      </w:r>
      <w:r>
        <w:t>des under åren 1935–1941 utanför tillämpningen av 1934 års lag. Såväl före år 1935 som under åren 1935 till 1941 förekom ster</w:t>
      </w:r>
      <w:r>
        <w:t>iliseringar utan lagstöd. Dessa ingrepps laglighet diskuterades under 1920- och 1930-talen. Det för</w:t>
      </w:r>
      <w:r>
        <w:t>e</w:t>
      </w:r>
      <w:r>
        <w:t xml:space="preserve">kom också före år 1935 steriliseringar av psykiskt sjuka som var intagna på anstalt, dokumenterade såväl i utredningar och forskarrapporter som i artiklar i Läkartidningen. Det är enligt regeringens uppfattning rimligt att de som steriliserades mot sin vilja eller på annans initiativ före år 1935 eller utanför tillämpningsområdet för 1934 års lag också skall omfattas av lagstiftningen. Redan det förhållandet </w:t>
      </w:r>
      <w:r>
        <w:t>att man vid den tiden ansåg sådana steriliseringar otillåtna eller tveksamma samt att lagreglering diskuterades och genomfördes  talar enligt regeringen för att ersättning bör beviljas även i de fallen. Vidare anför regeringen att det av utredningens kartläggning har framkommit att det inte kan uteslutas att steriliseringar med myndighets medverkan utan ti</w:t>
      </w:r>
      <w:r>
        <w:t>l</w:t>
      </w:r>
      <w:r>
        <w:t xml:space="preserve">lämpning av lag förekommit under åren 1941 till 1975. </w:t>
      </w:r>
    </w:p>
    <w:p w:rsidR="00D52109" w:rsidRDefault="00D52109">
      <w:pPr>
        <w:pStyle w:val="Normaltindrag"/>
      </w:pPr>
      <w:r>
        <w:t>Regeringen anser således att ersättningsförslaget även skall gälla personer som steriliserats före</w:t>
      </w:r>
      <w:r>
        <w:t xml:space="preserve"> år 1976 med myndighets medverkan utan tillämpning av vare sig 1934 eller 1941 års lag.</w:t>
      </w:r>
    </w:p>
    <w:p w:rsidR="00D52109" w:rsidRDefault="00D52109">
      <w:pPr>
        <w:pStyle w:val="Normaltindrag"/>
      </w:pPr>
      <w:r>
        <w:t>Regeringen erinrar om att ersättningsförslaget inte fråntar den enskilde rätten att väcka talan vid domstol och kräva ersättning på allmän skad</w:t>
      </w:r>
      <w:r>
        <w:t>e</w:t>
      </w:r>
      <w:r>
        <w:t>ståndsrättslig grund.</w:t>
      </w:r>
    </w:p>
    <w:p w:rsidR="00D52109" w:rsidRDefault="00D52109">
      <w:pPr>
        <w:pStyle w:val="Rubrik3"/>
      </w:pPr>
      <w:bookmarkStart w:id="25" w:name="_Toc450032630"/>
      <w:r>
        <w:t>Villkor för att ersättning skall beviljas</w:t>
      </w:r>
      <w:bookmarkEnd w:id="25"/>
    </w:p>
    <w:p w:rsidR="00D52109" w:rsidRDefault="00D52109">
      <w:r>
        <w:t>Enligt propositionen skall den som tillhör den personkrets för vilken ersät</w:t>
      </w:r>
      <w:r>
        <w:t>t</w:t>
      </w:r>
      <w:r>
        <w:t xml:space="preserve">ning kan komma ifråga vara berättigad till ersättning om han eller hon </w:t>
      </w:r>
    </w:p>
    <w:p w:rsidR="00D52109" w:rsidRDefault="00D52109">
      <w:r>
        <w:t>– varken undertecknat ansökan om sterilisering eller skriftligen samtyckt till steriliseringsåtgärden,</w:t>
      </w:r>
    </w:p>
    <w:p w:rsidR="00D52109" w:rsidRDefault="00D52109">
      <w:r>
        <w:t>– vid tidpunkten för ansökan om sterilisering eller då sterilisering genomfö</w:t>
      </w:r>
      <w:r>
        <w:t>r</w:t>
      </w:r>
      <w:r>
        <w:t>des var omyndig eller underårig,</w:t>
      </w:r>
    </w:p>
    <w:p w:rsidR="00D52109" w:rsidRDefault="00D52109">
      <w:r>
        <w:t>– vid tidpunkten för ansökan om sterilisering eller då sterilisering genomfö</w:t>
      </w:r>
      <w:r>
        <w:t>r</w:t>
      </w:r>
      <w:r>
        <w:t>des var intagen på anstalt, vårdhem eller liknande instit</w:t>
      </w:r>
      <w:r>
        <w:t>u</w:t>
      </w:r>
      <w:r>
        <w:t>tion,</w:t>
      </w:r>
    </w:p>
    <w:p w:rsidR="00D52109" w:rsidRDefault="00D52109">
      <w:r>
        <w:t>– steriliserats på grund av att han eller hon var diagnostiserad som sinne</w:t>
      </w:r>
      <w:r>
        <w:t>s</w:t>
      </w:r>
      <w:r>
        <w:t>sjuk, sinnesslö eller epileptiker,</w:t>
      </w:r>
    </w:p>
    <w:p w:rsidR="00D52109" w:rsidRDefault="00D52109">
      <w:r>
        <w:t>– enligt uttryckligt myndighetskrav steriliserats för att få dispens att ingå äktenskap, för att få genomgå abort eller för att få mödrahjälp eller annat statligt eller kommunalt bidrag, eller</w:t>
      </w:r>
    </w:p>
    <w:p w:rsidR="00D52109" w:rsidRDefault="00D52109">
      <w:r>
        <w:t>– får antas ha samtyckt till steriliseringen på grund av att en myndighet har utövat otillbörlig påverkan e</w:t>
      </w:r>
      <w:r>
        <w:t>l</w:t>
      </w:r>
      <w:r>
        <w:t>ler varit försumlig.</w:t>
      </w:r>
    </w:p>
    <w:p w:rsidR="00D52109" w:rsidRDefault="00D52109">
      <w:pPr>
        <w:pStyle w:val="Rubrik3"/>
      </w:pPr>
      <w:bookmarkStart w:id="26" w:name="_Toc450032631"/>
      <w:r>
        <w:t>Ersättningens storlek</w:t>
      </w:r>
      <w:bookmarkEnd w:id="26"/>
    </w:p>
    <w:p w:rsidR="00D52109" w:rsidRDefault="00D52109">
      <w:r>
        <w:t>I propositionen anförs att staten skall betala ett belopp om 175 000 kr till den som är berättigad till ersättning. Från detta belopp avräknas ersättning som staten tidigare kan ha lämnat på grund av steriliseringen. Rätten till ersät</w:t>
      </w:r>
      <w:r>
        <w:t>t</w:t>
      </w:r>
      <w:r>
        <w:t xml:space="preserve">ning är personlig och kan inte överlåtas. Ersättningen är till sin art skattefri. </w:t>
      </w:r>
    </w:p>
    <w:p w:rsidR="00D52109" w:rsidRDefault="00D52109">
      <w:pPr>
        <w:pStyle w:val="Rubrik3"/>
      </w:pPr>
      <w:bookmarkStart w:id="27" w:name="_Toc450032632"/>
      <w:r>
        <w:t>Beslut om ersättning m.m.</w:t>
      </w:r>
      <w:bookmarkEnd w:id="27"/>
    </w:p>
    <w:p w:rsidR="00D52109" w:rsidRDefault="00D52109">
      <w:r>
        <w:t>Regeringen föreslår att en av regeringen utsedd nämnd skall pröva ansökan om ersättning. Ordföranden i nämnden skall vara eller ha varit ordinarie domare. Vidare föreslås att nämnden skall hålla muntlig förhandling, om sökanden begär det och det inte är uppenbart obehövligt att en sådan fö</w:t>
      </w:r>
      <w:r>
        <w:t>r</w:t>
      </w:r>
      <w:r>
        <w:t xml:space="preserve">handling hålls. Sekretess skall gälla i ersättningsärendena. Nämndens beslut skall enligt propositionen inte gå att överklaga. Vidare skall initiativet till en begäran komma från den enskilde själv. Regeringen föreslår att lagen skall tillämpas på ansökningar om ersättning som kommit nämnden till del inom två år från det att lagstiftningen träder i kraft. I propositionen anförs vidare att lagen bör upphävas när nämnden avslutat sitt arbete. </w:t>
      </w:r>
    </w:p>
    <w:p w:rsidR="00D52109" w:rsidRDefault="00D52109">
      <w:pPr>
        <w:pStyle w:val="Rubrik3"/>
      </w:pPr>
      <w:bookmarkStart w:id="28" w:name="_Toc450032633"/>
      <w:r>
        <w:t>Handläggningsfrågor m.m.</w:t>
      </w:r>
      <w:bookmarkEnd w:id="28"/>
    </w:p>
    <w:p w:rsidR="00D52109" w:rsidRDefault="00D52109">
      <w:r>
        <w:t>I propositionen anförs att handläggningen i den nämnd som skall pröva e</w:t>
      </w:r>
      <w:r>
        <w:t>r</w:t>
      </w:r>
      <w:r>
        <w:t>sättningsärendena bör göras av personal som hämtats från Personskaderegl</w:t>
      </w:r>
      <w:r>
        <w:t>e</w:t>
      </w:r>
      <w:r>
        <w:t>ringen AB (PSR) och som särskilt förordnats i nämnden. Vidare anförs att ansvaret för information om den nya lagen bör åvila staten och att ett särskilt ansökningsformulär bör utformas. I propositionen betonas att nämnden bör ha en långtgående service- och undersökningssky</w:t>
      </w:r>
      <w:r>
        <w:t>l</w:t>
      </w:r>
      <w:r>
        <w:t>dighet.</w:t>
      </w:r>
    </w:p>
    <w:p w:rsidR="00D52109" w:rsidRDefault="00D52109">
      <w:pPr>
        <w:pStyle w:val="Rubrik3"/>
      </w:pPr>
      <w:bookmarkStart w:id="29" w:name="_Toc450032634"/>
      <w:r>
        <w:t>Kostnadseffekter</w:t>
      </w:r>
      <w:bookmarkEnd w:id="29"/>
    </w:p>
    <w:p w:rsidR="00D52109" w:rsidRDefault="00D52109">
      <w:r>
        <w:t>I propositionen anförs att kostnaderna för den ersättning som skall betalas till följd av förslaget utgörs av dels det totala belopp som kan komma att betalas ut till de steriliserade inberäknat det belopp som kan komma att utbetalas för att komplettera tidigare utgivna ersättningar, dels vissa övriga kostnader av administrativ karaktär. Ersättningen till dem som steriliserats mot sin vilja eller på någon annans initiativ beräknas komma att omfatta 500–1 000 pe</w:t>
      </w:r>
      <w:r>
        <w:t>r</w:t>
      </w:r>
      <w:r>
        <w:t>soner. Regeringens bedömning överensstämmer här med utredningens. Detta skulle innebära att kostnaderna för utbetalda ersättningar totalt kan beräknas uppgå till 100–175 miljoner kronor. Regeringen framhåller att dessa up</w:t>
      </w:r>
      <w:r>
        <w:t>p</w:t>
      </w:r>
      <w:r>
        <w:t xml:space="preserve">skattningar är behäftade med stor osäkerhet. </w:t>
      </w:r>
    </w:p>
    <w:p w:rsidR="00D52109" w:rsidRDefault="00D52109">
      <w:pPr>
        <w:pStyle w:val="Normaltindrag"/>
      </w:pPr>
      <w:r>
        <w:t>Utöver ersättningen till steriliserade tillkommer vissa administrativa kos</w:t>
      </w:r>
      <w:r>
        <w:t>t</w:t>
      </w:r>
      <w:r>
        <w:t>nader. Häri ingår bl.a. kostnader för den särskilda nämnd som skall besluta i ersättningsärendena och för den handläggande personalen. De administrativa kostnaderna omfattar även ersättning för inställelse vid muntlig förhandling samt kostnader för vissa informationsinsatser i samband med riksdagsbesl</w:t>
      </w:r>
      <w:r>
        <w:t>u</w:t>
      </w:r>
      <w:r>
        <w:t>tet om den nya lagen om ersättning till steriliserade i vissa fall. Totalt kan de administrativa kostnaderna beräknas uppgå till ca 7,5 miljoner kronor. Med hänsyn till att många av dem som kan vara berättiga</w:t>
      </w:r>
      <w:r>
        <w:t>de till ersättning har hög ålder är det enligt regeringen särskilt angeläget att hanteringen av ersät</w:t>
      </w:r>
      <w:r>
        <w:t>t</w:t>
      </w:r>
      <w:r>
        <w:t xml:space="preserve">ningsfrågan sker snabbt. </w:t>
      </w:r>
    </w:p>
    <w:p w:rsidR="00D52109" w:rsidRDefault="00D52109">
      <w:pPr>
        <w:pStyle w:val="Normaltindrag"/>
      </w:pPr>
      <w:r>
        <w:t xml:space="preserve">Av </w:t>
      </w:r>
      <w:r>
        <w:rPr>
          <w:i/>
        </w:rPr>
        <w:t xml:space="preserve">vårpropositionen 1998/99:100 </w:t>
      </w:r>
      <w:r>
        <w:t xml:space="preserve">framgår att ett nytt ramanslag, A13 </w:t>
      </w:r>
      <w:r>
        <w:rPr>
          <w:i/>
        </w:rPr>
        <w:t>E</w:t>
      </w:r>
      <w:r>
        <w:rPr>
          <w:i/>
        </w:rPr>
        <w:t>r</w:t>
      </w:r>
      <w:r>
        <w:rPr>
          <w:i/>
        </w:rPr>
        <w:t>sättning till vissa steriliserade,</w:t>
      </w:r>
      <w:r>
        <w:t xml:space="preserve"> uppgående till 75 miljoner kronor, anvisas för år 1999. De sammanlagda utgifterna för den ersättning som skall betalas till följd av förslaget bedöms uppgå till ca 180 miljoner kronor under åren 1999–2001, vilket har beaktats i förslaget till utgiftsområdesram. </w:t>
      </w:r>
    </w:p>
    <w:p w:rsidR="00D52109" w:rsidRDefault="00D52109">
      <w:pPr>
        <w:pStyle w:val="Rubrik3"/>
      </w:pPr>
      <w:bookmarkStart w:id="30" w:name="_Toc450032635"/>
      <w:r>
        <w:t>Utskottets bedömning</w:t>
      </w:r>
      <w:bookmarkEnd w:id="30"/>
    </w:p>
    <w:p w:rsidR="00D52109" w:rsidRDefault="00D52109">
      <w:r>
        <w:t>Fram till år 1976 steriliserades ett stort antal människor i vårt land med stöd av då gällande steriliseringslagstiftning. Lagarnas utformning och hur de kom att tillämpas i praktiken präglades bl.a. av ett rashygieniskt synsätt och en tro på folkrening som var förhärskande bland många beslutsfattare, for</w:t>
      </w:r>
      <w:r>
        <w:t>s</w:t>
      </w:r>
      <w:r>
        <w:t xml:space="preserve">kare och läkare under första hälften av 1900-talet i Sverige, liksom i andra länder. Många av dem som steriliserades blev offer för detta synsätt. Sedan länge är detta något som det svenska samhället starkt tar avstånd från. </w:t>
      </w:r>
    </w:p>
    <w:p w:rsidR="00D52109" w:rsidRDefault="00D52109">
      <w:pPr>
        <w:pStyle w:val="Normaltindrag"/>
      </w:pPr>
      <w:r>
        <w:t>Utskottet delar regeringens uppfattning att det är ytterst angeläget att de som mot sin vilja utsatts för dessa ingrepp snarast får upprättelse och gottg</w:t>
      </w:r>
      <w:r>
        <w:t>ö</w:t>
      </w:r>
      <w:r>
        <w:t>relse från staten. Den föreslagna lagen om ersättning till steriliserade i vissa fall är enligt utskottets uppfattning väl avvägd. Utskottet tillstyrker lagförsl</w:t>
      </w:r>
      <w:r>
        <w:t>a</w:t>
      </w:r>
      <w:r>
        <w:t xml:space="preserve">get. </w:t>
      </w:r>
    </w:p>
    <w:p w:rsidR="00D52109" w:rsidRDefault="00D52109">
      <w:pPr>
        <w:pStyle w:val="Rubrik2"/>
      </w:pPr>
      <w:bookmarkStart w:id="31" w:name="_Toc450032636"/>
      <w:r>
        <w:t>Förslag till lag om ändring i sekretesslagen (1980:100)</w:t>
      </w:r>
      <w:bookmarkEnd w:id="31"/>
    </w:p>
    <w:p w:rsidR="00D52109" w:rsidRDefault="00D52109">
      <w:r>
        <w:t xml:space="preserve">Regeringen föreslår vissa ändringar i sekretesslagen (1980:100). </w:t>
      </w:r>
      <w:r>
        <w:rPr>
          <w:i/>
        </w:rPr>
        <w:t>Utskottet</w:t>
      </w:r>
      <w:r>
        <w:t xml:space="preserve"> tillstyrker lagförslagen i sak. Propositionens lagförslag utgår från de förslag beträffande sekretesslagen som lämnats i proposition 1998/99:72 Rättspsyk</w:t>
      </w:r>
      <w:r>
        <w:t>i</w:t>
      </w:r>
      <w:r>
        <w:t xml:space="preserve">atriskt forskningsregister. De aktuella lagförslagen i proposition 1998/99:72 föreslås emellertid träda i kraft först den 1 januari 2000. Utskottet har därför i sitt lagförslag </w:t>
      </w:r>
      <w:r>
        <w:rPr>
          <w:i/>
        </w:rPr>
        <w:t>(bilaga 2)</w:t>
      </w:r>
      <w:r>
        <w:t xml:space="preserve"> utgått från den nu gällande lydelsen av sekretes</w:t>
      </w:r>
      <w:r>
        <w:t>s</w:t>
      </w:r>
      <w:r>
        <w:t xml:space="preserve">lagen. </w:t>
      </w:r>
    </w:p>
    <w:p w:rsidR="00D52109" w:rsidRDefault="00D52109">
      <w:pPr>
        <w:pStyle w:val="Rubrik2"/>
      </w:pPr>
      <w:bookmarkStart w:id="32" w:name="_Toc450032637"/>
      <w:r>
        <w:t>Hemställan</w:t>
      </w:r>
      <w:bookmarkEnd w:id="32"/>
    </w:p>
    <w:p w:rsidR="00D52109" w:rsidRDefault="00D52109">
      <w:r>
        <w:t>Utskottet hemställer</w:t>
      </w:r>
    </w:p>
    <w:p w:rsidR="00D52109" w:rsidRDefault="00D52109">
      <w:pPr>
        <w:pStyle w:val="hembetr"/>
      </w:pPr>
      <w:r>
        <w:t xml:space="preserve">1. beträffande </w:t>
      </w:r>
      <w:r>
        <w:rPr>
          <w:i/>
        </w:rPr>
        <w:t>förslaget till lag om ersättning till steriliserade i vissa fall</w:t>
      </w:r>
    </w:p>
    <w:p w:rsidR="00D52109" w:rsidRDefault="00D52109">
      <w:pPr>
        <w:pStyle w:val="hemtext"/>
      </w:pPr>
      <w:r>
        <w:t>att riksdagen med anledning av proposition 1998/99:71 antar förslaget till lag om ersättning till steriliserade i vissa fall, dock med den än</w:t>
      </w:r>
      <w:r>
        <w:t>d</w:t>
      </w:r>
      <w:r>
        <w:t xml:space="preserve">ringen såvitt gäller 7 § att ”7 kap. 40 §” skall bytas ut mot ”7 kap. 39 §”, </w:t>
      </w:r>
    </w:p>
    <w:p w:rsidR="00D52109" w:rsidRDefault="00D52109">
      <w:pPr>
        <w:pStyle w:val="hembetr"/>
      </w:pPr>
      <w:bookmarkStart w:id="33" w:name="RESPARTI001"/>
      <w:bookmarkEnd w:id="33"/>
      <w:r>
        <w:t xml:space="preserve">2. beträffande </w:t>
      </w:r>
      <w:r>
        <w:rPr>
          <w:i/>
        </w:rPr>
        <w:t>ändringar i sekretesslagen</w:t>
      </w:r>
    </w:p>
    <w:p w:rsidR="00D52109" w:rsidRDefault="00D52109">
      <w:pPr>
        <w:pStyle w:val="hemtext"/>
      </w:pPr>
      <w:r>
        <w:t xml:space="preserve">att riksdagen med anledning av proposition </w:t>
      </w:r>
      <w:bookmarkStart w:id="34" w:name="Nästa_Hpunkt"/>
      <w:bookmarkEnd w:id="34"/>
      <w:r>
        <w:t>1998/99:71 antar förslag till lag om ändring i sekretesslagen (1980:100) enligt utskottets bil</w:t>
      </w:r>
      <w:r>
        <w:t>a</w:t>
      </w:r>
      <w:r>
        <w:t>ga 2.</w:t>
      </w:r>
    </w:p>
    <w:p w:rsidR="00D52109" w:rsidRDefault="00D52109">
      <w:pPr>
        <w:pStyle w:val="Stockholm"/>
      </w:pPr>
      <w:r>
        <w:t>Stockholm den 4 maj 1999</w:t>
      </w:r>
    </w:p>
    <w:p w:rsidR="00D52109" w:rsidRDefault="00D52109">
      <w:pPr>
        <w:pStyle w:val="Vgnar"/>
      </w:pPr>
      <w:r>
        <w:t>På socialutskottets vägnar</w:t>
      </w:r>
    </w:p>
    <w:p w:rsidR="00D52109" w:rsidRDefault="00D52109">
      <w:pPr>
        <w:pStyle w:val="Ordfnamn"/>
      </w:pPr>
      <w:bookmarkStart w:id="35" w:name="Ordförande"/>
      <w:bookmarkEnd w:id="35"/>
      <w:r>
        <w:t xml:space="preserve">Ingrid Burman </w:t>
      </w:r>
    </w:p>
    <w:p w:rsidR="00D52109" w:rsidRDefault="00D52109">
      <w:pPr>
        <w:pStyle w:val="Deltagare"/>
      </w:pPr>
      <w:bookmarkStart w:id="36" w:name="Deltagare"/>
      <w:bookmarkEnd w:id="36"/>
      <w:r>
        <w:t>I beslutet har deltagit: Ingrid Burman (v), Chris Heister (m), Susanne Eberstein (s), Margareta Israelsson (s), Rinaldo Karlsson (s), Chatrine Pål</w:t>
      </w:r>
      <w:r>
        <w:t>s</w:t>
      </w:r>
      <w:r>
        <w:t>son (kd), Leif Carlson (m), Hans Hjortzberg-Nordlund (m), Conny Öhman (s), Elisebeht Markström (s), Rolf Olsson (v), Lars Gustafsson (kd), Cristina Husmark Pehrsson (m), Thomas Julin (mp), Kenneth Johansson (c), Kerstin Heinemann (fp) och Catherine Persson (s).</w:t>
      </w:r>
    </w:p>
    <w:p w:rsidR="00D52109" w:rsidRDefault="00D52109">
      <w:pPr>
        <w:sectPr w:rsidR="00000000">
          <w:headerReference w:type="default" r:id="rId9"/>
          <w:footerReference w:type="default" r:id="rId10"/>
          <w:pgSz w:w="11906" w:h="16838" w:code="9"/>
          <w:pgMar w:top="567" w:right="4876" w:bottom="4508" w:left="1134" w:header="227" w:footer="227" w:gutter="0"/>
          <w:cols w:space="720"/>
        </w:sectPr>
      </w:pPr>
      <w:bookmarkStart w:id="37" w:name="Nästa_Reservation"/>
      <w:bookmarkEnd w:id="37"/>
    </w:p>
    <w:p w:rsidR="00D52109" w:rsidRDefault="00D52109">
      <w:pPr>
        <w:pStyle w:val="Rubrik3"/>
        <w:spacing w:before="123"/>
      </w:pPr>
      <w:bookmarkStart w:id="38" w:name="_Toc450032638"/>
      <w:r>
        <w:t>I propositionen framlagda lagförslag</w:t>
      </w:r>
      <w:bookmarkEnd w:id="38"/>
    </w:p>
    <w:p w:rsidR="00D52109" w:rsidRDefault="00D52109">
      <w:pPr>
        <w:pStyle w:val="R2"/>
      </w:pPr>
      <w:r>
        <w:t>1  Förslag till lag om ersättning till steriliserade i vissa fall</w:t>
      </w:r>
    </w:p>
    <w:p w:rsidR="00D52109" w:rsidRDefault="00D52109">
      <w:pPr>
        <w:pStyle w:val="R2"/>
      </w:pPr>
      <w:r>
        <w:br w:type="page"/>
      </w:r>
      <w:r>
        <w:br w:type="page"/>
        <w:t>2  Förslag till lag om ändring i sekretesslagen (1980:100)</w:t>
      </w:r>
    </w:p>
    <w:p w:rsidR="00D52109" w:rsidRDefault="00D52109">
      <w:pPr>
        <w:pStyle w:val="Rubrik2"/>
        <w:sectPr w:rsidR="00000000">
          <w:headerReference w:type="default" r:id="rId11"/>
          <w:footerReference w:type="default" r:id="rId12"/>
          <w:pgSz w:w="11906" w:h="16838" w:code="9"/>
          <w:pgMar w:top="567" w:right="4876" w:bottom="4508" w:left="1134" w:header="227" w:footer="227" w:gutter="0"/>
          <w:cols w:space="720"/>
        </w:sectPr>
      </w:pPr>
      <w:r>
        <w:br w:type="page"/>
      </w:r>
    </w:p>
    <w:p w:rsidR="00D52109" w:rsidRDefault="00D52109">
      <w:pPr>
        <w:pStyle w:val="Rubrik3"/>
        <w:spacing w:before="123"/>
      </w:pPr>
      <w:bookmarkStart w:id="39" w:name="_Toc450032639"/>
      <w:r>
        <w:t>Av utskottet framlagt förslag</w:t>
      </w:r>
      <w:bookmarkEnd w:id="39"/>
      <w:r>
        <w:t xml:space="preserve"> till ändring i regeringens förslag till lag om ändring i sekretesslagen (1980:100)</w:t>
      </w:r>
    </w:p>
    <w:p w:rsidR="00D52109" w:rsidRDefault="00D52109"/>
    <w:p w:rsidR="00D52109" w:rsidRDefault="00D52109">
      <w:r>
        <w:t>Härigenom föreskrivs i fråga om sekretesslagen (1980:100)</w:t>
      </w:r>
      <w:r>
        <w:rPr>
          <w:rStyle w:val="Fotnotsreferens"/>
        </w:rPr>
        <w:footnoteReference w:id="1"/>
      </w:r>
    </w:p>
    <w:p w:rsidR="00D52109" w:rsidRDefault="00D52109">
      <w:pPr>
        <w:pStyle w:val="Normaltindrag"/>
      </w:pPr>
      <w:r>
        <w:t>dels att 16 kap. 1 § skall ha följande lydelse,</w:t>
      </w:r>
    </w:p>
    <w:p w:rsidR="00D52109" w:rsidRDefault="00D52109">
      <w:pPr>
        <w:pStyle w:val="Normaltindrag"/>
      </w:pPr>
      <w:r>
        <w:t>dels att det i lagen skall införas en ny paragraf, 7 kap. 39 §, av följande l</w:t>
      </w:r>
      <w:r>
        <w:t>y</w:t>
      </w:r>
      <w:r>
        <w:t>delse.</w:t>
      </w:r>
    </w:p>
    <w:p w:rsidR="00D52109" w:rsidRDefault="00D52109">
      <w:pPr>
        <w:pStyle w:val="Propmedindrag"/>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856"/>
        <w:gridCol w:w="3856"/>
      </w:tblGrid>
      <w:tr w:rsidR="00000000">
        <w:tblPrEx>
          <w:tblCellMar>
            <w:top w:w="0" w:type="dxa"/>
            <w:bottom w:w="0" w:type="dxa"/>
          </w:tblCellMar>
        </w:tblPrEx>
        <w:tc>
          <w:tcPr>
            <w:tcW w:w="3856" w:type="dxa"/>
          </w:tcPr>
          <w:p w:rsidR="00D52109" w:rsidRDefault="00D52109">
            <w:pPr>
              <w:pStyle w:val="Proputanindrag"/>
              <w:rPr>
                <w:i/>
                <w:sz w:val="19"/>
              </w:rPr>
            </w:pPr>
            <w:r>
              <w:rPr>
                <w:i/>
                <w:sz w:val="19"/>
              </w:rPr>
              <w:t>Regeringens förslag</w:t>
            </w:r>
          </w:p>
          <w:p w:rsidR="00D52109" w:rsidRDefault="00D52109">
            <w:pPr>
              <w:pStyle w:val="Proputanindrag"/>
              <w:rPr>
                <w:i/>
                <w:sz w:val="19"/>
              </w:rPr>
            </w:pPr>
            <w:r>
              <w:rPr>
                <w:i/>
                <w:sz w:val="19"/>
              </w:rPr>
              <w:t xml:space="preserve"> </w:t>
            </w:r>
          </w:p>
        </w:tc>
        <w:tc>
          <w:tcPr>
            <w:tcW w:w="3856" w:type="dxa"/>
          </w:tcPr>
          <w:p w:rsidR="00D52109" w:rsidRDefault="00D52109">
            <w:pPr>
              <w:pStyle w:val="Proputanindrag"/>
              <w:rPr>
                <w:i/>
                <w:sz w:val="19"/>
              </w:rPr>
            </w:pPr>
            <w:r>
              <w:rPr>
                <w:i/>
                <w:sz w:val="19"/>
              </w:rPr>
              <w:t>Utskottets förslag</w:t>
            </w:r>
          </w:p>
        </w:tc>
      </w:tr>
    </w:tbl>
    <w:p w:rsidR="00D52109" w:rsidRDefault="00D52109">
      <w:pPr>
        <w:pStyle w:val="Propmedindrag"/>
        <w:rPr>
          <w:sz w:val="19"/>
        </w:rPr>
      </w:pPr>
      <w:r>
        <w:rPr>
          <w:b/>
          <w:sz w:val="19"/>
        </w:rPr>
        <w:t>7 kap.                                                                    7 kap.</w:t>
      </w:r>
    </w:p>
    <w:p w:rsidR="00D52109" w:rsidRDefault="00D52109">
      <w:pPr>
        <w:pStyle w:val="Propmedindrag"/>
        <w:rPr>
          <w:i/>
          <w:sz w:val="19"/>
        </w:rPr>
      </w:pPr>
      <w:r>
        <w:rPr>
          <w:i/>
          <w:sz w:val="19"/>
        </w:rPr>
        <w:t>40 §                                                                       39 §</w:t>
      </w:r>
    </w:p>
    <w:p w:rsidR="00D52109" w:rsidRDefault="00D52109">
      <w:pPr>
        <w:pStyle w:val="Propmedindrag"/>
        <w:rPr>
          <w:sz w:val="19"/>
        </w:rPr>
      </w:pPr>
    </w:p>
    <w:p w:rsidR="00D52109" w:rsidRDefault="00D52109">
      <w:pPr>
        <w:pStyle w:val="Normaltindrag"/>
      </w:pPr>
      <w:r>
        <w:t>Sekretess gäller i verksamhet enligt lagen (1999:000) om ersättning till st</w:t>
      </w:r>
      <w:r>
        <w:t>e</w:t>
      </w:r>
      <w:r>
        <w:t>riliserade i vissa fall för uppgift om enskilds hälsotillstånd eller andra pe</w:t>
      </w:r>
      <w:r>
        <w:t>r</w:t>
      </w:r>
      <w:r>
        <w:t>sonliga förhållanden, om det inte står klart att uppgiften kan röjas utan att den enskilde eller någon honom närst</w:t>
      </w:r>
      <w:r>
        <w:t>å</w:t>
      </w:r>
      <w:r>
        <w:t>ende lider men.</w:t>
      </w:r>
    </w:p>
    <w:p w:rsidR="00D52109" w:rsidRDefault="00D52109">
      <w:pPr>
        <w:pStyle w:val="Normaltindrag"/>
      </w:pPr>
      <w:r>
        <w:t>I fråga om uppgift i allmän handling gäller sekretessen i högst sjuttio år.</w:t>
      </w:r>
    </w:p>
    <w:p w:rsidR="00D52109" w:rsidRDefault="00D52109">
      <w:pPr>
        <w:pStyle w:val="Propmedindrag"/>
        <w:jc w:val="center"/>
        <w:rPr>
          <w:sz w:val="19"/>
        </w:rPr>
      </w:pPr>
    </w:p>
    <w:p w:rsidR="00D52109" w:rsidRDefault="00D52109">
      <w:pPr>
        <w:pStyle w:val="Propmedindrag"/>
        <w:jc w:val="center"/>
        <w:rPr>
          <w:b/>
          <w:sz w:val="19"/>
        </w:rPr>
      </w:pPr>
    </w:p>
    <w:p w:rsidR="00D52109" w:rsidRDefault="00D52109">
      <w:pPr>
        <w:pStyle w:val="Propmedindrag"/>
        <w:jc w:val="center"/>
        <w:rPr>
          <w:b/>
          <w:sz w:val="19"/>
        </w:rPr>
      </w:pPr>
      <w:r>
        <w:rPr>
          <w:b/>
          <w:sz w:val="19"/>
        </w:rPr>
        <w:t>16 kap.</w:t>
      </w:r>
    </w:p>
    <w:p w:rsidR="00D52109" w:rsidRDefault="00D52109">
      <w:pPr>
        <w:pStyle w:val="Propmedindrag"/>
        <w:jc w:val="center"/>
        <w:rPr>
          <w:sz w:val="19"/>
        </w:rPr>
      </w:pPr>
      <w:r>
        <w:rPr>
          <w:sz w:val="19"/>
        </w:rPr>
        <w:t>1 §</w:t>
      </w:r>
      <w:r>
        <w:rPr>
          <w:rStyle w:val="Fotnotsreferens"/>
          <w:sz w:val="19"/>
        </w:rPr>
        <w:footnoteReference w:id="2"/>
      </w:r>
    </w:p>
    <w:p w:rsidR="00D52109" w:rsidRDefault="00D52109">
      <w:pPr>
        <w:pStyle w:val="Propmedindrag"/>
        <w:jc w:val="center"/>
        <w:rPr>
          <w:sz w:val="19"/>
        </w:rPr>
      </w:pPr>
    </w:p>
    <w:tbl>
      <w:tblPr>
        <w:tblW w:w="0" w:type="auto"/>
        <w:tblInd w:w="-170" w:type="dxa"/>
        <w:tblLayout w:type="fixed"/>
        <w:tblCellMar>
          <w:left w:w="170" w:type="dxa"/>
          <w:right w:w="170" w:type="dxa"/>
        </w:tblCellMar>
        <w:tblLook w:val="0000" w:firstRow="0" w:lastRow="0" w:firstColumn="0" w:lastColumn="0" w:noHBand="0" w:noVBand="0"/>
      </w:tblPr>
      <w:tblGrid>
        <w:gridCol w:w="3856"/>
        <w:gridCol w:w="3856"/>
      </w:tblGrid>
      <w:tr w:rsidR="00000000">
        <w:tblPrEx>
          <w:tblCellMar>
            <w:top w:w="0" w:type="dxa"/>
            <w:bottom w:w="0" w:type="dxa"/>
          </w:tblCellMar>
        </w:tblPrEx>
        <w:tc>
          <w:tcPr>
            <w:tcW w:w="3856" w:type="dxa"/>
          </w:tcPr>
          <w:p w:rsidR="00D52109" w:rsidRDefault="00D52109">
            <w:pPr>
              <w:rPr>
                <w:i/>
                <w:vertAlign w:val="superscript"/>
              </w:rPr>
            </w:pPr>
            <w:r>
              <w:rPr>
                <w:i/>
              </w:rPr>
              <w:t>Nuvarande lydelse</w:t>
            </w:r>
          </w:p>
        </w:tc>
        <w:tc>
          <w:tcPr>
            <w:tcW w:w="3856" w:type="dxa"/>
          </w:tcPr>
          <w:p w:rsidR="00D52109" w:rsidRDefault="00D52109">
            <w:pPr>
              <w:pStyle w:val="Proputanindrag"/>
              <w:rPr>
                <w:i/>
                <w:sz w:val="19"/>
              </w:rPr>
            </w:pPr>
          </w:p>
        </w:tc>
      </w:tr>
    </w:tbl>
    <w:p w:rsidR="00D52109" w:rsidRDefault="00D52109">
      <w:pPr>
        <w:pStyle w:val="Propmedindrag"/>
        <w:rPr>
          <w:sz w:val="19"/>
        </w:rPr>
      </w:pPr>
    </w:p>
    <w:p w:rsidR="00D52109" w:rsidRDefault="00D52109">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softHyphen/>
        <w:t>såtligt åsid</w:t>
      </w:r>
      <w:r>
        <w:t>o</w:t>
      </w:r>
      <w:r>
        <w:t>sättande av tystnadsplikt, i vilka nämnda frihet enligt 7 kap. 3 § första stycket 3 och 5 § 2 tryckfrihetsförordningen samt 5 kap. 1 § första stycket och 3 § första stycket 3 yttrandefrihetsgrund</w:t>
      </w:r>
      <w:r>
        <w:softHyphen/>
        <w:t>lagen i öv</w:t>
      </w:r>
      <w:r>
        <w:t>rigt är begränsad, är de där tystnadsplikten följer av</w:t>
      </w:r>
    </w:p>
    <w:p w:rsidR="00D52109" w:rsidRDefault="00D52109">
      <w:pPr>
        <w:pStyle w:val="Proputanindrag"/>
        <w:rPr>
          <w:sz w:val="19"/>
        </w:rPr>
      </w:pPr>
      <w:r>
        <w:rPr>
          <w:sz w:val="19"/>
        </w:rPr>
        <w:softHyphen/>
        <w:t>–   –   –   –   –   –   –   –   –   –   –   –   –   –   –   –   –   –   –   –   –   –   –</w:t>
      </w:r>
    </w:p>
    <w:p w:rsidR="00D52109" w:rsidRDefault="00D52109">
      <w:pPr>
        <w:pStyle w:val="Normaltindrag"/>
      </w:pPr>
      <w:r>
        <w:t>3. denna lag enligt</w:t>
      </w:r>
    </w:p>
    <w:p w:rsidR="00D52109" w:rsidRDefault="00D52109">
      <w:pPr>
        <w:pStyle w:val="Proputanindrag"/>
        <w:rPr>
          <w:sz w:val="19"/>
        </w:rPr>
      </w:pPr>
      <w:r>
        <w:rPr>
          <w:sz w:val="19"/>
        </w:rPr>
        <w:softHyphen/>
        <w:t>–   –   –   –   –   –   –   –   –   –   –   –   –   –   –   –   –   –   –   –   –   –   –</w:t>
      </w:r>
    </w:p>
    <w:p w:rsidR="00D52109" w:rsidRDefault="00D52109">
      <w:pPr>
        <w:pStyle w:val="Proputanindrag"/>
        <w:rPr>
          <w:sz w:val="19"/>
        </w:rPr>
      </w:pPr>
    </w:p>
    <w:p w:rsidR="00D52109" w:rsidRDefault="00D52109">
      <w:pPr>
        <w:pStyle w:val="Normaltindrag"/>
      </w:pPr>
      <w:r>
        <w:t xml:space="preserve">7 kap. 38 § </w:t>
      </w:r>
    </w:p>
    <w:p w:rsidR="00D52109" w:rsidRDefault="00D52109">
      <w:pPr>
        <w:pStyle w:val="Proputanindrag"/>
        <w:rPr>
          <w:sz w:val="19"/>
        </w:rPr>
      </w:pPr>
    </w:p>
    <w:p w:rsidR="00D52109" w:rsidRDefault="00D52109">
      <w:pPr>
        <w:pStyle w:val="Normaltindrag"/>
      </w:pPr>
      <w:r>
        <w:t>8 kap. 3 §, 5 § första stycket 2, 6 §</w:t>
      </w:r>
    </w:p>
    <w:p w:rsidR="00D52109" w:rsidRDefault="00D52109">
      <w:pPr>
        <w:pStyle w:val="Proputanindrag"/>
        <w:rPr>
          <w:sz w:val="19"/>
        </w:rPr>
      </w:pPr>
      <w:r>
        <w:rPr>
          <w:sz w:val="19"/>
        </w:rPr>
        <w:t>första stycket 2</w:t>
      </w:r>
    </w:p>
    <w:p w:rsidR="00D52109" w:rsidRDefault="00D52109">
      <w:pPr>
        <w:pStyle w:val="Proputanindrag"/>
        <w:rPr>
          <w:sz w:val="19"/>
        </w:rPr>
      </w:pPr>
      <w:r>
        <w:rPr>
          <w:sz w:val="19"/>
        </w:rPr>
        <w:softHyphen/>
        <w:t>–   –   –   –   –   –   –   –   –   –   –   –   –   –   –   –   –   –   –   –   –   –   –</w:t>
      </w:r>
    </w:p>
    <w:p w:rsidR="00D52109" w:rsidRDefault="00D52109">
      <w:pPr>
        <w:pStyle w:val="Proputanindrag"/>
        <w:rPr>
          <w:sz w:val="19"/>
        </w:rPr>
      </w:pPr>
      <w:r>
        <w:rPr>
          <w:sz w:val="19"/>
        </w:rPr>
        <w:br w:type="page"/>
      </w:r>
    </w:p>
    <w:tbl>
      <w:tblPr>
        <w:tblW w:w="0" w:type="auto"/>
        <w:tblInd w:w="-170" w:type="dxa"/>
        <w:tblLayout w:type="fixed"/>
        <w:tblCellMar>
          <w:left w:w="170" w:type="dxa"/>
          <w:right w:w="170" w:type="dxa"/>
        </w:tblCellMar>
        <w:tblLook w:val="0000" w:firstRow="0" w:lastRow="0" w:firstColumn="0" w:lastColumn="0" w:noHBand="0" w:noVBand="0"/>
      </w:tblPr>
      <w:tblGrid>
        <w:gridCol w:w="3856"/>
        <w:gridCol w:w="3856"/>
      </w:tblGrid>
      <w:tr w:rsidR="00000000">
        <w:tblPrEx>
          <w:tblCellMar>
            <w:top w:w="0" w:type="dxa"/>
            <w:bottom w:w="0" w:type="dxa"/>
          </w:tblCellMar>
        </w:tblPrEx>
        <w:tc>
          <w:tcPr>
            <w:tcW w:w="3856" w:type="dxa"/>
          </w:tcPr>
          <w:p w:rsidR="00D52109" w:rsidRDefault="00D52109">
            <w:pPr>
              <w:pStyle w:val="Proputanindrag"/>
              <w:rPr>
                <w:i/>
                <w:sz w:val="19"/>
              </w:rPr>
            </w:pPr>
            <w:r>
              <w:rPr>
                <w:sz w:val="19"/>
              </w:rPr>
              <w:br w:type="page"/>
            </w:r>
            <w:r>
              <w:rPr>
                <w:i/>
                <w:sz w:val="19"/>
              </w:rPr>
              <w:t>Utskottets förslag</w:t>
            </w:r>
          </w:p>
        </w:tc>
        <w:tc>
          <w:tcPr>
            <w:tcW w:w="3856" w:type="dxa"/>
          </w:tcPr>
          <w:p w:rsidR="00D52109" w:rsidRDefault="00D52109">
            <w:pPr>
              <w:pStyle w:val="Proputanindrag"/>
              <w:rPr>
                <w:i/>
                <w:sz w:val="19"/>
              </w:rPr>
            </w:pPr>
          </w:p>
        </w:tc>
      </w:tr>
    </w:tbl>
    <w:p w:rsidR="00D52109" w:rsidRDefault="00D52109">
      <w:pPr>
        <w:pStyle w:val="Propmedindrag"/>
        <w:rPr>
          <w:sz w:val="19"/>
        </w:rPr>
      </w:pPr>
    </w:p>
    <w:p w:rsidR="00D52109" w:rsidRDefault="00D52109">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softHyphen/>
        <w:t>såtligt åsid</w:t>
      </w:r>
      <w:r>
        <w:t>o</w:t>
      </w:r>
      <w:r>
        <w:t>sättande av tystnadsplikt, i vilka nämnda frihet enligt 7 kap. 3 § första stycket 3 och 5 § 2 tryckfrihetsförordningen samt 5 kap. 1 § första stycket och 3 § första stycket 3 yttrandefrihetsgrund</w:t>
      </w:r>
      <w:r>
        <w:softHyphen/>
        <w:t>lagen i öv</w:t>
      </w:r>
      <w:r>
        <w:t>rigt är begränsad, är de där tystnadsplikten följer av</w:t>
      </w:r>
    </w:p>
    <w:p w:rsidR="00D52109" w:rsidRDefault="00D52109">
      <w:pPr>
        <w:pStyle w:val="Proputanindrag"/>
        <w:rPr>
          <w:sz w:val="19"/>
        </w:rPr>
      </w:pPr>
      <w:r>
        <w:rPr>
          <w:sz w:val="19"/>
        </w:rPr>
        <w:softHyphen/>
        <w:t>–   –   –   –   –   –   –   –   –   –   –   –   –   –   –   –   –   –   –   –   –   –   –</w:t>
      </w:r>
    </w:p>
    <w:p w:rsidR="00D52109" w:rsidRDefault="00D52109">
      <w:pPr>
        <w:pStyle w:val="Normaltindrag"/>
      </w:pPr>
      <w:r>
        <w:t>3. denna lag enligt</w:t>
      </w:r>
    </w:p>
    <w:p w:rsidR="00D52109" w:rsidRDefault="00D52109">
      <w:pPr>
        <w:pStyle w:val="Proputanindrag"/>
        <w:rPr>
          <w:sz w:val="19"/>
        </w:rPr>
      </w:pPr>
      <w:r>
        <w:rPr>
          <w:sz w:val="19"/>
        </w:rPr>
        <w:softHyphen/>
        <w:t>–   –   –   –   –   –   –   –   –   –   –   –   –   –   –   –   –   –   –   –   –   –   –</w:t>
      </w:r>
    </w:p>
    <w:p w:rsidR="00D52109" w:rsidRDefault="00D52109">
      <w:pPr>
        <w:pStyle w:val="Proputanindrag"/>
        <w:rPr>
          <w:sz w:val="19"/>
        </w:rPr>
      </w:pPr>
    </w:p>
    <w:p w:rsidR="00D52109" w:rsidRDefault="00D52109">
      <w:pPr>
        <w:pStyle w:val="Normaltindrag"/>
      </w:pPr>
      <w:r>
        <w:t xml:space="preserve">7 kap. 38 § </w:t>
      </w:r>
    </w:p>
    <w:p w:rsidR="00D52109" w:rsidRDefault="00D52109">
      <w:pPr>
        <w:pStyle w:val="Proputanindrag"/>
        <w:rPr>
          <w:sz w:val="19"/>
        </w:rPr>
      </w:pPr>
    </w:p>
    <w:p w:rsidR="00D52109" w:rsidRDefault="00D52109">
      <w:pPr>
        <w:pStyle w:val="Normaltindrag"/>
      </w:pPr>
      <w:r>
        <w:rPr>
          <w:i/>
        </w:rPr>
        <w:t>7 kap. 39 §</w:t>
      </w:r>
    </w:p>
    <w:p w:rsidR="00D52109" w:rsidRDefault="00D52109">
      <w:pPr>
        <w:pStyle w:val="Proputanindrag"/>
        <w:rPr>
          <w:sz w:val="19"/>
        </w:rPr>
      </w:pPr>
    </w:p>
    <w:p w:rsidR="00D52109" w:rsidRDefault="00D52109">
      <w:pPr>
        <w:pStyle w:val="Normaltindrag"/>
      </w:pPr>
      <w:r>
        <w:t>8 kap. 3 §, 5 § första stycket 2, 6 §</w:t>
      </w:r>
    </w:p>
    <w:p w:rsidR="00D52109" w:rsidRDefault="00D52109">
      <w:pPr>
        <w:pStyle w:val="Proputanindrag"/>
        <w:rPr>
          <w:sz w:val="19"/>
        </w:rPr>
      </w:pPr>
      <w:r>
        <w:rPr>
          <w:sz w:val="19"/>
        </w:rPr>
        <w:t>första stycket 2</w:t>
      </w:r>
    </w:p>
    <w:p w:rsidR="00D52109" w:rsidRDefault="00D52109">
      <w:pPr>
        <w:pStyle w:val="Proputanindrag"/>
        <w:rPr>
          <w:sz w:val="19"/>
        </w:rPr>
      </w:pPr>
      <w:r>
        <w:rPr>
          <w:sz w:val="19"/>
        </w:rPr>
        <w:softHyphen/>
        <w:t>–   –   –   –   –   –   –   –   –   –   –   –   –   –   –   –   –   –   –   –   –   –   –</w:t>
      </w:r>
    </w:p>
    <w:p w:rsidR="00D52109" w:rsidRDefault="00D52109">
      <w:pPr>
        <w:pStyle w:val="Proputanindrag"/>
        <w:rPr>
          <w:sz w:val="19"/>
        </w:rPr>
      </w:pPr>
    </w:p>
    <w:p w:rsidR="00D52109" w:rsidRDefault="00D52109">
      <w:pPr>
        <w:pStyle w:val="Propmedindrag"/>
        <w:jc w:val="center"/>
        <w:rPr>
          <w:sz w:val="19"/>
        </w:rPr>
      </w:pPr>
    </w:p>
    <w:p w:rsidR="00D52109" w:rsidRDefault="00D52109">
      <w:pPr>
        <w:pStyle w:val="Proputanindrag"/>
        <w:rPr>
          <w:sz w:val="19"/>
        </w:rPr>
      </w:pPr>
    </w:p>
    <w:p w:rsidR="00D52109" w:rsidRDefault="00D52109">
      <w:pPr>
        <w:pStyle w:val="Proputanindrag"/>
        <w:spacing w:after="10"/>
        <w:rPr>
          <w:sz w:val="19"/>
          <w:u w:val="single"/>
        </w:rPr>
      </w:pPr>
      <w:r>
        <w:rPr>
          <w:sz w:val="19"/>
          <w:u w:val="single"/>
        </w:rPr>
        <w:t>                                     </w:t>
      </w:r>
    </w:p>
    <w:p w:rsidR="00D52109" w:rsidRDefault="00D52109">
      <w:pPr>
        <w:pStyle w:val="Propmedindrag"/>
        <w:rPr>
          <w:sz w:val="19"/>
        </w:rPr>
      </w:pPr>
    </w:p>
    <w:p w:rsidR="00D52109" w:rsidRDefault="00D52109">
      <w:pPr>
        <w:pStyle w:val="Propmedindrag"/>
        <w:rPr>
          <w:sz w:val="19"/>
        </w:rPr>
      </w:pPr>
      <w:r>
        <w:rPr>
          <w:sz w:val="19"/>
        </w:rPr>
        <w:t>Denna lag träder i kraft den 1 juli 1999.</w:t>
      </w:r>
    </w:p>
    <w:p w:rsidR="00D52109" w:rsidRDefault="00D52109">
      <w:pPr>
        <w:pStyle w:val="Innehll"/>
        <w:sectPr w:rsidR="00000000">
          <w:headerReference w:type="default" r:id="rId13"/>
          <w:footerReference w:type="default" r:id="rId14"/>
          <w:pgSz w:w="11906" w:h="16838" w:code="9"/>
          <w:pgMar w:top="567" w:right="4876" w:bottom="4508" w:left="1134" w:header="227" w:footer="227" w:gutter="0"/>
          <w:cols w:space="720"/>
        </w:sectPr>
      </w:pPr>
    </w:p>
    <w:p w:rsidR="00D52109" w:rsidRDefault="00D52109">
      <w:pPr>
        <w:pStyle w:val="Innehll"/>
      </w:pPr>
      <w:r>
        <w:t>Innehållsförteckning</w:t>
      </w:r>
    </w:p>
    <w:p w:rsidR="00D52109" w:rsidRDefault="00D52109">
      <w:pPr>
        <w:pStyle w:val="Innehll1"/>
        <w:rPr>
          <w:noProof/>
        </w:rPr>
      </w:pPr>
      <w:r>
        <w:rPr>
          <w:noProof/>
        </w:rPr>
        <w:t>Sammanfattning</w:t>
      </w:r>
      <w:r>
        <w:rPr>
          <w:noProof/>
        </w:rPr>
        <w:tab/>
        <w:t>1</w:t>
      </w:r>
    </w:p>
    <w:p w:rsidR="00D52109" w:rsidRDefault="00D52109">
      <w:pPr>
        <w:pStyle w:val="Innehll1"/>
        <w:rPr>
          <w:noProof/>
        </w:rPr>
      </w:pPr>
      <w:r>
        <w:rPr>
          <w:noProof/>
        </w:rPr>
        <w:t>Propositionen</w:t>
      </w:r>
      <w:r>
        <w:rPr>
          <w:noProof/>
        </w:rPr>
        <w:tab/>
        <w:t>1</w:t>
      </w:r>
    </w:p>
    <w:p w:rsidR="00D52109" w:rsidRDefault="00D52109">
      <w:pPr>
        <w:pStyle w:val="Innehll1"/>
        <w:rPr>
          <w:noProof/>
        </w:rPr>
      </w:pPr>
      <w:r>
        <w:rPr>
          <w:noProof/>
        </w:rPr>
        <w:t>Utskottet</w:t>
      </w:r>
      <w:r>
        <w:rPr>
          <w:noProof/>
        </w:rPr>
        <w:tab/>
        <w:t>1</w:t>
      </w:r>
    </w:p>
    <w:p w:rsidR="00D52109" w:rsidRDefault="00D52109">
      <w:pPr>
        <w:pStyle w:val="Innehll2"/>
        <w:rPr>
          <w:noProof/>
        </w:rPr>
      </w:pPr>
      <w:r>
        <w:rPr>
          <w:noProof/>
        </w:rPr>
        <w:t>Propositionen i huvuddrag</w:t>
      </w:r>
      <w:r>
        <w:rPr>
          <w:noProof/>
        </w:rPr>
        <w:tab/>
        <w:t>1</w:t>
      </w:r>
    </w:p>
    <w:p w:rsidR="00D52109" w:rsidRDefault="00D52109">
      <w:pPr>
        <w:pStyle w:val="Innehll2"/>
        <w:rPr>
          <w:noProof/>
        </w:rPr>
      </w:pPr>
      <w:r>
        <w:rPr>
          <w:noProof/>
        </w:rPr>
        <w:t>Förslag till lag om ersättning till steriliserade i vissa fall</w:t>
      </w:r>
      <w:r>
        <w:rPr>
          <w:noProof/>
        </w:rPr>
        <w:tab/>
        <w:t>2</w:t>
      </w:r>
    </w:p>
    <w:p w:rsidR="00D52109" w:rsidRDefault="00D52109">
      <w:pPr>
        <w:pStyle w:val="Innehll3"/>
        <w:rPr>
          <w:noProof/>
        </w:rPr>
      </w:pPr>
      <w:r>
        <w:rPr>
          <w:noProof/>
        </w:rPr>
        <w:t>Bakgrund</w:t>
      </w:r>
      <w:r>
        <w:rPr>
          <w:noProof/>
        </w:rPr>
        <w:tab/>
        <w:t>2</w:t>
      </w:r>
    </w:p>
    <w:p w:rsidR="00D52109" w:rsidRDefault="00D52109">
      <w:pPr>
        <w:pStyle w:val="Innehll3"/>
        <w:rPr>
          <w:noProof/>
        </w:rPr>
      </w:pPr>
      <w:r>
        <w:rPr>
          <w:noProof/>
        </w:rPr>
        <w:t>Lagens omfattning</w:t>
      </w:r>
      <w:r>
        <w:rPr>
          <w:noProof/>
        </w:rPr>
        <w:tab/>
        <w:t>2</w:t>
      </w:r>
    </w:p>
    <w:p w:rsidR="00D52109" w:rsidRDefault="00D52109">
      <w:pPr>
        <w:pStyle w:val="Innehll3"/>
        <w:rPr>
          <w:noProof/>
        </w:rPr>
      </w:pPr>
      <w:r>
        <w:rPr>
          <w:noProof/>
        </w:rPr>
        <w:t>Villkor för att ersättning skall beviljas</w:t>
      </w:r>
      <w:r>
        <w:rPr>
          <w:noProof/>
        </w:rPr>
        <w:tab/>
        <w:t>3</w:t>
      </w:r>
    </w:p>
    <w:p w:rsidR="00D52109" w:rsidRDefault="00D52109">
      <w:pPr>
        <w:pStyle w:val="Innehll3"/>
        <w:rPr>
          <w:noProof/>
        </w:rPr>
      </w:pPr>
      <w:r>
        <w:rPr>
          <w:noProof/>
        </w:rPr>
        <w:t>Ersättningens storlek</w:t>
      </w:r>
      <w:r>
        <w:rPr>
          <w:noProof/>
        </w:rPr>
        <w:tab/>
        <w:t>3</w:t>
      </w:r>
    </w:p>
    <w:p w:rsidR="00D52109" w:rsidRDefault="00D52109">
      <w:pPr>
        <w:pStyle w:val="Innehll3"/>
        <w:rPr>
          <w:noProof/>
        </w:rPr>
      </w:pPr>
      <w:r>
        <w:rPr>
          <w:noProof/>
        </w:rPr>
        <w:t>Beslut om ersättning m.m.</w:t>
      </w:r>
      <w:r>
        <w:rPr>
          <w:noProof/>
        </w:rPr>
        <w:tab/>
        <w:t>3</w:t>
      </w:r>
    </w:p>
    <w:p w:rsidR="00D52109" w:rsidRDefault="00D52109">
      <w:pPr>
        <w:pStyle w:val="Innehll3"/>
        <w:rPr>
          <w:noProof/>
        </w:rPr>
      </w:pPr>
      <w:r>
        <w:rPr>
          <w:noProof/>
        </w:rPr>
        <w:t>Handläggningsfrågor m.m.</w:t>
      </w:r>
      <w:r>
        <w:rPr>
          <w:noProof/>
        </w:rPr>
        <w:tab/>
        <w:t>4</w:t>
      </w:r>
    </w:p>
    <w:p w:rsidR="00D52109" w:rsidRDefault="00D52109">
      <w:pPr>
        <w:pStyle w:val="Innehll3"/>
        <w:rPr>
          <w:noProof/>
        </w:rPr>
      </w:pPr>
      <w:r>
        <w:rPr>
          <w:noProof/>
        </w:rPr>
        <w:t>Kostnadseffekter</w:t>
      </w:r>
      <w:r>
        <w:rPr>
          <w:noProof/>
        </w:rPr>
        <w:tab/>
        <w:t>4</w:t>
      </w:r>
    </w:p>
    <w:p w:rsidR="00D52109" w:rsidRDefault="00D52109">
      <w:pPr>
        <w:pStyle w:val="Innehll3"/>
        <w:rPr>
          <w:noProof/>
        </w:rPr>
      </w:pPr>
      <w:r>
        <w:rPr>
          <w:noProof/>
        </w:rPr>
        <w:t>Utskottets bedömning</w:t>
      </w:r>
      <w:r>
        <w:rPr>
          <w:noProof/>
        </w:rPr>
        <w:tab/>
        <w:t>4</w:t>
      </w:r>
    </w:p>
    <w:p w:rsidR="00D52109" w:rsidRDefault="00D52109">
      <w:pPr>
        <w:pStyle w:val="Innehll2"/>
        <w:rPr>
          <w:noProof/>
        </w:rPr>
      </w:pPr>
      <w:r>
        <w:rPr>
          <w:noProof/>
        </w:rPr>
        <w:t>Förslag till lag om ändring i sekretesslagen (1980:100)</w:t>
      </w:r>
      <w:r>
        <w:rPr>
          <w:noProof/>
        </w:rPr>
        <w:tab/>
        <w:t>5</w:t>
      </w:r>
    </w:p>
    <w:p w:rsidR="00D52109" w:rsidRDefault="00D52109">
      <w:pPr>
        <w:pStyle w:val="Innehll2"/>
        <w:rPr>
          <w:noProof/>
        </w:rPr>
      </w:pPr>
      <w:r>
        <w:rPr>
          <w:noProof/>
        </w:rPr>
        <w:t>Hemställan</w:t>
      </w:r>
      <w:r>
        <w:rPr>
          <w:noProof/>
        </w:rPr>
        <w:tab/>
        <w:t>5</w:t>
      </w:r>
    </w:p>
    <w:p w:rsidR="00D52109" w:rsidRDefault="00D52109">
      <w:pPr>
        <w:pStyle w:val="Innehll2"/>
        <w:rPr>
          <w:noProof/>
        </w:rPr>
      </w:pPr>
      <w:r>
        <w:rPr>
          <w:noProof/>
        </w:rPr>
        <w:t>I propositionen framlagda lagförslag</w:t>
      </w:r>
      <w:r>
        <w:rPr>
          <w:noProof/>
        </w:rPr>
        <w:tab/>
        <w:t>6</w:t>
      </w:r>
    </w:p>
    <w:p w:rsidR="00D52109" w:rsidRDefault="00D52109">
      <w:pPr>
        <w:pStyle w:val="Innehll2"/>
        <w:rPr>
          <w:noProof/>
        </w:rPr>
      </w:pPr>
      <w:r>
        <w:rPr>
          <w:noProof/>
        </w:rPr>
        <w:t>Av utskottet framlagt lagförslag</w:t>
      </w:r>
      <w:r>
        <w:rPr>
          <w:noProof/>
        </w:rPr>
        <w:tab/>
        <w:t>10</w:t>
      </w:r>
    </w:p>
    <w:p w:rsidR="00D52109" w:rsidRDefault="00D52109"/>
    <w:p w:rsidR="00D52109" w:rsidRDefault="00D52109">
      <w:pPr>
        <w:pStyle w:val="Tryckort"/>
        <w:framePr w:wrap="around"/>
      </w:pPr>
      <w:r>
        <w:t>Elanders Gotab, Stockholm  1999</w:t>
      </w:r>
    </w:p>
    <w:p w:rsidR="00D52109" w:rsidRDefault="00D52109">
      <w:pPr>
        <w:pStyle w:val="Normaltindrag"/>
      </w:pPr>
    </w:p>
    <w:sectPr w:rsidR="00D52109">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109" w:rsidRDefault="00D52109">
      <w:pPr>
        <w:spacing w:before="0" w:line="240" w:lineRule="auto"/>
      </w:pPr>
      <w:r>
        <w:separator/>
      </w:r>
    </w:p>
  </w:endnote>
  <w:endnote w:type="continuationSeparator" w:id="0">
    <w:p w:rsidR="00D52109" w:rsidRDefault="00D521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52109" w:rsidRDefault="00D521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D52109" w:rsidRDefault="00D521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D52109" w:rsidRDefault="00D521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D52109" w:rsidRDefault="00D521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109" w:rsidRDefault="00D52109">
      <w:pPr>
        <w:spacing w:before="0" w:line="240" w:lineRule="auto"/>
      </w:pPr>
      <w:r>
        <w:separator/>
      </w:r>
    </w:p>
  </w:footnote>
  <w:footnote w:type="continuationSeparator" w:id="0">
    <w:p w:rsidR="00D52109" w:rsidRDefault="00D52109">
      <w:pPr>
        <w:spacing w:before="0" w:line="240" w:lineRule="auto"/>
      </w:pPr>
      <w:r>
        <w:continuationSeparator/>
      </w:r>
    </w:p>
  </w:footnote>
  <w:footnote w:id="1">
    <w:p w:rsidR="00D52109" w:rsidRDefault="00D52109">
      <w:pPr>
        <w:pStyle w:val="Fotnotstext"/>
      </w:pPr>
      <w:r>
        <w:rPr>
          <w:rStyle w:val="Fotnotsreferens"/>
        </w:rPr>
        <w:footnoteRef/>
      </w:r>
      <w:r>
        <w:t xml:space="preserve"> Lagen omtryckt 1992:1474.</w:t>
      </w:r>
    </w:p>
  </w:footnote>
  <w:footnote w:id="2">
    <w:p w:rsidR="00D52109" w:rsidRDefault="00D52109">
      <w:pPr>
        <w:pStyle w:val="Fotnotstext"/>
      </w:pPr>
      <w:r>
        <w:rPr>
          <w:rStyle w:val="Fotnotsreferens"/>
        </w:rPr>
        <w:footnoteRef/>
      </w:r>
      <w:r>
        <w:t xml:space="preserve"> Senaste lydelse 1998:857.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huvudKant"/>
      <w:framePr w:w="1985" w:h="2743" w:hRule="exact" w:wrap="around" w:vAnchor="page" w:hAnchor="page" w:x="7372" w:y="568" w:anchorLock="0"/>
      <w:rPr>
        <w:noProof/>
      </w:rPr>
    </w:pPr>
    <w:r>
      <w:rPr>
        <w:noProof/>
      </w:rPr>
      <w:t>1998/99:SoU13</w:t>
    </w:r>
  </w:p>
  <w:p w:rsidR="00D52109" w:rsidRDefault="00D52109">
    <w:pPr>
      <w:pStyle w:val="SidhuvudKantBilaga"/>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pPr>
  </w:p>
  <w:p w:rsidR="00D52109" w:rsidRDefault="00D521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huvudKant"/>
      <w:framePr w:w="1985" w:h="2743" w:hRule="exact" w:wrap="around" w:vAnchor="page" w:hAnchor="page" w:x="7372" w:y="568" w:anchorLock="0"/>
      <w:rPr>
        <w:noProof/>
      </w:rPr>
    </w:pPr>
    <w:r>
      <w:rPr>
        <w:noProof/>
      </w:rPr>
      <w:t>1998/99:SoU13</w:t>
    </w:r>
  </w:p>
  <w:p w:rsidR="00D52109" w:rsidRDefault="00D52109">
    <w:pPr>
      <w:pStyle w:val="SidhuvudKantBilaga"/>
      <w:framePr w:w="1985" w:h="2743" w:hRule="exact" w:wrap="around" w:vAnchor="page" w:hAnchor="page" w:x="7372" w:y="568" w:anchorLock="0"/>
      <w:rPr>
        <w:noProof/>
      </w:rPr>
    </w:pPr>
    <w:r>
      <w:rPr>
        <w:noProof/>
      </w:rPr>
      <w:t>Bilaga 1</w:t>
    </w: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pPr>
  </w:p>
  <w:p w:rsidR="00D52109" w:rsidRDefault="00D521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huvudKant"/>
      <w:framePr w:w="1985" w:h="2743" w:hRule="exact" w:wrap="around" w:vAnchor="page" w:hAnchor="page" w:x="7372" w:y="568" w:anchorLock="0"/>
      <w:rPr>
        <w:noProof/>
      </w:rPr>
    </w:pPr>
    <w:r>
      <w:rPr>
        <w:noProof/>
      </w:rPr>
      <w:t>1998/99:SoU13</w:t>
    </w:r>
  </w:p>
  <w:p w:rsidR="00D52109" w:rsidRDefault="00D52109">
    <w:pPr>
      <w:pStyle w:val="SidhuvudKantBilaga"/>
      <w:framePr w:w="1985" w:h="2743" w:hRule="exact" w:wrap="around" w:vAnchor="page" w:hAnchor="page" w:x="7372" w:y="568" w:anchorLock="0"/>
      <w:rPr>
        <w:noProof/>
      </w:rPr>
    </w:pPr>
    <w:r>
      <w:rPr>
        <w:noProof/>
      </w:rPr>
      <w:t>Bilaga 2</w:t>
    </w: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pPr>
  </w:p>
  <w:p w:rsidR="00D52109" w:rsidRDefault="00D5210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109" w:rsidRDefault="00D52109">
    <w:pPr>
      <w:pStyle w:val="SidhuvudKant"/>
      <w:framePr w:w="1985" w:h="2743" w:hRule="exact" w:wrap="around" w:vAnchor="page" w:hAnchor="page" w:x="7372" w:y="568" w:anchorLock="0"/>
      <w:rPr>
        <w:noProof/>
      </w:rPr>
    </w:pPr>
    <w:r>
      <w:rPr>
        <w:noProof/>
      </w:rPr>
      <w:t>1998/99:SoU13</w:t>
    </w:r>
  </w:p>
  <w:p w:rsidR="00D52109" w:rsidRDefault="00D52109">
    <w:pPr>
      <w:pStyle w:val="SidhuvudKantBilaga"/>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rPr>
        <w:noProof/>
      </w:rPr>
    </w:pPr>
  </w:p>
  <w:p w:rsidR="00D52109" w:rsidRDefault="00D52109">
    <w:pPr>
      <w:pStyle w:val="SidhuvudKant"/>
      <w:framePr w:w="1985" w:h="2743" w:hRule="exact" w:wrap="around" w:vAnchor="page" w:hAnchor="page" w:x="7372" w:y="568" w:anchorLock="0"/>
    </w:pPr>
  </w:p>
  <w:p w:rsidR="00D52109" w:rsidRDefault="00D5210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2219B7"/>
    <w:rsid w:val="002219B7"/>
    <w:rsid w:val="008256B5"/>
    <w:rsid w:val="00D521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BE3CD-8FE6-4D09-A5C3-0BDC7F52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2229</Words>
  <Characters>13085</Characters>
  <Application>Microsoft Office Word</Application>
  <DocSecurity>4</DocSecurity>
  <Lines>319</Lines>
  <Paragraphs>134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Socialutskottets betänkande</vt:lpstr>
      <vt:lpstr>Sammanfattning</vt:lpstr>
      <vt:lpstr>Propositionen</vt:lpstr>
      <vt:lpstr>Utskottet</vt:lpstr>
      <vt:lpstr>    Propositionen i huvuddrag</vt:lpstr>
      <vt:lpstr>    Förslag till lag om ersättning till steriliserade i vissa fall</vt:lpstr>
      <vt:lpstr>        Bakgrund</vt:lpstr>
      <vt:lpstr>        Lagens omfattning</vt:lpstr>
      <vt:lpstr>        Villkor för att ersättning skall beviljas</vt:lpstr>
      <vt:lpstr>        Ersättningens storlek</vt:lpstr>
      <vt:lpstr>        Beslut om ersättning m.m.</vt:lpstr>
      <vt:lpstr>        Handläggningsfrågor m.m.</vt:lpstr>
      <vt:lpstr>        Kostnadseffekter</vt:lpstr>
      <vt:lpstr>        Utskottets bedömning</vt:lpstr>
      <vt:lpstr>    Förslag till lag om ändring i sekretesslagen (1980:100)</vt:lpstr>
      <vt:lpstr>    Hemställan</vt:lpstr>
      <vt:lpstr>        I propositionen framlagda lagförslag</vt:lpstr>
      <vt:lpstr>    </vt:lpstr>
      <vt:lpstr>        Av utskottet framlagt förslag till ändring i regeringens förslag till lag om änd</vt:lpstr>
    </vt:vector>
  </TitlesOfParts>
  <Company>Riksdagen</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1999-05-10T08:44:00Z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