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F729156"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3C595B">
              <w:rPr>
                <w:b/>
                <w:lang w:eastAsia="en-US"/>
              </w:rPr>
              <w:t>5</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DFAF414"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3C595B">
              <w:rPr>
                <w:lang w:eastAsia="en-US"/>
              </w:rPr>
              <w:t>10-03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10DD8E0" w:rsidR="00626DFC" w:rsidRPr="005F6757" w:rsidRDefault="003C595B" w:rsidP="00B427F9">
            <w:pPr>
              <w:spacing w:line="252" w:lineRule="auto"/>
              <w:rPr>
                <w:color w:val="000000" w:themeColor="text1"/>
                <w:lang w:eastAsia="en-US"/>
              </w:rPr>
            </w:pPr>
            <w:r>
              <w:rPr>
                <w:color w:val="000000" w:themeColor="text1"/>
                <w:lang w:eastAsia="en-US"/>
              </w:rPr>
              <w:t>09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6315D9">
              <w:rPr>
                <w:color w:val="000000" w:themeColor="text1"/>
                <w:lang w:eastAsia="en-US"/>
              </w:rPr>
              <w:t>09.45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06D92F98" w:rsidR="00221CE3" w:rsidRDefault="003C595B">
            <w:pPr>
              <w:spacing w:line="256" w:lineRule="auto"/>
              <w:rPr>
                <w:rFonts w:eastAsiaTheme="minorHAnsi"/>
                <w:color w:val="000000"/>
                <w:lang w:eastAsia="en-US"/>
              </w:rPr>
            </w:pPr>
            <w:r>
              <w:rPr>
                <w:b/>
              </w:rPr>
              <w:t>Ekonomiska och finansiella frågor</w:t>
            </w:r>
            <w:r>
              <w:rPr>
                <w:b/>
              </w:rPr>
              <w:br/>
            </w:r>
            <w:r>
              <w:rPr>
                <w:bCs/>
              </w:rPr>
              <w:t>Finansminister Elisabeth Svantesson</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00F200AB">
              <w:rPr>
                <w:rFonts w:eastAsiaTheme="minorHAnsi"/>
                <w:color w:val="000000"/>
                <w:lang w:eastAsia="en-US"/>
              </w:rPr>
              <w:t>F</w:t>
            </w:r>
            <w:r>
              <w:rPr>
                <w:rFonts w:eastAsiaTheme="minorHAnsi"/>
                <w:color w:val="000000"/>
                <w:lang w:eastAsia="en-US"/>
              </w:rPr>
              <w:t>inans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10 oktober 2025</w:t>
            </w:r>
            <w:r w:rsidR="00221CE3">
              <w:rPr>
                <w:rFonts w:eastAsiaTheme="minorHAnsi"/>
                <w:color w:val="000000"/>
                <w:lang w:eastAsia="en-US"/>
              </w:rPr>
              <w:t>.</w:t>
            </w:r>
          </w:p>
          <w:p w14:paraId="7631F692" w14:textId="2CD82385" w:rsidR="00221CE3" w:rsidRDefault="003B4C1F">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p>
          <w:p w14:paraId="5D310895" w14:textId="77777777" w:rsidR="00221CE3" w:rsidRDefault="00221CE3" w:rsidP="00221CE3">
            <w:pPr>
              <w:rPr>
                <w:rFonts w:eastAsiaTheme="minorHAnsi"/>
                <w:color w:val="000000"/>
                <w:lang w:eastAsia="en-US"/>
              </w:rPr>
            </w:pPr>
          </w:p>
          <w:p w14:paraId="64A7A474" w14:textId="02F6D397"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3C595B">
              <w:rPr>
                <w:rFonts w:eastAsiaTheme="minorHAnsi"/>
                <w:b/>
                <w:bCs/>
                <w:color w:val="000000"/>
                <w:lang w:eastAsia="en-US"/>
              </w:rPr>
              <w:t xml:space="preserve"> 8 juli 2025</w:t>
            </w:r>
          </w:p>
          <w:p w14:paraId="521FF81C" w14:textId="4690DC7C" w:rsidR="003C595B" w:rsidRDefault="003C595B" w:rsidP="00221CE3">
            <w:pPr>
              <w:spacing w:line="256" w:lineRule="auto"/>
              <w:rPr>
                <w:rFonts w:eastAsiaTheme="minorHAnsi"/>
                <w:b/>
                <w:bCs/>
                <w:color w:val="000000"/>
                <w:lang w:eastAsia="en-US"/>
              </w:rPr>
            </w:pPr>
            <w:r>
              <w:rPr>
                <w:rFonts w:eastAsiaTheme="minorHAnsi"/>
                <w:b/>
                <w:bCs/>
                <w:color w:val="000000"/>
                <w:lang w:eastAsia="en-US"/>
              </w:rPr>
              <w:t xml:space="preserve">- Återrapport från informellt ministermöte i rådet den </w:t>
            </w:r>
            <w:proofErr w:type="gramStart"/>
            <w:r>
              <w:rPr>
                <w:rFonts w:eastAsiaTheme="minorHAnsi"/>
                <w:b/>
                <w:bCs/>
                <w:color w:val="000000"/>
                <w:lang w:eastAsia="en-US"/>
              </w:rPr>
              <w:t>19-20</w:t>
            </w:r>
            <w:proofErr w:type="gramEnd"/>
            <w:r>
              <w:rPr>
                <w:rFonts w:eastAsiaTheme="minorHAnsi"/>
                <w:b/>
                <w:bCs/>
                <w:color w:val="000000"/>
                <w:lang w:eastAsia="en-US"/>
              </w:rPr>
              <w:t xml:space="preserve"> september 2025</w:t>
            </w:r>
          </w:p>
          <w:p w14:paraId="75C4BFBD" w14:textId="081D88D6"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w:t>
            </w:r>
            <w:r w:rsidR="00235321">
              <w:rPr>
                <w:b/>
                <w:snapToGrid w:val="0"/>
                <w:color w:val="000000" w:themeColor="text1"/>
                <w:lang w:eastAsia="en-US"/>
              </w:rPr>
              <w:t xml:space="preserve"> </w:t>
            </w:r>
            <w:r w:rsidR="00235321" w:rsidRPr="00235321">
              <w:rPr>
                <w:b/>
                <w:lang w:eastAsia="en-US"/>
              </w:rPr>
              <w:t>Rådets direktiv om strukturen och skattesatserna för punktskatten på tobaksvaror och tobaksrelaterade produkter (omarbetning)</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874BB9" w14:textId="77777777" w:rsidR="006830D7" w:rsidRPr="003B4C1F" w:rsidRDefault="006830D7">
            <w:pPr>
              <w:spacing w:line="256" w:lineRule="auto"/>
              <w:rPr>
                <w:rFonts w:eastAsiaTheme="minorHAnsi"/>
                <w:color w:val="000000" w:themeColor="text1"/>
                <w:lang w:eastAsia="en-US"/>
              </w:rPr>
            </w:pPr>
          </w:p>
          <w:p w14:paraId="51962E9F" w14:textId="0D83F6E7" w:rsidR="00235321" w:rsidRPr="003B4C1F" w:rsidRDefault="00235321" w:rsidP="00235321">
            <w:pPr>
              <w:spacing w:line="256" w:lineRule="auto"/>
              <w:rPr>
                <w:b/>
                <w:snapToGrid w:val="0"/>
                <w:color w:val="000000" w:themeColor="text1"/>
                <w:lang w:eastAsia="en-US"/>
              </w:rPr>
            </w:pPr>
            <w:r w:rsidRPr="003B4C1F">
              <w:rPr>
                <w:b/>
                <w:snapToGrid w:val="0"/>
                <w:color w:val="000000" w:themeColor="text1"/>
                <w:lang w:eastAsia="en-US"/>
              </w:rPr>
              <w:t>-</w:t>
            </w:r>
            <w:r>
              <w:rPr>
                <w:b/>
                <w:snapToGrid w:val="0"/>
                <w:color w:val="000000" w:themeColor="text1"/>
                <w:lang w:eastAsia="en-US"/>
              </w:rPr>
              <w:t xml:space="preserve"> </w:t>
            </w:r>
            <w:r w:rsidRPr="00235321">
              <w:rPr>
                <w:b/>
                <w:lang w:eastAsia="en-US"/>
              </w:rPr>
              <w:t>Rådets beslut om systemet för Europeiska unionens egna medel och om upphävande av beslut (EU, Euratom) 2020/2053</w:t>
            </w:r>
          </w:p>
          <w:p w14:paraId="2980A291" w14:textId="77777777" w:rsidR="00235321" w:rsidRDefault="00235321" w:rsidP="00235321">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41ED983" w14:textId="4A275D4A" w:rsidR="003B4C1F" w:rsidRDefault="003B4C1F" w:rsidP="00235321">
            <w:pPr>
              <w:spacing w:line="256" w:lineRule="auto"/>
              <w:rPr>
                <w:rFonts w:eastAsiaTheme="minorHAnsi"/>
                <w:color w:val="000000" w:themeColor="text1"/>
                <w:lang w:eastAsia="en-US"/>
              </w:rPr>
            </w:pPr>
          </w:p>
          <w:p w14:paraId="2E0888FD" w14:textId="7DAE1E72" w:rsidR="00235321" w:rsidRPr="003B4C1F" w:rsidRDefault="00235321" w:rsidP="00235321">
            <w:pPr>
              <w:spacing w:line="256" w:lineRule="auto"/>
              <w:rPr>
                <w:b/>
                <w:snapToGrid w:val="0"/>
                <w:color w:val="000000" w:themeColor="text1"/>
                <w:lang w:eastAsia="en-US"/>
              </w:rPr>
            </w:pPr>
            <w:r w:rsidRPr="003B4C1F">
              <w:rPr>
                <w:b/>
                <w:snapToGrid w:val="0"/>
                <w:color w:val="000000" w:themeColor="text1"/>
                <w:lang w:eastAsia="en-US"/>
              </w:rPr>
              <w:t>-</w:t>
            </w:r>
            <w:r>
              <w:rPr>
                <w:b/>
                <w:snapToGrid w:val="0"/>
                <w:color w:val="000000" w:themeColor="text1"/>
                <w:lang w:eastAsia="en-US"/>
              </w:rPr>
              <w:t xml:space="preserve"> </w:t>
            </w:r>
            <w:r>
              <w:rPr>
                <w:b/>
                <w:lang w:eastAsia="en-US"/>
              </w:rPr>
              <w:t>Övriga frågor</w:t>
            </w:r>
          </w:p>
          <w:p w14:paraId="12926F97" w14:textId="77777777" w:rsidR="00E16684" w:rsidRPr="00227D7C" w:rsidRDefault="00E16684" w:rsidP="00E16684">
            <w:pPr>
              <w:spacing w:line="256" w:lineRule="auto"/>
              <w:rPr>
                <w:rFonts w:eastAsiaTheme="minorHAnsi"/>
                <w:b/>
                <w:bCs/>
                <w:color w:val="000000" w:themeColor="text1"/>
                <w:lang w:eastAsia="en-US"/>
              </w:rPr>
            </w:pPr>
            <w:r w:rsidRPr="00227D7C">
              <w:rPr>
                <w:rFonts w:eastAsiaTheme="minorHAnsi"/>
                <w:b/>
                <w:bCs/>
                <w:color w:val="000000" w:themeColor="text1"/>
                <w:lang w:eastAsia="en-US"/>
              </w:rPr>
              <w:t>Aktuella lagstiftningsförslag om finansiella tjänster</w:t>
            </w:r>
          </w:p>
          <w:p w14:paraId="0255044B" w14:textId="77777777" w:rsidR="00E16684" w:rsidRDefault="00E16684" w:rsidP="00235321">
            <w:pPr>
              <w:spacing w:line="256" w:lineRule="auto"/>
              <w:rPr>
                <w:rFonts w:eastAsiaTheme="minorHAnsi"/>
                <w:color w:val="000000" w:themeColor="text1"/>
                <w:lang w:eastAsia="en-US"/>
              </w:rPr>
            </w:pPr>
          </w:p>
          <w:p w14:paraId="5F12582C" w14:textId="77777777" w:rsidR="00235321" w:rsidRDefault="00235321" w:rsidP="00235321">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235321">
              <w:rPr>
                <w:b/>
                <w:lang w:eastAsia="en-US"/>
              </w:rPr>
              <w:t xml:space="preserve">Spar- och investeringsunionen </w:t>
            </w:r>
          </w:p>
          <w:p w14:paraId="34254669" w14:textId="77284600" w:rsidR="00235321" w:rsidRPr="00235321" w:rsidRDefault="00235321" w:rsidP="00235321">
            <w:pPr>
              <w:spacing w:line="256" w:lineRule="auto"/>
              <w:rPr>
                <w:b/>
                <w:lang w:eastAsia="en-US"/>
              </w:rPr>
            </w:pPr>
            <w:r w:rsidRPr="00235321">
              <w:rPr>
                <w:b/>
                <w:lang w:eastAsia="en-US"/>
              </w:rPr>
              <w:t>Kommissionens rekommendation om investeringssparkonton</w:t>
            </w:r>
          </w:p>
          <w:p w14:paraId="21F8BC22" w14:textId="6CADFC19" w:rsidR="00235321" w:rsidRDefault="00235321" w:rsidP="00235321">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442F8A2" w14:textId="77777777" w:rsidR="00F200AB" w:rsidRDefault="00F200AB" w:rsidP="00235321">
            <w:pPr>
              <w:spacing w:line="256" w:lineRule="auto"/>
              <w:rPr>
                <w:rFonts w:eastAsiaTheme="minorHAnsi"/>
                <w:color w:val="000000" w:themeColor="text1"/>
                <w:lang w:eastAsia="en-US"/>
              </w:rPr>
            </w:pPr>
          </w:p>
          <w:p w14:paraId="6555051D" w14:textId="5C19EA15" w:rsidR="00235321" w:rsidRPr="003B4C1F" w:rsidRDefault="00235321" w:rsidP="00235321">
            <w:pPr>
              <w:spacing w:line="256" w:lineRule="auto"/>
              <w:rPr>
                <w:b/>
                <w:snapToGrid w:val="0"/>
                <w:color w:val="000000" w:themeColor="text1"/>
                <w:lang w:eastAsia="en-US"/>
              </w:rPr>
            </w:pPr>
            <w:r w:rsidRPr="003B4C1F">
              <w:rPr>
                <w:b/>
                <w:snapToGrid w:val="0"/>
                <w:color w:val="000000" w:themeColor="text1"/>
                <w:lang w:eastAsia="en-US"/>
              </w:rPr>
              <w:t>-</w:t>
            </w:r>
            <w:r>
              <w:rPr>
                <w:b/>
                <w:snapToGrid w:val="0"/>
                <w:color w:val="000000" w:themeColor="text1"/>
                <w:lang w:eastAsia="en-US"/>
              </w:rPr>
              <w:t xml:space="preserve"> </w:t>
            </w:r>
            <w:r w:rsidRPr="00235321">
              <w:rPr>
                <w:b/>
                <w:lang w:eastAsia="en-US"/>
              </w:rPr>
              <w:t xml:space="preserve">Slutsatser om klimatfinansiering inför FN:s klimatkonferens 2025 (COP30) (Belém den </w:t>
            </w:r>
            <w:proofErr w:type="gramStart"/>
            <w:r w:rsidRPr="00235321">
              <w:rPr>
                <w:b/>
                <w:lang w:eastAsia="en-US"/>
              </w:rPr>
              <w:t>10-21</w:t>
            </w:r>
            <w:proofErr w:type="gramEnd"/>
            <w:r w:rsidRPr="00235321">
              <w:rPr>
                <w:b/>
                <w:lang w:eastAsia="en-US"/>
              </w:rPr>
              <w:t xml:space="preserve"> november 2025)   </w:t>
            </w:r>
          </w:p>
          <w:p w14:paraId="7FE3D44B" w14:textId="36E65003" w:rsidR="00235321" w:rsidRPr="003B4C1F" w:rsidRDefault="00235321" w:rsidP="00235321">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2E9ABBB8" w14:textId="012050E6" w:rsidR="00235321" w:rsidRDefault="00235321" w:rsidP="00235321">
            <w:pPr>
              <w:spacing w:line="256" w:lineRule="auto"/>
              <w:rPr>
                <w:rFonts w:eastAsiaTheme="minorHAnsi"/>
                <w:color w:val="000000" w:themeColor="text1"/>
                <w:lang w:eastAsia="en-US"/>
              </w:rPr>
            </w:pPr>
          </w:p>
          <w:p w14:paraId="21FB344B" w14:textId="6F42D98E" w:rsidR="00235321" w:rsidRPr="00235321" w:rsidRDefault="00235321" w:rsidP="00235321">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235321">
              <w:rPr>
                <w:b/>
                <w:lang w:eastAsia="en-US"/>
              </w:rPr>
              <w:t xml:space="preserve">Förenkling </w:t>
            </w:r>
          </w:p>
          <w:p w14:paraId="1604E8A3" w14:textId="3D11F1A5" w:rsidR="00235321" w:rsidRPr="003B4C1F" w:rsidRDefault="00235321" w:rsidP="00235321">
            <w:pPr>
              <w:spacing w:line="256" w:lineRule="auto"/>
              <w:rPr>
                <w:b/>
                <w:snapToGrid w:val="0"/>
                <w:color w:val="000000" w:themeColor="text1"/>
                <w:lang w:eastAsia="en-US"/>
              </w:rPr>
            </w:pPr>
            <w:r w:rsidRPr="00235321">
              <w:rPr>
                <w:b/>
                <w:lang w:eastAsia="en-US"/>
              </w:rPr>
              <w:t>Bättre lagstiftning: ekonomiska aspekter av konsekvensbedömningar under hela lagstiftningsprocessen</w:t>
            </w:r>
          </w:p>
          <w:p w14:paraId="7D94284D" w14:textId="77777777" w:rsidR="00235321" w:rsidRDefault="00235321" w:rsidP="00235321">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FCC2CDE" w14:textId="77777777" w:rsidR="00235321" w:rsidRPr="003B4C1F" w:rsidRDefault="00235321" w:rsidP="00235321">
            <w:pPr>
              <w:spacing w:line="256" w:lineRule="auto"/>
              <w:rPr>
                <w:rFonts w:eastAsiaTheme="minorHAnsi"/>
                <w:color w:val="000000" w:themeColor="text1"/>
                <w:lang w:eastAsia="en-US"/>
              </w:rPr>
            </w:pPr>
          </w:p>
          <w:p w14:paraId="5F6F38CB" w14:textId="4503A2AD" w:rsidR="00A75E94" w:rsidRPr="003B4C1F" w:rsidRDefault="00A75E94" w:rsidP="00A75E94">
            <w:pPr>
              <w:spacing w:line="256" w:lineRule="auto"/>
              <w:rPr>
                <w:b/>
                <w:snapToGrid w:val="0"/>
                <w:color w:val="000000" w:themeColor="text1"/>
                <w:lang w:eastAsia="en-US"/>
              </w:rPr>
            </w:pPr>
            <w:r w:rsidRPr="003B4C1F">
              <w:rPr>
                <w:b/>
                <w:snapToGrid w:val="0"/>
                <w:color w:val="000000" w:themeColor="text1"/>
                <w:lang w:eastAsia="en-US"/>
              </w:rPr>
              <w:t>-</w:t>
            </w:r>
            <w:r>
              <w:rPr>
                <w:b/>
                <w:snapToGrid w:val="0"/>
                <w:color w:val="000000" w:themeColor="text1"/>
                <w:lang w:eastAsia="en-US"/>
              </w:rPr>
              <w:t xml:space="preserve"> </w:t>
            </w:r>
            <w:r w:rsidRPr="00A75E94">
              <w:rPr>
                <w:b/>
                <w:lang w:eastAsia="en-US"/>
              </w:rPr>
              <w:t>De ekonomiska och finansiella konsekvenserna av Rysslands angrepp mot Ukraina</w:t>
            </w:r>
          </w:p>
          <w:p w14:paraId="3D02E448" w14:textId="77777777" w:rsidR="00A75E94" w:rsidRDefault="00A75E94" w:rsidP="00A75E9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5BBE3F7" w14:textId="77777777" w:rsidR="00235321" w:rsidRPr="003B4C1F" w:rsidRDefault="00235321" w:rsidP="00235321">
            <w:pPr>
              <w:spacing w:line="256" w:lineRule="auto"/>
              <w:rPr>
                <w:rFonts w:eastAsiaTheme="minorHAnsi"/>
                <w:color w:val="000000" w:themeColor="text1"/>
                <w:lang w:eastAsia="en-US"/>
              </w:rPr>
            </w:pPr>
          </w:p>
          <w:p w14:paraId="4D76941A" w14:textId="3A0C3D84" w:rsidR="00A75E94" w:rsidRPr="00A75E94" w:rsidRDefault="00A75E94" w:rsidP="00A75E94">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A75E94">
              <w:rPr>
                <w:b/>
                <w:lang w:eastAsia="en-US"/>
              </w:rPr>
              <w:t xml:space="preserve">Den ekonomiska återhämtningen i Europa </w:t>
            </w:r>
          </w:p>
          <w:p w14:paraId="6AFE76C4" w14:textId="77777777" w:rsidR="003377FB" w:rsidRDefault="00A75E94" w:rsidP="00A75E94">
            <w:pPr>
              <w:spacing w:line="256" w:lineRule="auto"/>
              <w:rPr>
                <w:b/>
                <w:lang w:eastAsia="en-US"/>
              </w:rPr>
            </w:pPr>
            <w:r w:rsidRPr="00A75E94">
              <w:rPr>
                <w:b/>
                <w:lang w:eastAsia="en-US"/>
              </w:rPr>
              <w:t xml:space="preserve">Rådets genomförandebeslut inom ramen för faciliteten för återhämtning och </w:t>
            </w:r>
            <w:proofErr w:type="spellStart"/>
            <w:r w:rsidRPr="00A75E94">
              <w:rPr>
                <w:b/>
                <w:lang w:eastAsia="en-US"/>
              </w:rPr>
              <w:t>resiliens</w:t>
            </w:r>
            <w:proofErr w:type="spellEnd"/>
            <w:r w:rsidRPr="00A75E94">
              <w:rPr>
                <w:b/>
                <w:lang w:eastAsia="en-US"/>
              </w:rPr>
              <w:t xml:space="preserve">, Spanien  </w:t>
            </w:r>
          </w:p>
          <w:p w14:paraId="6E3FDC04" w14:textId="106AC46E" w:rsidR="00A75E94" w:rsidRDefault="00A75E94" w:rsidP="00A75E94">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6332C6FB" w14:textId="17FBC9E8" w:rsidR="00235321" w:rsidRDefault="00235321" w:rsidP="00235321">
            <w:pPr>
              <w:spacing w:line="256" w:lineRule="auto"/>
              <w:rPr>
                <w:rFonts w:eastAsiaTheme="minorHAnsi"/>
                <w:color w:val="000000" w:themeColor="text1"/>
                <w:lang w:eastAsia="en-US"/>
              </w:rPr>
            </w:pPr>
          </w:p>
          <w:p w14:paraId="4284F7A4" w14:textId="330D811A" w:rsidR="00A75E94" w:rsidRPr="003377FB" w:rsidRDefault="00A75E94" w:rsidP="00A75E94">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A75E94">
              <w:rPr>
                <w:b/>
                <w:lang w:eastAsia="en-US"/>
              </w:rPr>
              <w:t xml:space="preserve">Den europeiska planeringsterminen 2025: lärdomar </w:t>
            </w:r>
          </w:p>
          <w:p w14:paraId="348D3812" w14:textId="7AB62637" w:rsidR="00A75E94" w:rsidRPr="003B4C1F" w:rsidRDefault="00A75E94" w:rsidP="00A75E94">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17D8FA4" w14:textId="5F8EE654" w:rsidR="00A75E94" w:rsidRDefault="00A75E94" w:rsidP="00235321">
            <w:pPr>
              <w:spacing w:line="256" w:lineRule="auto"/>
              <w:rPr>
                <w:rFonts w:eastAsiaTheme="minorHAnsi"/>
                <w:color w:val="000000" w:themeColor="text1"/>
                <w:lang w:eastAsia="en-US"/>
              </w:rPr>
            </w:pPr>
          </w:p>
          <w:p w14:paraId="250AF5C7" w14:textId="4E1F4BFF" w:rsidR="00A75E94" w:rsidRPr="00A75E94" w:rsidRDefault="00A75E94" w:rsidP="00A75E94">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A75E94">
              <w:rPr>
                <w:b/>
                <w:lang w:eastAsia="en-US"/>
              </w:rPr>
              <w:t xml:space="preserve">Genomförande av ramverket för ekonomisk styrning </w:t>
            </w:r>
          </w:p>
          <w:p w14:paraId="71447920" w14:textId="6F5AC30F" w:rsidR="00A75E94" w:rsidRPr="003B4C1F" w:rsidRDefault="00A75E94" w:rsidP="00A75E94">
            <w:pPr>
              <w:spacing w:line="256" w:lineRule="auto"/>
              <w:rPr>
                <w:rFonts w:eastAsiaTheme="minorHAnsi"/>
                <w:color w:val="000000" w:themeColor="text1"/>
                <w:lang w:eastAsia="en-US"/>
              </w:rPr>
            </w:pPr>
            <w:r w:rsidRPr="00A75E94">
              <w:rPr>
                <w:b/>
                <w:lang w:eastAsia="en-US"/>
              </w:rPr>
              <w:t xml:space="preserve">Rådets rekommendation om godkännande av Tysklands medelfristiga finans- och strukturpolitiska plan och om tillåtelse för Tyskland att avvika från de maximala ökningstakterna för nettoutgifter </w:t>
            </w:r>
            <w:r w:rsidRPr="003B4C1F">
              <w:rPr>
                <w:rFonts w:eastAsiaTheme="minorHAnsi"/>
                <w:color w:val="000000" w:themeColor="text1"/>
                <w:lang w:eastAsia="en-US"/>
              </w:rPr>
              <w:t>Ordföranden konstaterade att det fanns stöd för regeringens ståndpunkt.</w:t>
            </w:r>
          </w:p>
          <w:p w14:paraId="08271B35" w14:textId="77777777" w:rsidR="00A75E94" w:rsidRPr="00235321" w:rsidRDefault="00A75E94" w:rsidP="00235321">
            <w:pPr>
              <w:spacing w:line="256" w:lineRule="auto"/>
              <w:rPr>
                <w:rFonts w:eastAsiaTheme="minorHAnsi"/>
                <w:color w:val="000000" w:themeColor="text1"/>
                <w:lang w:eastAsia="en-US"/>
              </w:rPr>
            </w:pPr>
          </w:p>
          <w:p w14:paraId="5AABD36C" w14:textId="65459F43" w:rsidR="00A75E94" w:rsidRPr="00A75E94" w:rsidRDefault="00A75E94" w:rsidP="00A75E94">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sidRPr="00A75E94">
              <w:rPr>
                <w:b/>
                <w:lang w:eastAsia="en-US"/>
              </w:rPr>
              <w:t xml:space="preserve">Internationella möten </w:t>
            </w:r>
          </w:p>
          <w:p w14:paraId="50B95D2B" w14:textId="07FA124F" w:rsidR="00A75E94" w:rsidRPr="00706A1F" w:rsidRDefault="00A75E94" w:rsidP="00A75E94">
            <w:pPr>
              <w:spacing w:line="256" w:lineRule="auto"/>
              <w:rPr>
                <w:b/>
                <w:snapToGrid w:val="0"/>
                <w:color w:val="000000" w:themeColor="text1"/>
                <w:lang w:eastAsia="en-US"/>
              </w:rPr>
            </w:pPr>
            <w:r w:rsidRPr="00A75E94">
              <w:rPr>
                <w:b/>
                <w:lang w:eastAsia="en-US"/>
              </w:rPr>
              <w:t>a)</w:t>
            </w:r>
            <w:r>
              <w:rPr>
                <w:b/>
                <w:lang w:eastAsia="en-US"/>
              </w:rPr>
              <w:t xml:space="preserve"> </w:t>
            </w:r>
            <w:r w:rsidRPr="00A75E94">
              <w:rPr>
                <w:b/>
                <w:lang w:eastAsia="en-US"/>
              </w:rPr>
              <w:t>Uppföljning av G20-mötet med finansministrar och</w:t>
            </w:r>
            <w:r>
              <w:rPr>
                <w:b/>
                <w:lang w:eastAsia="en-US"/>
              </w:rPr>
              <w:t xml:space="preserve"> </w:t>
            </w:r>
            <w:r w:rsidRPr="00A75E94">
              <w:rPr>
                <w:b/>
                <w:lang w:eastAsia="en-US"/>
              </w:rPr>
              <w:t>centralbankschefer den 17–18 juli 2025</w:t>
            </w:r>
          </w:p>
          <w:p w14:paraId="0369DC99" w14:textId="58A382BA" w:rsidR="00A75E94" w:rsidRPr="00A75E94" w:rsidRDefault="00A75E94" w:rsidP="00A75E94">
            <w:pPr>
              <w:spacing w:line="256" w:lineRule="auto"/>
              <w:rPr>
                <w:b/>
                <w:lang w:eastAsia="en-US"/>
              </w:rPr>
            </w:pPr>
            <w:r w:rsidRPr="00A75E94">
              <w:rPr>
                <w:b/>
                <w:lang w:eastAsia="en-US"/>
              </w:rPr>
              <w:t>b)</w:t>
            </w:r>
            <w:r>
              <w:rPr>
                <w:b/>
                <w:lang w:eastAsia="en-US"/>
              </w:rPr>
              <w:t xml:space="preserve"> </w:t>
            </w:r>
            <w:r w:rsidRPr="00A75E94">
              <w:rPr>
                <w:b/>
                <w:lang w:eastAsia="en-US"/>
              </w:rPr>
              <w:t xml:space="preserve">Förberedelser inför G20-mötet med finansministrar och centralbankschefer och IMF:s årsmöten </w:t>
            </w:r>
          </w:p>
          <w:p w14:paraId="0F408F02" w14:textId="77777777" w:rsidR="00A75E94" w:rsidRPr="00A75E94" w:rsidRDefault="00A75E94" w:rsidP="00A75E94">
            <w:pPr>
              <w:spacing w:line="256" w:lineRule="auto"/>
              <w:rPr>
                <w:b/>
                <w:lang w:eastAsia="en-US"/>
              </w:rPr>
            </w:pPr>
            <w:r w:rsidRPr="00A75E94">
              <w:rPr>
                <w:b/>
                <w:lang w:eastAsia="en-US"/>
              </w:rPr>
              <w:t xml:space="preserve">i) EU:s mandat vid G20 </w:t>
            </w:r>
          </w:p>
          <w:p w14:paraId="27827FA7" w14:textId="3ABB06C2" w:rsidR="00A75E94" w:rsidRPr="003B4C1F" w:rsidRDefault="00A75E94" w:rsidP="00A75E94">
            <w:pPr>
              <w:spacing w:line="256" w:lineRule="auto"/>
              <w:rPr>
                <w:b/>
                <w:snapToGrid w:val="0"/>
                <w:color w:val="000000" w:themeColor="text1"/>
                <w:lang w:eastAsia="en-US"/>
              </w:rPr>
            </w:pPr>
            <w:r w:rsidRPr="00A75E94">
              <w:rPr>
                <w:b/>
                <w:lang w:eastAsia="en-US"/>
              </w:rPr>
              <w:t>ii) Uttalande till Internationella monetära och finansiella kommittén</w:t>
            </w:r>
          </w:p>
          <w:p w14:paraId="5467FF4F" w14:textId="77777777" w:rsidR="00A75E94" w:rsidRDefault="00A75E94" w:rsidP="00A75E94">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p>
          <w:p w14:paraId="63CD9336" w14:textId="77777777" w:rsidR="00A75E94" w:rsidRPr="003B4C1F" w:rsidRDefault="00A75E94" w:rsidP="00A75E94">
            <w:pPr>
              <w:spacing w:line="256" w:lineRule="auto"/>
              <w:rPr>
                <w:rFonts w:eastAsiaTheme="minorHAnsi"/>
                <w:color w:val="000000" w:themeColor="text1"/>
                <w:lang w:eastAsia="en-US"/>
              </w:rPr>
            </w:pPr>
          </w:p>
          <w:p w14:paraId="13F74483" w14:textId="11D84C82" w:rsidR="00A75E94" w:rsidRDefault="00A75E94" w:rsidP="00A75E94">
            <w:pPr>
              <w:spacing w:line="256" w:lineRule="auto"/>
              <w:rPr>
                <w:b/>
                <w:lang w:eastAsia="en-US"/>
              </w:rPr>
            </w:pPr>
            <w:r w:rsidRPr="003B4C1F">
              <w:rPr>
                <w:b/>
                <w:snapToGrid w:val="0"/>
                <w:color w:val="000000" w:themeColor="text1"/>
                <w:lang w:eastAsia="en-US"/>
              </w:rPr>
              <w:t>-</w:t>
            </w:r>
            <w:r>
              <w:rPr>
                <w:b/>
                <w:snapToGrid w:val="0"/>
                <w:color w:val="000000" w:themeColor="text1"/>
                <w:lang w:eastAsia="en-US"/>
              </w:rPr>
              <w:t xml:space="preserve"> </w:t>
            </w:r>
            <w:r>
              <w:rPr>
                <w:b/>
                <w:lang w:eastAsia="en-US"/>
              </w:rPr>
              <w:t xml:space="preserve">Övriga frågor </w:t>
            </w:r>
          </w:p>
          <w:p w14:paraId="31FBD232" w14:textId="0AA58F1B" w:rsidR="00A75E94" w:rsidRPr="00F231A4" w:rsidRDefault="00A75E94" w:rsidP="00A75E94">
            <w:pPr>
              <w:spacing w:line="256" w:lineRule="auto"/>
              <w:rPr>
                <w:b/>
                <w:lang w:eastAsia="en-US"/>
              </w:rPr>
            </w:pPr>
            <w:r w:rsidRPr="00F231A4">
              <w:rPr>
                <w:b/>
                <w:lang w:eastAsia="en-US"/>
              </w:rPr>
              <w:t>Lägesrapport om genomförandet av lagstiftningen om finansiella tjänster</w:t>
            </w:r>
          </w:p>
          <w:p w14:paraId="3E8B5D3E" w14:textId="77777777" w:rsidR="003B4C1F" w:rsidRPr="003B4C1F" w:rsidRDefault="003B4C1F">
            <w:pPr>
              <w:spacing w:line="256" w:lineRule="auto"/>
              <w:rPr>
                <w:rFonts w:eastAsiaTheme="minorHAnsi"/>
                <w:color w:val="000000" w:themeColor="text1"/>
                <w:lang w:eastAsia="en-US"/>
              </w:rPr>
            </w:pPr>
          </w:p>
        </w:tc>
      </w:tr>
      <w:tr w:rsidR="00221CE3" w14:paraId="7F208403" w14:textId="77777777" w:rsidTr="003B4C1F">
        <w:trPr>
          <w:trHeight w:val="568"/>
        </w:trPr>
        <w:tc>
          <w:tcPr>
            <w:tcW w:w="567" w:type="dxa"/>
          </w:tcPr>
          <w:p w14:paraId="30561F16" w14:textId="2771C6FE"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xml:space="preserve">§ </w:t>
            </w:r>
            <w:r w:rsidR="00A75E94">
              <w:rPr>
                <w:b/>
                <w:snapToGrid w:val="0"/>
                <w:color w:val="000000" w:themeColor="text1"/>
                <w:lang w:val="en-GB" w:eastAsia="en-US"/>
              </w:rPr>
              <w:t>2</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AF3F974" w:rsidR="00856018" w:rsidRDefault="00856018" w:rsidP="00856018">
            <w:pPr>
              <w:rPr>
                <w:rFonts w:eastAsiaTheme="minorHAnsi"/>
                <w:color w:val="000000"/>
                <w:lang w:eastAsia="en-US"/>
              </w:rPr>
            </w:pPr>
            <w:r>
              <w:rPr>
                <w:rFonts w:eastAsiaTheme="minorHAnsi"/>
                <w:color w:val="000000"/>
                <w:lang w:eastAsia="en-US"/>
              </w:rPr>
              <w:t>Protokoll från de</w:t>
            </w:r>
            <w:r w:rsidR="005448C2">
              <w:rPr>
                <w:rFonts w:eastAsiaTheme="minorHAnsi"/>
                <w:color w:val="000000"/>
                <w:lang w:eastAsia="en-US"/>
              </w:rPr>
              <w:t xml:space="preserve">n </w:t>
            </w:r>
            <w:r w:rsidR="003377FB">
              <w:rPr>
                <w:rFonts w:eastAsiaTheme="minorHAnsi"/>
                <w:color w:val="000000"/>
                <w:lang w:eastAsia="en-US"/>
              </w:rPr>
              <w:t xml:space="preserve">26 och den 30 september </w:t>
            </w:r>
            <w:r>
              <w:rPr>
                <w:rFonts w:eastAsiaTheme="minorHAnsi"/>
                <w:color w:val="000000"/>
                <w:lang w:eastAsia="en-US"/>
              </w:rPr>
              <w:t xml:space="preserve">samt uppteckningar från den </w:t>
            </w:r>
            <w:r w:rsidR="003377FB">
              <w:rPr>
                <w:rFonts w:eastAsiaTheme="minorHAnsi"/>
                <w:color w:val="000000"/>
                <w:lang w:eastAsia="en-US"/>
              </w:rPr>
              <w:t>19 september</w:t>
            </w:r>
            <w:r w:rsidR="005448C2">
              <w:rPr>
                <w:rFonts w:eastAsiaTheme="minorHAnsi"/>
                <w:color w:val="000000"/>
                <w:lang w:eastAsia="en-US"/>
              </w:rPr>
              <w:t xml:space="preserve"> 2025</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5E143A6C"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3377FB">
              <w:rPr>
                <w:rFonts w:eastAsiaTheme="minorHAnsi"/>
                <w:color w:val="000000"/>
                <w:lang w:eastAsia="en-US"/>
              </w:rPr>
              <w:t>26 september 2025</w:t>
            </w:r>
          </w:p>
          <w:p w14:paraId="0E589735" w14:textId="49121BE6"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3377FB">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57F1C15A"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4788AD20" w:rsidR="003B4C1F" w:rsidRDefault="003B4C1F" w:rsidP="003B4C1F">
      <w:pPr>
        <w:tabs>
          <w:tab w:val="left" w:pos="1701"/>
        </w:tabs>
        <w:spacing w:line="252" w:lineRule="auto"/>
        <w:rPr>
          <w:b/>
          <w:snapToGrid w:val="0"/>
          <w:lang w:eastAsia="en-US"/>
        </w:rPr>
      </w:pPr>
      <w:r>
        <w:rPr>
          <w:b/>
          <w:snapToGrid w:val="0"/>
          <w:lang w:eastAsia="en-US"/>
        </w:rPr>
        <w:tab/>
      </w:r>
      <w:r w:rsidR="00A75E9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7AF0233D"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A75E94">
        <w:rPr>
          <w:b/>
          <w:snapToGrid w:val="0"/>
          <w:lang w:eastAsia="en-US"/>
        </w:rPr>
        <w:t>10 oktober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6984CD6C"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A75E94">
              <w:rPr>
                <w:b/>
                <w:color w:val="000000"/>
                <w:lang w:val="en-GB" w:eastAsia="en-US"/>
              </w:rPr>
              <w:t>5</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1D56B9F9"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23294AFE" w:rsidR="00351D87" w:rsidRPr="00DE5153" w:rsidRDefault="005F7191"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022EBB55" w:rsidR="00351D87" w:rsidRPr="00DE5153" w:rsidRDefault="005F7191"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77777777" w:rsidR="00351D87" w:rsidRPr="0053205B"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55D5632D"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3D7EA31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1C7301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16418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3E43891D"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3FEFFC9F"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4BB267E"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9521F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4AC09B98" w:rsidR="00351D87" w:rsidRPr="00DE5153" w:rsidRDefault="005F7191" w:rsidP="00FE5DE2">
            <w:pPr>
              <w:spacing w:line="256" w:lineRule="auto"/>
              <w:rPr>
                <w:color w:val="000000"/>
                <w:szCs w:val="22"/>
                <w:highlight w:val="yellow"/>
                <w:lang w:val="en-GB" w:eastAsia="en-US"/>
              </w:rPr>
            </w:pPr>
            <w:r w:rsidRPr="005F7191">
              <w:rPr>
                <w:color w:val="000000"/>
                <w:szCs w:val="22"/>
                <w:lang w:val="en-GB" w:eastAsia="en-US"/>
              </w:rPr>
              <w:t>X</w:t>
            </w: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5A1DFEBE"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A4281D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4BC2A7C6"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05AB2E3A"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13190BA3"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42E03844"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4141E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5E888ACF" w:rsidR="00351D87" w:rsidRPr="00DE5153" w:rsidRDefault="00585559"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Joar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2EDB708E"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3379C7FC"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98901DE" w:rsidR="00351D87" w:rsidRPr="00DE5153" w:rsidRDefault="00B80952" w:rsidP="00FE5DE2">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00351D87"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gramStart"/>
            <w:r>
              <w:rPr>
                <w:color w:val="000000"/>
                <w:sz w:val="18"/>
                <w:szCs w:val="18"/>
                <w:lang w:val="en-GB" w:eastAsia="en-US"/>
              </w:rPr>
              <w:t>Ekegren</w:t>
            </w:r>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Håkansson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61F9E490"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4AC2563B" w:rsidR="00351D87" w:rsidRPr="00DE5153" w:rsidRDefault="005F7191"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5B30CDFF" w:rsidR="00351D87" w:rsidRPr="00C1609B" w:rsidRDefault="002344C1" w:rsidP="00FE5DE2">
            <w:pPr>
              <w:spacing w:line="256" w:lineRule="auto"/>
              <w:rPr>
                <w:color w:val="000000"/>
                <w:sz w:val="18"/>
                <w:szCs w:val="18"/>
                <w:lang w:val="en-GB" w:eastAsia="en-US"/>
              </w:rPr>
            </w:pPr>
            <w:r w:rsidRPr="002344C1">
              <w:rPr>
                <w:color w:val="000000"/>
                <w:sz w:val="18"/>
                <w:szCs w:val="18"/>
                <w:lang w:val="en-GB" w:eastAsia="en-US"/>
              </w:rPr>
              <w:t>Samuel Gonzalez Westling</w:t>
            </w:r>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F35A3B"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F35A3B"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F35A3B" w:rsidRDefault="00351D87" w:rsidP="00FE5DE2">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F35A3B" w:rsidRDefault="00351D87" w:rsidP="00FE5DE2">
            <w:pPr>
              <w:spacing w:line="256" w:lineRule="auto"/>
              <w:rPr>
                <w:i/>
                <w:iCs/>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F35A3B" w:rsidRDefault="00351D87" w:rsidP="00FE5DE2">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F35A3B" w:rsidRDefault="00351D87" w:rsidP="00FE5DE2">
            <w:pPr>
              <w:spacing w:line="256" w:lineRule="auto"/>
              <w:rPr>
                <w:color w:val="000000"/>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F35A3B" w:rsidRDefault="00351D87" w:rsidP="00FE5DE2">
            <w:pPr>
              <w:spacing w:line="256" w:lineRule="auto"/>
              <w:rPr>
                <w:color w:val="000000"/>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F35A3B" w:rsidRDefault="00351D87" w:rsidP="00FE5DE2">
            <w:pPr>
              <w:spacing w:line="256" w:lineRule="auto"/>
              <w:rPr>
                <w:color w:val="000000"/>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F35A3B" w:rsidRDefault="00351D87" w:rsidP="00FE5DE2">
            <w:pPr>
              <w:spacing w:line="256" w:lineRule="auto"/>
              <w:rPr>
                <w:color w:val="000000"/>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F35A3B" w:rsidRDefault="00351D87" w:rsidP="00FE5DE2">
            <w:pPr>
              <w:spacing w:line="256" w:lineRule="auto"/>
              <w:rPr>
                <w:color w:val="000000"/>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F35A3B" w:rsidRDefault="00351D87" w:rsidP="00FE5DE2">
            <w:pPr>
              <w:spacing w:line="256" w:lineRule="auto"/>
              <w:rPr>
                <w:color w:val="000000"/>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F35A3B" w:rsidRDefault="00351D87" w:rsidP="00FE5DE2">
            <w:pPr>
              <w:spacing w:line="256" w:lineRule="auto"/>
              <w:rPr>
                <w:color w:val="000000"/>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F35A3B" w:rsidRDefault="00351D87" w:rsidP="00FE5DE2">
            <w:pPr>
              <w:spacing w:line="256" w:lineRule="auto"/>
              <w:rPr>
                <w:color w:val="000000"/>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F35A3B" w:rsidRDefault="00351D87" w:rsidP="00FE5DE2">
            <w:pPr>
              <w:spacing w:line="256" w:lineRule="auto"/>
              <w:rPr>
                <w:color w:val="000000"/>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F35A3B" w:rsidRDefault="00351D87" w:rsidP="00FE5DE2">
            <w:pPr>
              <w:spacing w:line="256" w:lineRule="auto"/>
              <w:rPr>
                <w:color w:val="000000"/>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F35A3B" w:rsidRDefault="00351D87" w:rsidP="00FE5DE2">
            <w:pPr>
              <w:spacing w:line="256" w:lineRule="auto"/>
              <w:rPr>
                <w:color w:val="000000"/>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F35A3B" w:rsidRDefault="00351D87" w:rsidP="00FE5DE2">
            <w:pPr>
              <w:spacing w:line="256" w:lineRule="auto"/>
              <w:rPr>
                <w:color w:val="000000"/>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F35A3B" w:rsidRDefault="00351D87" w:rsidP="00FE5DE2">
            <w:pPr>
              <w:spacing w:line="256" w:lineRule="auto"/>
              <w:rPr>
                <w:color w:val="000000"/>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F35A3B" w:rsidRDefault="00351D87" w:rsidP="00FE5DE2">
            <w:pPr>
              <w:spacing w:line="256" w:lineRule="auto"/>
              <w:rPr>
                <w:color w:val="000000"/>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F35A3B" w:rsidRDefault="00351D87" w:rsidP="00FE5DE2">
            <w:pPr>
              <w:spacing w:line="256" w:lineRule="auto"/>
              <w:rPr>
                <w:color w:val="000000"/>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F35A3B" w:rsidRDefault="00351D87" w:rsidP="00FE5DE2">
            <w:pPr>
              <w:spacing w:line="256" w:lineRule="auto"/>
              <w:rPr>
                <w:color w:val="000000"/>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F35A3B" w:rsidRDefault="00351D87" w:rsidP="00FE5DE2">
            <w:pPr>
              <w:spacing w:line="256" w:lineRule="auto"/>
              <w:rPr>
                <w:color w:val="000000"/>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F35A3B" w:rsidRDefault="00351D87" w:rsidP="00FE5DE2">
            <w:pPr>
              <w:spacing w:line="256" w:lineRule="auto"/>
              <w:rPr>
                <w:color w:val="000000"/>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F35A3B" w:rsidRDefault="00351D87" w:rsidP="00FE5DE2">
            <w:pPr>
              <w:spacing w:line="256" w:lineRule="auto"/>
              <w:rPr>
                <w:color w:val="000000"/>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F35A3B" w:rsidRDefault="00351D87" w:rsidP="00FE5DE2">
            <w:pPr>
              <w:spacing w:line="256" w:lineRule="auto"/>
              <w:rPr>
                <w:color w:val="000000"/>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F35A3B" w:rsidRDefault="00351D87" w:rsidP="00FE5DE2">
            <w:pPr>
              <w:spacing w:line="256" w:lineRule="auto"/>
              <w:rPr>
                <w:color w:val="000000"/>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F35A3B"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F35A3B"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F35A3B"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F35A3B" w:rsidRDefault="00351D87" w:rsidP="00FE5DE2">
            <w:pPr>
              <w:spacing w:line="256" w:lineRule="auto"/>
              <w:rPr>
                <w:i/>
                <w:iCs/>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F35A3B"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F35A3B" w:rsidRDefault="00351D87" w:rsidP="00FE5DE2">
            <w:pPr>
              <w:spacing w:line="256" w:lineRule="auto"/>
              <w:rPr>
                <w:color w:val="000000"/>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F35A3B" w:rsidRDefault="00351D87" w:rsidP="00FE5DE2">
            <w:pPr>
              <w:spacing w:line="256" w:lineRule="auto"/>
              <w:rPr>
                <w:color w:val="000000"/>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26C9A897"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A75E94">
        <w:rPr>
          <w:b/>
          <w:color w:val="000000"/>
          <w:lang w:eastAsia="en-US"/>
        </w:rPr>
        <w:t>5</w:t>
      </w:r>
    </w:p>
    <w:p w14:paraId="71101C7B" w14:textId="77777777" w:rsidR="004A4C77" w:rsidRDefault="004A4C77" w:rsidP="008830A7">
      <w:pPr>
        <w:tabs>
          <w:tab w:val="left" w:pos="2097"/>
        </w:tabs>
        <w:rPr>
          <w:b/>
          <w:bCs/>
        </w:rPr>
      </w:pPr>
    </w:p>
    <w:p w14:paraId="4BDE0E64" w14:textId="0A2C57A1" w:rsidR="00E87D68" w:rsidRDefault="00E87D68" w:rsidP="00E87D68">
      <w:pPr>
        <w:rPr>
          <w:b/>
          <w:bCs/>
        </w:rPr>
      </w:pPr>
      <w:r w:rsidRPr="00906289">
        <w:rPr>
          <w:b/>
          <w:bCs/>
        </w:rPr>
        <w:t>Skriftligt samråd med EU-nämnden av</w:t>
      </w:r>
      <w:r>
        <w:rPr>
          <w:b/>
          <w:bCs/>
        </w:rPr>
        <w:t>s</w:t>
      </w:r>
      <w:r w:rsidRPr="00906289">
        <w:rPr>
          <w:b/>
          <w:bCs/>
        </w:rPr>
        <w:t>een</w:t>
      </w:r>
      <w:r>
        <w:rPr>
          <w:b/>
          <w:bCs/>
        </w:rPr>
        <w:t xml:space="preserve">de en </w:t>
      </w:r>
      <w:r w:rsidRPr="00906289">
        <w:rPr>
          <w:b/>
          <w:bCs/>
        </w:rPr>
        <w:t>annotering</w:t>
      </w:r>
      <w:r>
        <w:rPr>
          <w:b/>
          <w:bCs/>
        </w:rPr>
        <w:t xml:space="preserve"> </w:t>
      </w:r>
      <w:r w:rsidRPr="00906289">
        <w:rPr>
          <w:b/>
          <w:bCs/>
        </w:rPr>
        <w:t xml:space="preserve">på </w:t>
      </w:r>
      <w:r>
        <w:rPr>
          <w:b/>
          <w:bCs/>
        </w:rPr>
        <w:t>utrikesområdet</w:t>
      </w:r>
    </w:p>
    <w:p w14:paraId="20DAF9E2" w14:textId="1C014040" w:rsidR="00E87D68" w:rsidRDefault="00E87D68" w:rsidP="00E87D68">
      <w:pPr>
        <w:widowControl/>
      </w:pPr>
      <w:r w:rsidRPr="00906289">
        <w:t>Samrådet avslutades den</w:t>
      </w:r>
      <w:r>
        <w:t xml:space="preserve"> 1 oktober 2025. </w:t>
      </w:r>
      <w:r w:rsidRPr="00906289">
        <w:t>Det fanns stöd för regeringens ståndpunkt</w:t>
      </w:r>
      <w:r>
        <w:t>er</w:t>
      </w:r>
      <w:r w:rsidRPr="00906289">
        <w:t>.</w:t>
      </w:r>
      <w:r>
        <w:t xml:space="preserve"> Inga avvikande ståndpunkter har anmälts.</w:t>
      </w:r>
    </w:p>
    <w:p w14:paraId="0BB107A1" w14:textId="77777777" w:rsidR="00E87D68" w:rsidRPr="008E5034" w:rsidRDefault="00E87D68" w:rsidP="00E87D68">
      <w:pPr>
        <w:widowControl/>
        <w:rPr>
          <w:sz w:val="22"/>
          <w:szCs w:val="22"/>
        </w:rPr>
      </w:pPr>
    </w:p>
    <w:p w14:paraId="309CE28A" w14:textId="11FB15B6" w:rsidR="00992491" w:rsidRDefault="00E87D68" w:rsidP="00E87D68">
      <w:pPr>
        <w:pStyle w:val="Liststycke"/>
        <w:numPr>
          <w:ilvl w:val="0"/>
          <w:numId w:val="38"/>
        </w:numPr>
        <w:tabs>
          <w:tab w:val="left" w:pos="2097"/>
        </w:tabs>
        <w:rPr>
          <w:lang w:eastAsia="en-US"/>
        </w:rPr>
      </w:pPr>
      <w:r w:rsidRPr="00E87D68">
        <w:t>Antagande av rådsbeslut om ändring av rådets beslut om restriktiva åtgärder med anledning av Rysslands destabiliserande aktiviteter</w:t>
      </w:r>
    </w:p>
    <w:p w14:paraId="6BE6B618" w14:textId="0CE4A95D" w:rsidR="00221CE3" w:rsidRDefault="00221CE3" w:rsidP="008830A7">
      <w:pPr>
        <w:tabs>
          <w:tab w:val="left" w:pos="2097"/>
        </w:tabs>
        <w:rPr>
          <w:lang w:eastAsia="en-US"/>
        </w:rPr>
      </w:pPr>
    </w:p>
    <w:p w14:paraId="6EC549B3" w14:textId="0133037C" w:rsidR="00221CE3" w:rsidRDefault="00221CE3" w:rsidP="00221CE3">
      <w:pPr>
        <w:rPr>
          <w:b/>
          <w:bCs/>
        </w:rPr>
      </w:pPr>
      <w:r w:rsidRPr="00906289">
        <w:rPr>
          <w:b/>
          <w:bCs/>
        </w:rPr>
        <w:t>Skriftligt samråd med EU-nämnden av</w:t>
      </w:r>
      <w:r>
        <w:rPr>
          <w:b/>
          <w:bCs/>
        </w:rPr>
        <w:t>s</w:t>
      </w:r>
      <w:r w:rsidRPr="00906289">
        <w:rPr>
          <w:b/>
          <w:bCs/>
        </w:rPr>
        <w:t>een</w:t>
      </w:r>
      <w:r>
        <w:rPr>
          <w:b/>
          <w:bCs/>
        </w:rPr>
        <w:t xml:space="preserve">de </w:t>
      </w:r>
      <w:r w:rsidR="008E5034">
        <w:rPr>
          <w:b/>
          <w:bCs/>
        </w:rPr>
        <w:t>två</w:t>
      </w:r>
      <w:r>
        <w:rPr>
          <w:b/>
          <w:bCs/>
        </w:rPr>
        <w:t xml:space="preserve"> </w:t>
      </w:r>
      <w:r w:rsidRPr="00906289">
        <w:rPr>
          <w:b/>
          <w:bCs/>
        </w:rPr>
        <w:t>annotering</w:t>
      </w:r>
      <w:r>
        <w:rPr>
          <w:b/>
          <w:bCs/>
        </w:rPr>
        <w:t xml:space="preserve">ar </w:t>
      </w:r>
      <w:r w:rsidRPr="00906289">
        <w:rPr>
          <w:b/>
          <w:bCs/>
        </w:rPr>
        <w:t xml:space="preserve">på </w:t>
      </w:r>
      <w:r>
        <w:rPr>
          <w:b/>
          <w:bCs/>
        </w:rPr>
        <w:t>utrikesområdet</w:t>
      </w:r>
    </w:p>
    <w:p w14:paraId="21A94D4B" w14:textId="61A8322A" w:rsidR="00221CE3" w:rsidRDefault="00221CE3" w:rsidP="00221CE3">
      <w:pPr>
        <w:widowControl/>
      </w:pPr>
      <w:r w:rsidRPr="00906289">
        <w:t>Samrådet avslutades den</w:t>
      </w:r>
      <w:r w:rsidR="008E5034">
        <w:t xml:space="preserve"> 1 oktober 2025</w:t>
      </w:r>
      <w:r>
        <w:t xml:space="preserve">. </w:t>
      </w:r>
      <w:r w:rsidRPr="00906289">
        <w:t>Det fanns stöd för regeringens ståndpunkt</w:t>
      </w:r>
      <w:r>
        <w:t>er</w:t>
      </w:r>
      <w:r w:rsidRPr="00906289">
        <w:t>.</w:t>
      </w:r>
      <w:r>
        <w:t xml:space="preserve">  </w:t>
      </w:r>
    </w:p>
    <w:p w14:paraId="26869032" w14:textId="0F5BF293" w:rsidR="00221CE3" w:rsidRPr="008E5034" w:rsidRDefault="00221CE3" w:rsidP="008E5034">
      <w:pPr>
        <w:widowControl/>
        <w:rPr>
          <w:sz w:val="22"/>
          <w:szCs w:val="22"/>
        </w:rPr>
      </w:pPr>
    </w:p>
    <w:p w14:paraId="6E5E4B02" w14:textId="7315DD4B" w:rsidR="00221CE3" w:rsidRPr="008E5034" w:rsidRDefault="008E5034" w:rsidP="00221CE3">
      <w:pPr>
        <w:pStyle w:val="Liststycke"/>
        <w:widowControl/>
        <w:numPr>
          <w:ilvl w:val="0"/>
          <w:numId w:val="35"/>
        </w:numPr>
        <w:contextualSpacing w:val="0"/>
      </w:pPr>
      <w:r w:rsidRPr="008E5034">
        <w:t>Rådets beslut om EU:s ståndpunkt i det associeringsråd som inrättades genom avtalet EU-Marocko vad gäller ändring av protokoll 4 till det avtalet</w:t>
      </w:r>
      <w:r w:rsidR="00221CE3" w:rsidRPr="008E5034">
        <w:t xml:space="preserve">  </w:t>
      </w:r>
    </w:p>
    <w:p w14:paraId="4EE1479D" w14:textId="4C8ED0DA" w:rsidR="00221CE3" w:rsidRPr="008E5034" w:rsidRDefault="008E5034" w:rsidP="008E5034">
      <w:pPr>
        <w:pStyle w:val="Liststycke"/>
        <w:widowControl/>
        <w:numPr>
          <w:ilvl w:val="0"/>
          <w:numId w:val="35"/>
        </w:numPr>
        <w:contextualSpacing w:val="0"/>
      </w:pPr>
      <w:r w:rsidRPr="008E5034">
        <w:t>Rådets beslut om undertecknande och provisorisk tillämpning av avtalet EU–Marocko genom skriftväxling om ändring av protokoll nr 1 och nr 4</w:t>
      </w:r>
    </w:p>
    <w:p w14:paraId="1356A6A8" w14:textId="77777777" w:rsidR="00221CE3" w:rsidRDefault="00221CE3" w:rsidP="00221CE3">
      <w:pPr>
        <w:widowControl/>
      </w:pPr>
    </w:p>
    <w:p w14:paraId="3B4204F7" w14:textId="1AEF5033" w:rsidR="00221CE3" w:rsidRDefault="00221CE3" w:rsidP="00221CE3">
      <w:pPr>
        <w:tabs>
          <w:tab w:val="left" w:pos="2097"/>
        </w:tabs>
        <w:rPr>
          <w:sz w:val="22"/>
          <w:szCs w:val="22"/>
          <w:u w:val="single"/>
        </w:rPr>
      </w:pPr>
      <w:r w:rsidRPr="00221CE3">
        <w:rPr>
          <w:sz w:val="22"/>
          <w:szCs w:val="22"/>
          <w:u w:val="single"/>
        </w:rPr>
        <w:t>Följande avvikande ståndpunkt har anmälts</w:t>
      </w:r>
      <w:r w:rsidR="00E87D68">
        <w:rPr>
          <w:sz w:val="22"/>
          <w:szCs w:val="22"/>
          <w:u w:val="single"/>
        </w:rPr>
        <w:t xml:space="preserve"> från Socialdemokraterna</w:t>
      </w:r>
      <w:r>
        <w:rPr>
          <w:sz w:val="22"/>
          <w:szCs w:val="22"/>
          <w:u w:val="single"/>
        </w:rPr>
        <w:t>:</w:t>
      </w:r>
    </w:p>
    <w:p w14:paraId="63E145DF" w14:textId="544264E9" w:rsidR="00221CE3" w:rsidRDefault="00221CE3" w:rsidP="00221CE3">
      <w:pPr>
        <w:tabs>
          <w:tab w:val="left" w:pos="2097"/>
        </w:tabs>
        <w:rPr>
          <w:sz w:val="22"/>
          <w:szCs w:val="22"/>
          <w:u w:val="single"/>
        </w:rPr>
      </w:pPr>
    </w:p>
    <w:p w14:paraId="122623E0" w14:textId="31DAB195" w:rsidR="00221CE3" w:rsidRDefault="00E87D68" w:rsidP="00221CE3">
      <w:pPr>
        <w:tabs>
          <w:tab w:val="left" w:pos="2097"/>
        </w:tabs>
        <w:rPr>
          <w:sz w:val="22"/>
          <w:szCs w:val="22"/>
        </w:rPr>
      </w:pPr>
      <w:r w:rsidRPr="00E87D68">
        <w:rPr>
          <w:sz w:val="22"/>
          <w:szCs w:val="22"/>
        </w:rPr>
        <w:t>”Vi anser att ett avtal ska vara i linje med folkrätten och EU-domstolens dom rörande det västsahariska folkets samtycke, vilket är en förutsättning för att vi ska stå bakom beslutet. Detta måste EU:s kontrollmekanism säkerställa. I nuläget är det dock inte fastställt att så sker och regeringen har inte kunnat redovisa hur detta säkerställs. Detta måste säkerställas innan vi kan ta ställning till förslaget.”</w:t>
      </w:r>
    </w:p>
    <w:p w14:paraId="2B6B68CE" w14:textId="5751560B" w:rsidR="004A4C77" w:rsidRDefault="004A4C77" w:rsidP="00221CE3">
      <w:pPr>
        <w:tabs>
          <w:tab w:val="left" w:pos="2097"/>
        </w:tabs>
        <w:rPr>
          <w:sz w:val="22"/>
          <w:szCs w:val="22"/>
          <w:lang w:eastAsia="en-US"/>
        </w:rPr>
      </w:pPr>
    </w:p>
    <w:p w14:paraId="5ADC5577" w14:textId="58E8B7BF" w:rsidR="00E87D68" w:rsidRDefault="00E87D68" w:rsidP="00E87D68">
      <w:pPr>
        <w:tabs>
          <w:tab w:val="left" w:pos="2097"/>
        </w:tabs>
        <w:rPr>
          <w:sz w:val="22"/>
          <w:szCs w:val="22"/>
          <w:u w:val="single"/>
        </w:rPr>
      </w:pPr>
      <w:r w:rsidRPr="00221CE3">
        <w:rPr>
          <w:sz w:val="22"/>
          <w:szCs w:val="22"/>
          <w:u w:val="single"/>
        </w:rPr>
        <w:t>Följande avvikande ståndpunkt har anmälts</w:t>
      </w:r>
      <w:r>
        <w:rPr>
          <w:sz w:val="22"/>
          <w:szCs w:val="22"/>
          <w:u w:val="single"/>
        </w:rPr>
        <w:t xml:space="preserve"> från Vänsterpartiet:</w:t>
      </w:r>
    </w:p>
    <w:p w14:paraId="665EB897" w14:textId="72DDF26D" w:rsidR="00E87D68" w:rsidRDefault="00E87D68" w:rsidP="00221CE3">
      <w:pPr>
        <w:tabs>
          <w:tab w:val="left" w:pos="2097"/>
        </w:tabs>
        <w:rPr>
          <w:sz w:val="22"/>
          <w:szCs w:val="22"/>
          <w:lang w:eastAsia="en-US"/>
        </w:rPr>
      </w:pPr>
    </w:p>
    <w:p w14:paraId="47AA29D9" w14:textId="57B5754E" w:rsidR="00E87D68" w:rsidRDefault="00E87D68" w:rsidP="00221CE3">
      <w:pPr>
        <w:tabs>
          <w:tab w:val="left" w:pos="2097"/>
        </w:tabs>
        <w:rPr>
          <w:sz w:val="22"/>
          <w:szCs w:val="22"/>
          <w:lang w:eastAsia="en-US"/>
        </w:rPr>
      </w:pPr>
      <w:r w:rsidRPr="00E87D68">
        <w:rPr>
          <w:sz w:val="22"/>
          <w:szCs w:val="22"/>
          <w:lang w:eastAsia="en-US"/>
        </w:rPr>
        <w:t xml:space="preserve">”Regeringen borde rösta nej till förslaget i dess nuvarande utformning och påtala att Västsaharas legitima representanter Polisario måste </w:t>
      </w:r>
      <w:proofErr w:type="gramStart"/>
      <w:r w:rsidRPr="00E87D68">
        <w:rPr>
          <w:sz w:val="22"/>
          <w:szCs w:val="22"/>
          <w:lang w:eastAsia="en-US"/>
        </w:rPr>
        <w:t>delta  fullt</w:t>
      </w:r>
      <w:proofErr w:type="gramEnd"/>
      <w:r w:rsidRPr="00E87D68">
        <w:rPr>
          <w:sz w:val="22"/>
          <w:szCs w:val="22"/>
          <w:lang w:eastAsia="en-US"/>
        </w:rPr>
        <w:t xml:space="preserve"> ut och godkänna avtalet i enlighet med EU-domstolens beslut. EU-domstolen har ogiltigförklarat handelsavtalet från 2019 eftersom det genomfördes utan det västsahariska folkets samtycke. Det nya avtalet exkluderar fortfarande västsaharier och borde därför arbetas om i enlighet med internationell rätt och EU-domstolens beslut.”</w:t>
      </w:r>
    </w:p>
    <w:p w14:paraId="67621E0E" w14:textId="3A27EE6E" w:rsidR="00E87D68" w:rsidRDefault="00E87D68" w:rsidP="00221CE3">
      <w:pPr>
        <w:tabs>
          <w:tab w:val="left" w:pos="2097"/>
        </w:tabs>
        <w:rPr>
          <w:sz w:val="22"/>
          <w:szCs w:val="22"/>
          <w:lang w:eastAsia="en-US"/>
        </w:rPr>
      </w:pPr>
    </w:p>
    <w:p w14:paraId="05088E95" w14:textId="612D2D0F" w:rsidR="00E87D68" w:rsidRDefault="00E87D68" w:rsidP="00E87D68">
      <w:pPr>
        <w:tabs>
          <w:tab w:val="left" w:pos="2097"/>
        </w:tabs>
        <w:rPr>
          <w:sz w:val="22"/>
          <w:szCs w:val="22"/>
          <w:u w:val="single"/>
        </w:rPr>
      </w:pPr>
      <w:r w:rsidRPr="00221CE3">
        <w:rPr>
          <w:sz w:val="22"/>
          <w:szCs w:val="22"/>
          <w:u w:val="single"/>
        </w:rPr>
        <w:t>Följande avvikande ståndpunkt har anmälts</w:t>
      </w:r>
      <w:r>
        <w:rPr>
          <w:sz w:val="22"/>
          <w:szCs w:val="22"/>
          <w:u w:val="single"/>
        </w:rPr>
        <w:t xml:space="preserve"> från Miljöpartiet:</w:t>
      </w:r>
    </w:p>
    <w:p w14:paraId="28F2C8A8" w14:textId="1D2684B9" w:rsidR="00E87D68" w:rsidRDefault="00E87D68" w:rsidP="00221CE3">
      <w:pPr>
        <w:tabs>
          <w:tab w:val="left" w:pos="2097"/>
        </w:tabs>
        <w:rPr>
          <w:sz w:val="22"/>
          <w:szCs w:val="22"/>
          <w:lang w:eastAsia="en-US"/>
        </w:rPr>
      </w:pPr>
    </w:p>
    <w:p w14:paraId="69BE72BD" w14:textId="12D19EFF" w:rsidR="00E87D68" w:rsidRDefault="00E87D68" w:rsidP="00221CE3">
      <w:pPr>
        <w:tabs>
          <w:tab w:val="left" w:pos="2097"/>
        </w:tabs>
        <w:rPr>
          <w:sz w:val="22"/>
          <w:szCs w:val="22"/>
          <w:lang w:eastAsia="en-US"/>
        </w:rPr>
      </w:pPr>
      <w:r w:rsidRPr="00E87D68">
        <w:rPr>
          <w:sz w:val="22"/>
          <w:szCs w:val="22"/>
          <w:lang w:eastAsia="en-US"/>
        </w:rPr>
        <w:t xml:space="preserve">”Miljöpartiet lämnar avvik på båda besluten. Gällande det första beslutet är det inte tillräckligt långtgående då det enbart gäller livsmedelsprodukter. Det måste även bli tydligt att mineralresurser, som exempelvis fosfat, ursprungsmärks så att konstgödselproducenter tydligt tvingas redovisa att ursprunget av råvarorna kommer från ockuperat område. Gällande det andra beslutet så vänder sig Miljöpartiet emot att tullförmåner ska gälla innan en kontrollmekanism är på plats som gör att tullfördelarna ska tillfalla det västsahariska folket. De facto så är det inte </w:t>
      </w:r>
      <w:proofErr w:type="gramStart"/>
      <w:r w:rsidRPr="00E87D68">
        <w:rPr>
          <w:sz w:val="22"/>
          <w:szCs w:val="22"/>
          <w:lang w:eastAsia="en-US"/>
        </w:rPr>
        <w:t>Västsahariskt</w:t>
      </w:r>
      <w:proofErr w:type="gramEnd"/>
      <w:r w:rsidRPr="00E87D68">
        <w:rPr>
          <w:sz w:val="22"/>
          <w:szCs w:val="22"/>
          <w:lang w:eastAsia="en-US"/>
        </w:rPr>
        <w:t xml:space="preserve"> ägda företag som exporterar grönsaker och fisk till EU utan främst marockanska sådana vilket innebär att det till syvende och sist alltid är de marockanska företagen, och Marocko som land, som tjänar på handeln med EU trots att råvaror kommer från ockuperade Västsahara.”</w:t>
      </w:r>
    </w:p>
    <w:p w14:paraId="5A16CCD0" w14:textId="37BC1C75" w:rsidR="00E87D68" w:rsidRDefault="00E87D68" w:rsidP="00221CE3">
      <w:pPr>
        <w:tabs>
          <w:tab w:val="left" w:pos="2097"/>
        </w:tabs>
        <w:rPr>
          <w:sz w:val="22"/>
          <w:szCs w:val="22"/>
          <w:lang w:eastAsia="en-US"/>
        </w:rPr>
      </w:pPr>
    </w:p>
    <w:p w14:paraId="03A6545E" w14:textId="77777777" w:rsidR="00BF4DAF" w:rsidRDefault="00BF4DAF" w:rsidP="00BF4DAF">
      <w:pPr>
        <w:tabs>
          <w:tab w:val="left" w:pos="2097"/>
        </w:tabs>
        <w:rPr>
          <w:b/>
          <w:bCs/>
        </w:rPr>
      </w:pPr>
      <w:r>
        <w:rPr>
          <w:b/>
          <w:bCs/>
        </w:rPr>
        <w:t>Skriftligt samråd med EU-nämnden avseende listor med</w:t>
      </w:r>
      <w:r w:rsidRPr="0037060A">
        <w:rPr>
          <w:b/>
          <w:bCs/>
        </w:rPr>
        <w:t xml:space="preserve"> troliga A-punkter v. </w:t>
      </w:r>
      <w:r>
        <w:rPr>
          <w:b/>
          <w:bCs/>
        </w:rPr>
        <w:t>39</w:t>
      </w:r>
    </w:p>
    <w:p w14:paraId="1EFF4768" w14:textId="77777777" w:rsidR="00BF4DAF" w:rsidRDefault="00BF4DAF" w:rsidP="00BF4DAF">
      <w:pPr>
        <w:tabs>
          <w:tab w:val="left" w:pos="2097"/>
        </w:tabs>
      </w:pPr>
      <w:r>
        <w:t xml:space="preserve">Samrådet avslutades den 26 september 2025. Det fanns stöd för regeringens ståndpunkter. </w:t>
      </w:r>
    </w:p>
    <w:p w14:paraId="42632F88" w14:textId="77777777" w:rsidR="00BF4DAF" w:rsidRDefault="00BF4DAF" w:rsidP="00BF4DAF"/>
    <w:p w14:paraId="72234A92" w14:textId="77777777" w:rsidR="00BF4DAF" w:rsidRPr="0093093E" w:rsidRDefault="00BF4DAF" w:rsidP="00BF4DAF">
      <w:pPr>
        <w:rPr>
          <w:sz w:val="22"/>
          <w:szCs w:val="22"/>
          <w:u w:val="single"/>
        </w:rPr>
      </w:pPr>
      <w:r w:rsidRPr="0093093E">
        <w:rPr>
          <w:sz w:val="22"/>
          <w:szCs w:val="22"/>
          <w:u w:val="single"/>
        </w:rPr>
        <w:t xml:space="preserve">Följande avvikande ståndpunkt har anmälts </w:t>
      </w:r>
      <w:r>
        <w:rPr>
          <w:sz w:val="22"/>
          <w:szCs w:val="22"/>
          <w:u w:val="single"/>
        </w:rPr>
        <w:t>från Vänsterpartiet</w:t>
      </w:r>
      <w:r w:rsidRPr="0093093E">
        <w:rPr>
          <w:sz w:val="22"/>
          <w:szCs w:val="22"/>
          <w:u w:val="single"/>
        </w:rPr>
        <w:t xml:space="preserve">: </w:t>
      </w:r>
    </w:p>
    <w:p w14:paraId="4EF0BEE5" w14:textId="77777777" w:rsidR="00BF4DAF" w:rsidRPr="008E5034" w:rsidRDefault="00BF4DAF" w:rsidP="00BF4DAF">
      <w:pPr>
        <w:widowControl/>
        <w:rPr>
          <w:rFonts w:eastAsia="Calibri"/>
          <w:sz w:val="22"/>
          <w:szCs w:val="22"/>
          <w:lang w:val="en-US" w:eastAsia="en-US"/>
          <w14:ligatures w14:val="standardContextual"/>
        </w:rPr>
      </w:pPr>
      <w:proofErr w:type="gramStart"/>
      <w:r w:rsidRPr="008E5034">
        <w:rPr>
          <w:rFonts w:eastAsia="Calibri"/>
          <w:sz w:val="22"/>
          <w:szCs w:val="22"/>
          <w:lang w:val="en-US" w:eastAsia="en-US"/>
          <w14:ligatures w14:val="standardContextual"/>
        </w:rPr>
        <w:t>”</w:t>
      </w:r>
      <w:proofErr w:type="spellStart"/>
      <w:r w:rsidRPr="008E5034">
        <w:rPr>
          <w:rFonts w:eastAsia="Calibri"/>
          <w:sz w:val="22"/>
          <w:szCs w:val="22"/>
          <w:lang w:val="en-US" w:eastAsia="en-US"/>
          <w14:ligatures w14:val="standardContextual"/>
        </w:rPr>
        <w:t>Avvikande</w:t>
      </w:r>
      <w:proofErr w:type="spellEnd"/>
      <w:proofErr w:type="gramEnd"/>
      <w:r w:rsidRPr="008E5034">
        <w:rPr>
          <w:rFonts w:eastAsia="Calibri"/>
          <w:sz w:val="22"/>
          <w:szCs w:val="22"/>
          <w:lang w:val="en-US" w:eastAsia="en-US"/>
          <w14:ligatures w14:val="standardContextual"/>
        </w:rPr>
        <w:t xml:space="preserve"> </w:t>
      </w:r>
      <w:proofErr w:type="spellStart"/>
      <w:r w:rsidRPr="008E5034">
        <w:rPr>
          <w:rFonts w:eastAsia="Calibri"/>
          <w:sz w:val="22"/>
          <w:szCs w:val="22"/>
          <w:lang w:val="en-US" w:eastAsia="en-US"/>
          <w14:ligatures w14:val="standardContextual"/>
        </w:rPr>
        <w:t>ståndpunkter</w:t>
      </w:r>
      <w:proofErr w:type="spellEnd"/>
    </w:p>
    <w:p w14:paraId="04D83AC6" w14:textId="77777777" w:rsidR="00BF4DAF" w:rsidRPr="008E5034" w:rsidRDefault="00BF4DAF" w:rsidP="00BF4DAF">
      <w:pPr>
        <w:widowControl/>
        <w:rPr>
          <w:rFonts w:eastAsia="Calibri"/>
          <w:sz w:val="22"/>
          <w:szCs w:val="22"/>
          <w:lang w:val="en-US" w:eastAsia="en-US"/>
          <w14:ligatures w14:val="standardContextual"/>
        </w:rPr>
      </w:pPr>
    </w:p>
    <w:p w14:paraId="765380C3" w14:textId="77777777" w:rsidR="00BF4DAF" w:rsidRPr="008E5034" w:rsidRDefault="00BF4DAF" w:rsidP="00BF4DAF">
      <w:pPr>
        <w:widowControl/>
        <w:rPr>
          <w:rFonts w:eastAsia="Calibri"/>
          <w:sz w:val="22"/>
          <w:szCs w:val="22"/>
          <w:lang w:val="en-GB" w:eastAsia="en-US"/>
          <w14:ligatures w14:val="standardContextual"/>
        </w:rPr>
      </w:pPr>
      <w:r w:rsidRPr="008E5034">
        <w:rPr>
          <w:rFonts w:eastAsia="Calibri"/>
          <w:sz w:val="22"/>
          <w:szCs w:val="22"/>
          <w:lang w:val="en-GB" w:eastAsia="en-US"/>
          <w14:ligatures w14:val="standardContextual"/>
        </w:rPr>
        <w:lastRenderedPageBreak/>
        <w:t>13. Council Regulation amending Regulation (EU) 2025/202 fixing for 2025 and 2026 the fishing opportunities for certain fish stocks, applicable in Union waters and, for Union fishing vessels, in certain non-Union waters (3rd amendment)</w:t>
      </w:r>
    </w:p>
    <w:p w14:paraId="7C7FB9F0" w14:textId="77777777" w:rsidR="00BF4DAF" w:rsidRPr="008E5034" w:rsidRDefault="00BF4DAF" w:rsidP="00BF4DAF">
      <w:pPr>
        <w:widowControl/>
        <w:rPr>
          <w:rFonts w:eastAsia="Calibri"/>
          <w:sz w:val="22"/>
          <w:szCs w:val="22"/>
          <w:lang w:val="en-GB" w:eastAsia="en-US"/>
          <w14:ligatures w14:val="standardContextual"/>
        </w:rPr>
      </w:pPr>
    </w:p>
    <w:p w14:paraId="4B0D2B31" w14:textId="77777777" w:rsidR="00BF4DAF" w:rsidRPr="008E5034" w:rsidRDefault="00BF4DAF" w:rsidP="00BF4DAF">
      <w:pPr>
        <w:widowControl/>
        <w:rPr>
          <w:rFonts w:eastAsia="Calibri"/>
          <w:sz w:val="22"/>
          <w:szCs w:val="22"/>
          <w:lang w:eastAsia="en-US"/>
          <w14:ligatures w14:val="standardContextual"/>
        </w:rPr>
      </w:pPr>
      <w:r w:rsidRPr="008E5034">
        <w:rPr>
          <w:rFonts w:eastAsia="Calibri"/>
          <w:sz w:val="22"/>
          <w:szCs w:val="22"/>
          <w:lang w:eastAsia="en-US"/>
          <w14:ligatures w14:val="standardContextual"/>
        </w:rPr>
        <w:t>Vänsterpartiet anser att Sverige bör verka för ett totalförbud mot ålfiske inom hela EU och för alla livsstadier under hela året, i linje med ICES rekommendationer.</w:t>
      </w:r>
    </w:p>
    <w:p w14:paraId="533ECC25" w14:textId="77777777" w:rsidR="00BF4DAF" w:rsidRPr="008E5034" w:rsidRDefault="00BF4DAF" w:rsidP="00BF4DAF">
      <w:pPr>
        <w:widowControl/>
        <w:rPr>
          <w:rFonts w:eastAsia="Calibri"/>
          <w:sz w:val="22"/>
          <w:szCs w:val="22"/>
          <w:lang w:eastAsia="en-US"/>
          <w14:ligatures w14:val="standardContextual"/>
        </w:rPr>
      </w:pPr>
    </w:p>
    <w:p w14:paraId="2B2A7D03" w14:textId="77777777" w:rsidR="00BF4DAF" w:rsidRPr="008E5034" w:rsidRDefault="00BF4DAF" w:rsidP="00BF4DAF">
      <w:pPr>
        <w:widowControl/>
        <w:rPr>
          <w:rFonts w:eastAsia="Calibri"/>
          <w:sz w:val="22"/>
          <w:szCs w:val="22"/>
          <w:lang w:val="en-GB" w:eastAsia="en-US"/>
          <w14:ligatures w14:val="standardContextual"/>
        </w:rPr>
      </w:pPr>
      <w:r w:rsidRPr="008E5034">
        <w:rPr>
          <w:rFonts w:eastAsia="Calibri"/>
          <w:sz w:val="22"/>
          <w:szCs w:val="22"/>
          <w:lang w:val="en-GB" w:eastAsia="en-US"/>
          <w14:ligatures w14:val="standardContextual"/>
        </w:rPr>
        <w:t>14. Council Decision on the signing and provisional application of the Protocol (2025</w:t>
      </w:r>
      <w:r w:rsidRPr="008E5034">
        <w:rPr>
          <w:rFonts w:eastAsia="Calibri"/>
          <w:sz w:val="22"/>
          <w:szCs w:val="22"/>
          <w:lang w:val="en-US" w:eastAsia="en-US"/>
          <w14:ligatures w14:val="standardContextual"/>
        </w:rPr>
        <w:t>–</w:t>
      </w:r>
      <w:r w:rsidRPr="008E5034">
        <w:rPr>
          <w:rFonts w:eastAsia="Calibri"/>
          <w:sz w:val="22"/>
          <w:szCs w:val="22"/>
          <w:lang w:val="en-GB" w:eastAsia="en-US"/>
          <w14:ligatures w14:val="standardContextual"/>
        </w:rPr>
        <w:t>2029) on the implementation of the Fisheries Partnership Agreement with the Democratic Republic of São Tomé and Príncipe</w:t>
      </w:r>
    </w:p>
    <w:p w14:paraId="180AA034" w14:textId="77777777" w:rsidR="00BF4DAF" w:rsidRPr="008E5034" w:rsidRDefault="00BF4DAF" w:rsidP="00BF4DAF">
      <w:pPr>
        <w:widowControl/>
        <w:rPr>
          <w:rFonts w:eastAsia="Calibri"/>
          <w:sz w:val="22"/>
          <w:szCs w:val="22"/>
          <w:lang w:val="en-GB" w:eastAsia="en-US"/>
          <w14:ligatures w14:val="standardContextual"/>
        </w:rPr>
      </w:pPr>
      <w:r w:rsidRPr="008E5034">
        <w:rPr>
          <w:rFonts w:eastAsia="Calibri"/>
          <w:sz w:val="22"/>
          <w:szCs w:val="22"/>
          <w:lang w:val="en-GB" w:eastAsia="en-US"/>
          <w14:ligatures w14:val="standardContextual"/>
        </w:rPr>
        <w:t>15. Council Decision on the conclusion, on behalf of the Union, of the Protocol (2025</w:t>
      </w:r>
      <w:r w:rsidRPr="008E5034">
        <w:rPr>
          <w:rFonts w:eastAsia="Calibri"/>
          <w:sz w:val="22"/>
          <w:szCs w:val="22"/>
          <w:lang w:val="en-US" w:eastAsia="en-US"/>
          <w14:ligatures w14:val="standardContextual"/>
        </w:rPr>
        <w:t>–</w:t>
      </w:r>
      <w:r w:rsidRPr="008E5034">
        <w:rPr>
          <w:rFonts w:eastAsia="Calibri"/>
          <w:sz w:val="22"/>
          <w:szCs w:val="22"/>
          <w:lang w:val="en-GB" w:eastAsia="en-US"/>
          <w14:ligatures w14:val="standardContextual"/>
        </w:rPr>
        <w:t>2029) on the implementation of the Fisheries Partnership Agreement with the Democratic Republic of São Tomé and Príncipe</w:t>
      </w:r>
    </w:p>
    <w:p w14:paraId="6AB0A2A3" w14:textId="77777777" w:rsidR="00BF4DAF" w:rsidRPr="008E5034" w:rsidRDefault="00BF4DAF" w:rsidP="00BF4DAF">
      <w:pPr>
        <w:widowControl/>
        <w:rPr>
          <w:rFonts w:eastAsia="Calibri"/>
          <w:sz w:val="22"/>
          <w:szCs w:val="22"/>
          <w:lang w:val="en-GB" w:eastAsia="en-US"/>
          <w14:ligatures w14:val="standardContextual"/>
        </w:rPr>
      </w:pPr>
      <w:r w:rsidRPr="008E5034">
        <w:rPr>
          <w:rFonts w:eastAsia="Calibri"/>
          <w:sz w:val="22"/>
          <w:szCs w:val="22"/>
          <w:lang w:val="en-GB" w:eastAsia="en-US"/>
          <w14:ligatures w14:val="standardContextual"/>
        </w:rPr>
        <w:t>16. Council Regulation on the allocation of fishing opportunities under the Protocol (2025</w:t>
      </w:r>
      <w:r w:rsidRPr="008E5034">
        <w:rPr>
          <w:rFonts w:eastAsia="Calibri"/>
          <w:sz w:val="22"/>
          <w:szCs w:val="22"/>
          <w:lang w:val="en-US" w:eastAsia="en-US"/>
          <w14:ligatures w14:val="standardContextual"/>
        </w:rPr>
        <w:t>–</w:t>
      </w:r>
      <w:r w:rsidRPr="008E5034">
        <w:rPr>
          <w:rFonts w:eastAsia="Calibri"/>
          <w:sz w:val="22"/>
          <w:szCs w:val="22"/>
          <w:lang w:val="en-GB" w:eastAsia="en-US"/>
          <w14:ligatures w14:val="standardContextual"/>
        </w:rPr>
        <w:t>2029) on the implementation of the Fisheries Partnership Agreement with the Democratic Republic of São Tomé and Príncipe</w:t>
      </w:r>
    </w:p>
    <w:p w14:paraId="155C2674" w14:textId="77777777" w:rsidR="00BF4DAF" w:rsidRPr="008E5034" w:rsidRDefault="00BF4DAF" w:rsidP="00BF4DAF">
      <w:pPr>
        <w:widowControl/>
        <w:rPr>
          <w:rFonts w:eastAsia="Calibri"/>
          <w:sz w:val="22"/>
          <w:szCs w:val="22"/>
          <w:lang w:val="en-GB" w:eastAsia="en-US"/>
          <w14:ligatures w14:val="standardContextual"/>
        </w:rPr>
      </w:pPr>
    </w:p>
    <w:p w14:paraId="0B3BDE73" w14:textId="77777777" w:rsidR="00BF4DAF" w:rsidRPr="008E5034" w:rsidRDefault="00BF4DAF" w:rsidP="00BF4DAF">
      <w:pPr>
        <w:widowControl/>
        <w:rPr>
          <w:rFonts w:eastAsia="Calibri"/>
          <w:sz w:val="22"/>
          <w:szCs w:val="22"/>
          <w:lang w:eastAsia="en-US"/>
          <w14:ligatures w14:val="standardContextual"/>
        </w:rPr>
      </w:pPr>
      <w:r w:rsidRPr="008E5034">
        <w:rPr>
          <w:rFonts w:eastAsia="Calibri"/>
          <w:sz w:val="22"/>
          <w:szCs w:val="22"/>
          <w:lang w:eastAsia="en-US"/>
          <w14:ligatures w14:val="standardContextual"/>
        </w:rPr>
        <w:t>Vänsterpartiet vill se ett hållbart och lokalt förankrat fiske. Att fiskefartyg från EU länder åker världen över för att fiska kan inte anses bidra till ett hållbara fiske. Andra länders fiske, bl.a. europeiskt, minskar möjligheterna för lokalbefolkningen att själva leva av fisken. Vänsterpartiet menar därför att den svenska linjen ska vara att EU inte ska kräva europeiska fångstkvoter utan istället inrikta sig på att stödja lokalt hållbart fiske.”</w:t>
      </w:r>
    </w:p>
    <w:p w14:paraId="469C86A0" w14:textId="77777777" w:rsidR="00E87D68" w:rsidRPr="00221CE3" w:rsidRDefault="00E87D68" w:rsidP="00221CE3">
      <w:pPr>
        <w:tabs>
          <w:tab w:val="left" w:pos="2097"/>
        </w:tabs>
        <w:rPr>
          <w:sz w:val="22"/>
          <w:szCs w:val="22"/>
          <w:lang w:eastAsia="en-US"/>
        </w:rPr>
      </w:pPr>
    </w:p>
    <w:sectPr w:rsidR="00E87D68"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7"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A8359AD"/>
    <w:multiLevelType w:val="hybridMultilevel"/>
    <w:tmpl w:val="44EC5C7C"/>
    <w:lvl w:ilvl="0" w:tplc="709EB7A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87B1265"/>
    <w:multiLevelType w:val="hybridMultilevel"/>
    <w:tmpl w:val="B7E0B9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0"/>
  </w:num>
  <w:num w:numId="28">
    <w:abstractNumId w:val="8"/>
  </w:num>
  <w:num w:numId="29">
    <w:abstractNumId w:val="33"/>
  </w:num>
  <w:num w:numId="30">
    <w:abstractNumId w:val="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663"/>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321"/>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7F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95B"/>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191"/>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5D9"/>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6A1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222"/>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284"/>
    <w:rsid w:val="008E243E"/>
    <w:rsid w:val="008E25AD"/>
    <w:rsid w:val="008E298D"/>
    <w:rsid w:val="008E36A1"/>
    <w:rsid w:val="008E37A5"/>
    <w:rsid w:val="008E40E4"/>
    <w:rsid w:val="008E503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5E94"/>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DAF"/>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6684"/>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87D68"/>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0AB"/>
    <w:rsid w:val="00F201DA"/>
    <w:rsid w:val="00F20965"/>
    <w:rsid w:val="00F20A0F"/>
    <w:rsid w:val="00F20B70"/>
    <w:rsid w:val="00F21A4D"/>
    <w:rsid w:val="00F21CB3"/>
    <w:rsid w:val="00F22763"/>
    <w:rsid w:val="00F2280A"/>
    <w:rsid w:val="00F2284D"/>
    <w:rsid w:val="00F231A4"/>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85F"/>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495"/>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625"/>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09933914">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217611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2259755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1240667">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02741422">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58297966">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246</TotalTime>
  <Pages>8</Pages>
  <Words>1798</Words>
  <Characters>9535</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13</cp:revision>
  <cp:lastPrinted>2023-12-19T08:01:00Z</cp:lastPrinted>
  <dcterms:created xsi:type="dcterms:W3CDTF">2025-10-01T13:20:00Z</dcterms:created>
  <dcterms:modified xsi:type="dcterms:W3CDTF">2025-10-09T08:02:00Z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