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02DE4BE6A66437AA21C34ACDBAAC709"/>
        </w:placeholder>
        <w:text/>
      </w:sdtPr>
      <w:sdtEndPr/>
      <w:sdtContent>
        <w:p w:rsidRPr="009B062B" w:rsidR="00AF30DD" w:rsidP="00B10732" w:rsidRDefault="00AF30DD" w14:paraId="1BE18F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8543495-3efc-4f5d-8f8a-62e8b968c157"/>
        <w:id w:val="1536998093"/>
        <w:lock w:val="sdtLocked"/>
      </w:sdtPr>
      <w:sdtEndPr/>
      <w:sdtContent>
        <w:p w:rsidR="007B6FEF" w:rsidRDefault="00DA752B" w14:paraId="1BE18F0F" w14:textId="77777777">
          <w:pPr>
            <w:pStyle w:val="Frslagstext"/>
          </w:pPr>
          <w:r>
            <w:t>Riksdagen avslår regeringens förslag till lag om kompensation för höga drivmedelskostnader.</w:t>
          </w:r>
        </w:p>
      </w:sdtContent>
    </w:sdt>
    <w:sdt>
      <w:sdtPr>
        <w:alias w:val="Yrkande 2"/>
        <w:tag w:val="8a472630-ba51-4e18-9341-4869db11f6b3"/>
        <w:id w:val="-1599172708"/>
        <w:lock w:val="sdtLocked"/>
      </w:sdtPr>
      <w:sdtEndPr/>
      <w:sdtContent>
        <w:p w:rsidR="007B6FEF" w:rsidRDefault="00DA752B" w14:paraId="1BE18F10" w14:textId="77777777">
          <w:pPr>
            <w:pStyle w:val="Frslagstext"/>
          </w:pPr>
          <w:r>
            <w:t>Riksdagen avslår regeringens förslag till ändrat ändamål för anslaget 1:12 inom utgiftsområde 22 Kommunikationer.</w:t>
          </w:r>
        </w:p>
      </w:sdtContent>
    </w:sdt>
    <w:sdt>
      <w:sdtPr>
        <w:alias w:val="Yrkande 3"/>
        <w:tag w:val="89da7da0-97a1-443d-8b1f-321ef30a0bb5"/>
        <w:id w:val="-1309625285"/>
        <w:lock w:val="sdtLocked"/>
      </w:sdtPr>
      <w:sdtEndPr/>
      <w:sdtContent>
        <w:p w:rsidR="007B6FEF" w:rsidRDefault="00DA752B" w14:paraId="1BE18F11" w14:textId="77777777">
          <w:pPr>
            <w:pStyle w:val="Frslagstext"/>
          </w:pPr>
          <w:r>
            <w:t>Riksdagen godkänner ändrade ramar för utgiftsområdet och anvisar ändrade anslag enligt regeringens förslag med de ändringar som framgår av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0D07149D86F45768C94E5123E0CB1E1"/>
        </w:placeholder>
        <w:text/>
      </w:sdtPr>
      <w:sdtEndPr/>
      <w:sdtContent>
        <w:p w:rsidRPr="009B062B" w:rsidR="006D79C9" w:rsidP="00333E95" w:rsidRDefault="006D79C9" w14:paraId="1BE18F12" w14:textId="77777777">
          <w:pPr>
            <w:pStyle w:val="Rubrik1"/>
          </w:pPr>
          <w:r>
            <w:t>Motivering</w:t>
          </w:r>
        </w:p>
      </w:sdtContent>
    </w:sdt>
    <w:p w:rsidR="00C747C4" w:rsidP="00290715" w:rsidRDefault="00C747C4" w14:paraId="1BE18F13" w14:textId="68E8612D">
      <w:pPr>
        <w:pStyle w:val="Normalutanindragellerluft"/>
      </w:pPr>
      <w:r>
        <w:t xml:space="preserve">Sverigedemokraterna menar, liksom flera av remissinstanserna, att regeringens förslag om stöd för </w:t>
      </w:r>
      <w:r w:rsidR="00290715">
        <w:t xml:space="preserve">drivmedelskompensation </w:t>
      </w:r>
      <w:r>
        <w:t xml:space="preserve">är felkonstruerat. Förslaget, som innebär en belastning om </w:t>
      </w:r>
      <w:r w:rsidR="00290715">
        <w:t>4</w:t>
      </w:r>
      <w:r w:rsidR="00DA752B">
        <w:t> </w:t>
      </w:r>
      <w:r w:rsidR="00290715">
        <w:t>200 miljoner kronor på statens budget</w:t>
      </w:r>
      <w:r>
        <w:t xml:space="preserve">, är i grunden ett kontantbidrag för den som är innehavare </w:t>
      </w:r>
      <w:r w:rsidR="00DA752B">
        <w:t>av</w:t>
      </w:r>
      <w:r>
        <w:t xml:space="preserve"> en eller flera bilar och har ingenting att göra med kostnaden för användandet av bilen.</w:t>
      </w:r>
      <w:r w:rsidR="009901F3">
        <w:t xml:space="preserve"> </w:t>
      </w:r>
      <w:r w:rsidR="00775F86">
        <w:t>En person som kör 1</w:t>
      </w:r>
      <w:r w:rsidR="00DA752B">
        <w:t> </w:t>
      </w:r>
      <w:r w:rsidR="00775F86">
        <w:t xml:space="preserve">mil om året får samma ersättning som en person som kör 10 000 mil. </w:t>
      </w:r>
      <w:r w:rsidR="009901F3">
        <w:t xml:space="preserve">För att få del av regeringens förslag behöver man faktiskt inte ens vara ägare till en bil, utan det räcker med att man nyttjar en bil genom leasing. </w:t>
      </w:r>
    </w:p>
    <w:p w:rsidR="00874A3A" w:rsidP="0082776E" w:rsidRDefault="0016181C" w14:paraId="1BE18F14" w14:textId="70D468E4">
      <w:r>
        <w:t>Tung</w:t>
      </w:r>
      <w:bookmarkStart w:name="_GoBack" w:id="1"/>
      <w:bookmarkEnd w:id="1"/>
      <w:r>
        <w:t>a remissinstanser som</w:t>
      </w:r>
      <w:r w:rsidR="00C747C4">
        <w:t xml:space="preserve"> </w:t>
      </w:r>
      <w:r>
        <w:t>bl</w:t>
      </w:r>
      <w:r w:rsidR="00DA752B">
        <w:t>.</w:t>
      </w:r>
      <w:r>
        <w:t>a</w:t>
      </w:r>
      <w:r w:rsidR="00DA752B">
        <w:t>.</w:t>
      </w:r>
      <w:r>
        <w:t xml:space="preserve"> </w:t>
      </w:r>
      <w:r w:rsidRPr="00290715" w:rsidR="00290715">
        <w:t>Konjunkturinstitutet är</w:t>
      </w:r>
      <w:r w:rsidR="009901F3">
        <w:t xml:space="preserve"> också</w:t>
      </w:r>
      <w:r w:rsidRPr="00290715" w:rsidR="00290715">
        <w:t xml:space="preserve"> </w:t>
      </w:r>
      <w:r w:rsidR="00C747C4">
        <w:t xml:space="preserve">kritiska till utformningen av kompensationen och menar, liksom vi, </w:t>
      </w:r>
      <w:r w:rsidRPr="00290715" w:rsidR="00290715">
        <w:t xml:space="preserve">att den </w:t>
      </w:r>
      <w:r w:rsidR="00C747C4">
        <w:t>i</w:t>
      </w:r>
      <w:r w:rsidR="00DA752B">
        <w:t xml:space="preserve"> </w:t>
      </w:r>
      <w:r w:rsidR="00C747C4">
        <w:t xml:space="preserve">stället </w:t>
      </w:r>
      <w:r w:rsidRPr="00290715" w:rsidR="00290715">
        <w:t>bör ha en direkt koppling till konsumtion av drivmedel och faktisk användning av en bil.</w:t>
      </w:r>
    </w:p>
    <w:p w:rsidR="00290715" w:rsidP="00C669BC" w:rsidRDefault="001B4069" w14:paraId="1BE18F15" w14:textId="319263CE">
      <w:r>
        <w:t xml:space="preserve">Vi avslår således </w:t>
      </w:r>
      <w:r w:rsidR="00874A3A">
        <w:t xml:space="preserve">regeringens </w:t>
      </w:r>
      <w:r>
        <w:t xml:space="preserve">förslag </w:t>
      </w:r>
      <w:r w:rsidR="00874A3A">
        <w:t xml:space="preserve">till </w:t>
      </w:r>
      <w:r>
        <w:rPr>
          <w:rStyle w:val="FrslagstextChar"/>
        </w:rPr>
        <w:t>lag om kompensation för höga drivmedels</w:t>
      </w:r>
      <w:r w:rsidR="006D28EC">
        <w:rPr>
          <w:rStyle w:val="FrslagstextChar"/>
        </w:rPr>
        <w:softHyphen/>
      </w:r>
      <w:r>
        <w:rPr>
          <w:rStyle w:val="FrslagstextChar"/>
        </w:rPr>
        <w:t xml:space="preserve">kostnader samt </w:t>
      </w:r>
      <w:r w:rsidR="00874A3A">
        <w:rPr>
          <w:rStyle w:val="FrslagstextChar"/>
        </w:rPr>
        <w:t xml:space="preserve">regeringens </w:t>
      </w:r>
      <w:r>
        <w:rPr>
          <w:rStyle w:val="FrslagstextChar"/>
        </w:rPr>
        <w:t xml:space="preserve">förslag </w:t>
      </w:r>
      <w:r w:rsidR="00874A3A">
        <w:rPr>
          <w:rStyle w:val="FrslagstextChar"/>
        </w:rPr>
        <w:t>till ändrat ändamål för</w:t>
      </w:r>
      <w:r>
        <w:rPr>
          <w:rStyle w:val="FrslagstextChar"/>
        </w:rPr>
        <w:t xml:space="preserve"> anslaget 1:12 </w:t>
      </w:r>
      <w:r w:rsidRPr="00EC24B1">
        <w:rPr>
          <w:rStyle w:val="FrslagstextChar"/>
        </w:rPr>
        <w:t>inom utgiftsområde 22 Kommunikationer</w:t>
      </w:r>
      <w:r>
        <w:rPr>
          <w:rStyle w:val="FrslagstextChar"/>
        </w:rPr>
        <w:t>.</w:t>
      </w:r>
    </w:p>
    <w:p w:rsidRPr="00877B41" w:rsidR="00877B41" w:rsidP="00290715" w:rsidRDefault="00877B41" w14:paraId="1BE18F16" w14:textId="77777777">
      <w:pPr>
        <w:pStyle w:val="Rubrik2"/>
      </w:pPr>
      <w:r w:rsidRPr="00877B41">
        <w:lastRenderedPageBreak/>
        <w:t xml:space="preserve">Förslag till ändrade ramar för utgiftsområden och anslag </w:t>
      </w:r>
    </w:p>
    <w:p w:rsidRPr="00C669BC" w:rsidR="00877B41" w:rsidP="00C669BC" w:rsidRDefault="00877B41" w14:paraId="1BE18F18" w14:textId="4B8CB4E3">
      <w:pPr>
        <w:pStyle w:val="Tabellrubrik"/>
      </w:pPr>
      <w:r w:rsidRPr="00C669BC">
        <w:t xml:space="preserve">Tabell 1 Förslag till ändrade ramar för </w:t>
      </w:r>
      <w:r w:rsidRPr="00C669BC" w:rsidR="00DA752B">
        <w:t>utgiftsområde</w:t>
      </w:r>
      <w:r w:rsidRPr="00C669BC">
        <w:t xml:space="preserve"> 22</w:t>
      </w:r>
    </w:p>
    <w:tbl>
      <w:tblPr>
        <w:tblStyle w:val="Tabellrutnt"/>
        <w:tblW w:w="8505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08"/>
        <w:gridCol w:w="2648"/>
        <w:gridCol w:w="1154"/>
        <w:gridCol w:w="1298"/>
        <w:gridCol w:w="1154"/>
        <w:gridCol w:w="1443"/>
      </w:tblGrid>
      <w:tr w:rsidRPr="00877B41" w:rsidR="00877B41" w:rsidTr="00C669BC" w14:paraId="1BE18F1F" w14:textId="77777777">
        <w:trPr>
          <w:cantSplit/>
        </w:trPr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hideMark/>
          </w:tcPr>
          <w:p w:rsidRPr="00877B41" w:rsidR="00877B41" w:rsidP="00877B41" w:rsidRDefault="00877B41" w14:paraId="1BE18F19" w14:textId="77777777">
            <w:pPr>
              <w:spacing w:before="80" w:line="240" w:lineRule="exact"/>
              <w:ind w:firstLine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77B41">
              <w:rPr>
                <w:rFonts w:asciiTheme="majorHAnsi" w:hAnsiTheme="majorHAnsi" w:cstheme="majorHAnsi"/>
                <w:b/>
                <w:sz w:val="20"/>
                <w:szCs w:val="20"/>
              </w:rPr>
              <w:t>Anslag</w:t>
            </w:r>
          </w:p>
        </w:tc>
        <w:tc>
          <w:tcPr>
            <w:tcW w:w="2648" w:type="dxa"/>
            <w:tcBorders>
              <w:top w:val="single" w:color="auto" w:sz="6" w:space="0"/>
              <w:bottom w:val="single" w:color="auto" w:sz="6" w:space="0"/>
            </w:tcBorders>
            <w:hideMark/>
          </w:tcPr>
          <w:p w:rsidRPr="00877B41" w:rsidR="00877B41" w:rsidP="00877B41" w:rsidRDefault="00877B41" w14:paraId="1BE18F1A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77B41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hideMark/>
          </w:tcPr>
          <w:p w:rsidRPr="00877B41" w:rsidR="00877B41" w:rsidP="00877B41" w:rsidRDefault="00877B41" w14:paraId="1BE18F1B" w14:textId="6DC123E5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77B41">
              <w:rPr>
                <w:rFonts w:asciiTheme="majorHAnsi" w:hAnsiTheme="majorHAnsi" w:cstheme="majorHAnsi"/>
                <w:b/>
                <w:sz w:val="20"/>
                <w:szCs w:val="20"/>
              </w:rPr>
              <w:t>Beslutad ram/</w:t>
            </w:r>
            <w:r w:rsidR="00DA752B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  <w:r w:rsidRPr="00877B41">
              <w:rPr>
                <w:rFonts w:asciiTheme="majorHAnsi" w:hAnsiTheme="majorHAnsi" w:cstheme="majorHAnsi"/>
                <w:b/>
                <w:sz w:val="20"/>
                <w:szCs w:val="20"/>
              </w:rPr>
              <w:t>nvisat anslag</w:t>
            </w:r>
          </w:p>
        </w:tc>
        <w:tc>
          <w:tcPr>
            <w:tcW w:w="1298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hideMark/>
          </w:tcPr>
          <w:p w:rsidRPr="00877B41" w:rsidR="00877B41" w:rsidP="00877B41" w:rsidRDefault="00877B41" w14:paraId="1BE18F1C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77B41">
              <w:rPr>
                <w:rFonts w:asciiTheme="majorHAnsi" w:hAnsiTheme="majorHAnsi" w:cstheme="majorHAnsi"/>
                <w:b/>
                <w:sz w:val="20"/>
                <w:szCs w:val="20"/>
              </w:rPr>
              <w:t>Förändring av ram/anslag</w:t>
            </w:r>
          </w:p>
        </w:tc>
        <w:tc>
          <w:tcPr>
            <w:tcW w:w="1154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hideMark/>
          </w:tcPr>
          <w:p w:rsidRPr="00877B41" w:rsidR="00877B41" w:rsidP="00877B41" w:rsidRDefault="00877B41" w14:paraId="1BE18F1D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77B41">
              <w:rPr>
                <w:rFonts w:asciiTheme="majorHAnsi" w:hAnsiTheme="majorHAnsi" w:cstheme="majorHAnsi"/>
                <w:b/>
                <w:sz w:val="20"/>
                <w:szCs w:val="20"/>
              </w:rPr>
              <w:t>Ny ram/Ny anslagsnivå</w:t>
            </w:r>
          </w:p>
        </w:tc>
        <w:tc>
          <w:tcPr>
            <w:tcW w:w="1443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hideMark/>
          </w:tcPr>
          <w:p w:rsidRPr="00877B41" w:rsidR="00877B41" w:rsidP="00877B41" w:rsidRDefault="00877B41" w14:paraId="1BE18F1E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77B41">
              <w:rPr>
                <w:rFonts w:asciiTheme="majorHAnsi" w:hAnsiTheme="majorHAnsi" w:cstheme="majorHAnsi"/>
                <w:b/>
                <w:sz w:val="20"/>
                <w:szCs w:val="20"/>
              </w:rPr>
              <w:t>Avvikelse mot regeringen (SD)</w:t>
            </w:r>
          </w:p>
        </w:tc>
      </w:tr>
      <w:tr w:rsidRPr="00877B41" w:rsidR="00877B41" w:rsidTr="00C669BC" w14:paraId="1BE18F26" w14:textId="77777777">
        <w:trPr>
          <w:cantSplit/>
        </w:trPr>
        <w:tc>
          <w:tcPr>
            <w:tcW w:w="808" w:type="dxa"/>
            <w:tcBorders>
              <w:top w:val="single" w:color="auto" w:sz="6" w:space="0"/>
            </w:tcBorders>
            <w:vAlign w:val="bottom"/>
            <w:hideMark/>
          </w:tcPr>
          <w:p w:rsidRPr="00877B41" w:rsidR="00877B41" w:rsidP="00877B41" w:rsidRDefault="00877B41" w14:paraId="1BE18F20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77B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48" w:type="dxa"/>
            <w:tcBorders>
              <w:top w:val="single" w:color="auto" w:sz="6" w:space="0"/>
            </w:tcBorders>
            <w:hideMark/>
          </w:tcPr>
          <w:p w:rsidRPr="00877B41" w:rsidR="00877B41" w:rsidP="00877B41" w:rsidRDefault="00877B41" w14:paraId="1BE18F21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Kommunikationer</w:t>
            </w:r>
          </w:p>
        </w:tc>
        <w:tc>
          <w:tcPr>
            <w:tcW w:w="1154" w:type="dxa"/>
            <w:tcBorders>
              <w:top w:val="single" w:color="auto" w:sz="6" w:space="0"/>
            </w:tcBorders>
            <w:vAlign w:val="bottom"/>
            <w:hideMark/>
          </w:tcPr>
          <w:p w:rsidRPr="00877B41" w:rsidR="00877B41" w:rsidP="00877B41" w:rsidRDefault="00877B41" w14:paraId="1BE18F22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77 091 052</w:t>
            </w:r>
          </w:p>
        </w:tc>
        <w:tc>
          <w:tcPr>
            <w:tcW w:w="1298" w:type="dxa"/>
            <w:tcBorders>
              <w:top w:val="single" w:color="auto" w:sz="6" w:space="0"/>
            </w:tcBorders>
            <w:vAlign w:val="bottom"/>
            <w:hideMark/>
          </w:tcPr>
          <w:p w:rsidRPr="00877B41" w:rsidR="00877B41" w:rsidP="00877B41" w:rsidRDefault="00623317" w14:paraId="1BE18F23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4 217 000</w:t>
            </w:r>
          </w:p>
        </w:tc>
        <w:tc>
          <w:tcPr>
            <w:tcW w:w="1154" w:type="dxa"/>
            <w:tcBorders>
              <w:top w:val="single" w:color="auto" w:sz="6" w:space="0"/>
            </w:tcBorders>
            <w:vAlign w:val="bottom"/>
            <w:hideMark/>
          </w:tcPr>
          <w:p w:rsidRPr="00877B41" w:rsidR="00877B41" w:rsidP="00877B41" w:rsidRDefault="00623317" w14:paraId="1BE18F24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81 308 052</w:t>
            </w:r>
          </w:p>
        </w:tc>
        <w:tc>
          <w:tcPr>
            <w:tcW w:w="1443" w:type="dxa"/>
            <w:tcBorders>
              <w:top w:val="single" w:color="auto" w:sz="6" w:space="0"/>
            </w:tcBorders>
            <w:noWrap/>
            <w:vAlign w:val="bottom"/>
            <w:hideMark/>
          </w:tcPr>
          <w:p w:rsidRPr="00877B41" w:rsidR="00877B41" w:rsidP="00877B41" w:rsidRDefault="00DA752B" w14:paraId="1BE18F25" w14:textId="5F2D3AB3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623317">
              <w:rPr>
                <w:rFonts w:asciiTheme="majorHAnsi" w:hAnsiTheme="majorHAnsi" w:cstheme="majorHAnsi"/>
                <w:b/>
                <w:sz w:val="20"/>
                <w:szCs w:val="20"/>
              </w:rPr>
              <w:t>4 217 000</w:t>
            </w:r>
          </w:p>
        </w:tc>
      </w:tr>
      <w:tr w:rsidRPr="00877B41" w:rsidR="00877B41" w:rsidTr="00C669BC" w14:paraId="1BE18F2D" w14:textId="77777777">
        <w:trPr>
          <w:cantSplit/>
        </w:trPr>
        <w:tc>
          <w:tcPr>
            <w:tcW w:w="808" w:type="dxa"/>
            <w:vAlign w:val="bottom"/>
          </w:tcPr>
          <w:p w:rsidRPr="00877B41" w:rsidR="00877B41" w:rsidP="00877B41" w:rsidRDefault="00877B41" w14:paraId="1BE18F27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1:12</w:t>
            </w:r>
          </w:p>
        </w:tc>
        <w:tc>
          <w:tcPr>
            <w:tcW w:w="2648" w:type="dxa"/>
          </w:tcPr>
          <w:p w:rsidR="00877B41" w:rsidP="00877B41" w:rsidRDefault="00877B41" w14:paraId="1BE18F28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Transportstyrelsen</w:t>
            </w:r>
          </w:p>
        </w:tc>
        <w:tc>
          <w:tcPr>
            <w:tcW w:w="1154" w:type="dxa"/>
            <w:vAlign w:val="bottom"/>
          </w:tcPr>
          <w:p w:rsidRPr="00877B41" w:rsidR="00877B41" w:rsidP="00877B41" w:rsidRDefault="00623317" w14:paraId="1BE18F29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2 367 233</w:t>
            </w:r>
          </w:p>
        </w:tc>
        <w:tc>
          <w:tcPr>
            <w:tcW w:w="1298" w:type="dxa"/>
            <w:vAlign w:val="bottom"/>
          </w:tcPr>
          <w:p w:rsidRPr="00877B41" w:rsidR="00877B41" w:rsidP="00877B41" w:rsidRDefault="00623317" w14:paraId="1BE18F2A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17 000</w:t>
            </w:r>
          </w:p>
        </w:tc>
        <w:tc>
          <w:tcPr>
            <w:tcW w:w="1154" w:type="dxa"/>
            <w:vAlign w:val="bottom"/>
          </w:tcPr>
          <w:p w:rsidRPr="00877B41" w:rsidR="00877B41" w:rsidP="00877B41" w:rsidRDefault="00623317" w14:paraId="1BE18F2B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2 384 233</w:t>
            </w:r>
          </w:p>
        </w:tc>
        <w:tc>
          <w:tcPr>
            <w:tcW w:w="1443" w:type="dxa"/>
            <w:vAlign w:val="bottom"/>
          </w:tcPr>
          <w:p w:rsidRPr="00877B41" w:rsidR="00877B41" w:rsidP="00877B41" w:rsidRDefault="00DA752B" w14:paraId="1BE18F2C" w14:textId="42376804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="00623317">
              <w:rPr>
                <w:rFonts w:asciiTheme="majorHAnsi" w:hAnsiTheme="majorHAnsi" w:cstheme="majorHAnsi"/>
                <w:sz w:val="20"/>
                <w:szCs w:val="20"/>
              </w:rPr>
              <w:t>17 000</w:t>
            </w:r>
          </w:p>
        </w:tc>
      </w:tr>
      <w:tr w:rsidRPr="00877B41" w:rsidR="00877B41" w:rsidTr="00C669BC" w14:paraId="1BE18F34" w14:textId="77777777">
        <w:trPr>
          <w:cantSplit/>
        </w:trPr>
        <w:tc>
          <w:tcPr>
            <w:tcW w:w="808" w:type="dxa"/>
            <w:vAlign w:val="bottom"/>
            <w:hideMark/>
          </w:tcPr>
          <w:p w:rsidRPr="00877B41" w:rsidR="00877B41" w:rsidP="00877B41" w:rsidRDefault="00877B41" w14:paraId="1BE18F2E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877B41">
              <w:rPr>
                <w:rFonts w:asciiTheme="majorHAnsi" w:hAnsiTheme="majorHAnsi" w:cstheme="majorHAnsi"/>
                <w:sz w:val="20"/>
                <w:szCs w:val="20"/>
              </w:rPr>
              <w:t>1: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2648" w:type="dxa"/>
            <w:hideMark/>
          </w:tcPr>
          <w:p w:rsidRPr="00877B41" w:rsidR="00877B41" w:rsidP="00877B41" w:rsidRDefault="00877B41" w14:paraId="1BE18F2F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Drivmedelskompensation</w:t>
            </w:r>
          </w:p>
        </w:tc>
        <w:tc>
          <w:tcPr>
            <w:tcW w:w="1154" w:type="dxa"/>
            <w:vAlign w:val="bottom"/>
            <w:hideMark/>
          </w:tcPr>
          <w:p w:rsidRPr="00877B41" w:rsidR="00877B41" w:rsidP="00877B41" w:rsidRDefault="00877B41" w14:paraId="1BE18F30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77B41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298" w:type="dxa"/>
            <w:vAlign w:val="bottom"/>
            <w:hideMark/>
          </w:tcPr>
          <w:p w:rsidRPr="00877B41" w:rsidR="00877B41" w:rsidP="00877B41" w:rsidRDefault="00623317" w14:paraId="1BE18F31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4 200 000</w:t>
            </w:r>
          </w:p>
        </w:tc>
        <w:tc>
          <w:tcPr>
            <w:tcW w:w="1154" w:type="dxa"/>
            <w:vAlign w:val="bottom"/>
            <w:hideMark/>
          </w:tcPr>
          <w:p w:rsidRPr="00877B41" w:rsidR="00877B41" w:rsidP="00877B41" w:rsidRDefault="00623317" w14:paraId="1BE18F32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4 200 000</w:t>
            </w:r>
          </w:p>
        </w:tc>
        <w:tc>
          <w:tcPr>
            <w:tcW w:w="1443" w:type="dxa"/>
            <w:vAlign w:val="bottom"/>
            <w:hideMark/>
          </w:tcPr>
          <w:p w:rsidRPr="00877B41" w:rsidR="00877B41" w:rsidP="00877B41" w:rsidRDefault="00877B41" w14:paraId="1BE18F33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77B41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="00623317">
              <w:rPr>
                <w:rFonts w:asciiTheme="majorHAnsi" w:hAnsiTheme="majorHAnsi" w:cstheme="majorHAnsi"/>
                <w:sz w:val="20"/>
                <w:szCs w:val="20"/>
              </w:rPr>
              <w:t>4 200 000</w:t>
            </w:r>
          </w:p>
        </w:tc>
      </w:tr>
      <w:tr w:rsidRPr="00877B41" w:rsidR="00877B41" w:rsidTr="00C669BC" w14:paraId="1BE18F3A" w14:textId="77777777">
        <w:trPr>
          <w:cantSplit/>
        </w:trPr>
        <w:tc>
          <w:tcPr>
            <w:tcW w:w="3456" w:type="dxa"/>
            <w:gridSpan w:val="2"/>
            <w:vAlign w:val="bottom"/>
            <w:hideMark/>
          </w:tcPr>
          <w:p w:rsidRPr="00877B41" w:rsidR="00877B41" w:rsidP="00877B41" w:rsidRDefault="00877B41" w14:paraId="1BE18F35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77B41">
              <w:rPr>
                <w:rFonts w:asciiTheme="majorHAnsi" w:hAnsiTheme="majorHAnsi" w:cstheme="majorHAnsi"/>
                <w:b/>
                <w:sz w:val="20"/>
                <w:szCs w:val="20"/>
              </w:rPr>
              <w:t>Summa anslagsförändring på ändringsbudget</w:t>
            </w:r>
          </w:p>
        </w:tc>
        <w:tc>
          <w:tcPr>
            <w:tcW w:w="1154" w:type="dxa"/>
            <w:noWrap/>
            <w:vAlign w:val="bottom"/>
            <w:hideMark/>
          </w:tcPr>
          <w:p w:rsidRPr="00877B41" w:rsidR="00877B41" w:rsidP="00877B41" w:rsidRDefault="00877B41" w14:paraId="1BE18F36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98" w:type="dxa"/>
            <w:vAlign w:val="bottom"/>
            <w:hideMark/>
          </w:tcPr>
          <w:p w:rsidRPr="00877B41" w:rsidR="00877B41" w:rsidP="00877B41" w:rsidRDefault="00877B41" w14:paraId="1BE18F37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:rsidRPr="00877B41" w:rsidR="00877B41" w:rsidP="00877B41" w:rsidRDefault="00877B41" w14:paraId="1BE18F38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noWrap/>
            <w:vAlign w:val="bottom"/>
            <w:hideMark/>
          </w:tcPr>
          <w:p w:rsidRPr="00877B41" w:rsidR="00877B41" w:rsidP="00877B41" w:rsidRDefault="00877B41" w14:paraId="1BE18F39" w14:textId="77777777">
            <w:pPr>
              <w:spacing w:before="80" w:line="240" w:lineRule="exact"/>
              <w:ind w:firstLine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30C15A4AC76942DDB09FB036A6990028"/>
        </w:placeholder>
      </w:sdtPr>
      <w:sdtEndPr/>
      <w:sdtContent>
        <w:p w:rsidR="0063557A" w:rsidP="0063557A" w:rsidRDefault="0063557A" w14:paraId="1BE18F3D" w14:textId="77777777"/>
        <w:p w:rsidRPr="008E0FE2" w:rsidR="004801AC" w:rsidP="0063557A" w:rsidRDefault="00766E74" w14:paraId="1BE18F3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B6FEF" w14:paraId="1BE18F41" w14:textId="77777777">
        <w:trPr>
          <w:cantSplit/>
        </w:trPr>
        <w:tc>
          <w:tcPr>
            <w:tcW w:w="50" w:type="pct"/>
            <w:vAlign w:val="bottom"/>
          </w:tcPr>
          <w:p w:rsidR="007B6FEF" w:rsidRDefault="00DA752B" w14:paraId="1BE18F3F" w14:textId="77777777"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 w:rsidR="007B6FEF" w:rsidRDefault="00DA752B" w14:paraId="1BE18F40" w14:textId="77777777">
            <w:pPr>
              <w:pStyle w:val="Underskrifter"/>
            </w:pPr>
            <w:r>
              <w:t>David Perez (SD)</w:t>
            </w:r>
          </w:p>
        </w:tc>
      </w:tr>
      <w:tr w:rsidR="007B6FEF" w14:paraId="1BE18F44" w14:textId="77777777">
        <w:trPr>
          <w:cantSplit/>
        </w:trPr>
        <w:tc>
          <w:tcPr>
            <w:tcW w:w="50" w:type="pct"/>
            <w:vAlign w:val="bottom"/>
          </w:tcPr>
          <w:p w:rsidR="007B6FEF" w:rsidRDefault="00DA752B" w14:paraId="1BE18F42" w14:textId="77777777">
            <w:pPr>
              <w:pStyle w:val="Underskrifter"/>
            </w:pPr>
            <w:r>
              <w:t>Charlotte Quensel (SD)</w:t>
            </w:r>
          </w:p>
        </w:tc>
        <w:tc>
          <w:tcPr>
            <w:tcW w:w="50" w:type="pct"/>
            <w:vAlign w:val="bottom"/>
          </w:tcPr>
          <w:p w:rsidR="007B6FEF" w:rsidRDefault="00DA752B" w14:paraId="1BE18F43" w14:textId="77777777">
            <w:pPr>
              <w:pStyle w:val="Underskrifter"/>
            </w:pPr>
            <w:r>
              <w:t>Dennis Dioukarev (SD)</w:t>
            </w:r>
          </w:p>
        </w:tc>
      </w:tr>
    </w:tbl>
    <w:p w:rsidR="001830BA" w:rsidRDefault="001830BA" w14:paraId="1BE18F45" w14:textId="77777777"/>
    <w:sectPr w:rsidR="001830B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18F47" w14:textId="77777777" w:rsidR="00541E32" w:rsidRDefault="00541E32" w:rsidP="000C1CAD">
      <w:pPr>
        <w:spacing w:line="240" w:lineRule="auto"/>
      </w:pPr>
      <w:r>
        <w:separator/>
      </w:r>
    </w:p>
  </w:endnote>
  <w:endnote w:type="continuationSeparator" w:id="0">
    <w:p w14:paraId="1BE18F48" w14:textId="77777777" w:rsidR="00541E32" w:rsidRDefault="00541E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8F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8F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8F56" w14:textId="77777777" w:rsidR="00262EA3" w:rsidRPr="0063557A" w:rsidRDefault="00262EA3" w:rsidP="006355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18F45" w14:textId="77777777" w:rsidR="00541E32" w:rsidRDefault="00541E32" w:rsidP="000C1CAD">
      <w:pPr>
        <w:spacing w:line="240" w:lineRule="auto"/>
      </w:pPr>
      <w:r>
        <w:separator/>
      </w:r>
    </w:p>
  </w:footnote>
  <w:footnote w:type="continuationSeparator" w:id="0">
    <w:p w14:paraId="1BE18F46" w14:textId="77777777" w:rsidR="00541E32" w:rsidRDefault="00541E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8F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E18F57" wp14:editId="1BE18F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18F5B" w14:textId="77777777" w:rsidR="00262EA3" w:rsidRDefault="00766E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15B084D4914C97AA7E3F4D37FCDD80"/>
                              </w:placeholder>
                              <w:text/>
                            </w:sdtPr>
                            <w:sdtEndPr/>
                            <w:sdtContent>
                              <w:r w:rsidR="0068173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54C2D12774457C8AC878BFF218756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E18F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E18F5B" w14:textId="77777777" w:rsidR="00262EA3" w:rsidRDefault="00766E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15B084D4914C97AA7E3F4D37FCDD80"/>
                        </w:placeholder>
                        <w:text/>
                      </w:sdtPr>
                      <w:sdtEndPr/>
                      <w:sdtContent>
                        <w:r w:rsidR="0068173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54C2D12774457C8AC878BFF218756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E18F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8F4B" w14:textId="77777777" w:rsidR="00262EA3" w:rsidRDefault="00262EA3" w:rsidP="008563AC">
    <w:pPr>
      <w:jc w:val="right"/>
    </w:pPr>
  </w:p>
  <w:p w14:paraId="1BE18F4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8F4F" w14:textId="77777777" w:rsidR="00262EA3" w:rsidRDefault="00766E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E18F59" wp14:editId="1BE18F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E18F50" w14:textId="77777777" w:rsidR="00262EA3" w:rsidRDefault="00766E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557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173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E18F51" w14:textId="77777777" w:rsidR="00262EA3" w:rsidRPr="008227B3" w:rsidRDefault="00766E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E18F52" w14:textId="77777777" w:rsidR="00262EA3" w:rsidRPr="008227B3" w:rsidRDefault="00766E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557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557A">
          <w:t>:4763</w:t>
        </w:r>
      </w:sdtContent>
    </w:sdt>
  </w:p>
  <w:p w14:paraId="1BE18F53" w14:textId="77777777" w:rsidR="00262EA3" w:rsidRDefault="00766E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557A"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E18F54" w14:textId="77777777" w:rsidR="00262EA3" w:rsidRDefault="0063557A" w:rsidP="00283E0F">
        <w:pPr>
          <w:pStyle w:val="FSHRub2"/>
        </w:pPr>
        <w:r>
          <w:t>med anledning av prop. 2021/22:252 Extra ändringsbudget för 2022 – Stöd till jordbruket och fiskerinäringen samt kompensation för höga energipriser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E18F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817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81C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0BA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06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594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715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14D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E32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317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57A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C22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73C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8E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E74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F8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6FEF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B47"/>
    <w:rsid w:val="00826F78"/>
    <w:rsid w:val="008272B7"/>
    <w:rsid w:val="008272C5"/>
    <w:rsid w:val="0082776E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3A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41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1F3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94C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62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732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7F8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9BC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7C4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52B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FB8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4B8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4B1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E18F0D"/>
  <w15:chartTrackingRefBased/>
  <w15:docId w15:val="{73131D3F-DF5B-4F63-A343-6B434D94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2DE4BE6A66437AA21C34ACDBAAC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93AFF-28BA-4B8A-A1D5-BE3B15FC8A38}"/>
      </w:docPartPr>
      <w:docPartBody>
        <w:p w:rsidR="00820808" w:rsidRDefault="003026EE">
          <w:pPr>
            <w:pStyle w:val="A02DE4BE6A66437AA21C34ACDBAAC7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D07149D86F45768C94E5123E0CB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F5065-7EA7-497F-98D7-B7084F5349B0}"/>
      </w:docPartPr>
      <w:docPartBody>
        <w:p w:rsidR="00820808" w:rsidRDefault="003026EE">
          <w:pPr>
            <w:pStyle w:val="F0D07149D86F45768C94E5123E0CB1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15B084D4914C97AA7E3F4D37FCD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BE79B-DAE8-40AA-B66A-762C1B50ACE4}"/>
      </w:docPartPr>
      <w:docPartBody>
        <w:p w:rsidR="00820808" w:rsidRDefault="003026EE">
          <w:pPr>
            <w:pStyle w:val="2415B084D4914C97AA7E3F4D37FCDD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54C2D12774457C8AC878BFF2187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EC2B8-835C-40C8-9F05-33483A35E035}"/>
      </w:docPartPr>
      <w:docPartBody>
        <w:p w:rsidR="00820808" w:rsidRDefault="003026EE">
          <w:pPr>
            <w:pStyle w:val="3754C2D12774457C8AC878BFF218756A"/>
          </w:pPr>
          <w:r>
            <w:t xml:space="preserve"> </w:t>
          </w:r>
        </w:p>
      </w:docPartBody>
    </w:docPart>
    <w:docPart>
      <w:docPartPr>
        <w:name w:val="30C15A4AC76942DDB09FB036A6990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F33A6-B163-4F4D-B34B-655850D75E7A}"/>
      </w:docPartPr>
      <w:docPartBody>
        <w:p w:rsidR="000518DA" w:rsidRDefault="000518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EE"/>
    <w:rsid w:val="000518DA"/>
    <w:rsid w:val="001A3B1D"/>
    <w:rsid w:val="003026EE"/>
    <w:rsid w:val="00820808"/>
    <w:rsid w:val="00D8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2DE4BE6A66437AA21C34ACDBAAC709">
    <w:name w:val="A02DE4BE6A66437AA21C34ACDBAAC709"/>
  </w:style>
  <w:style w:type="paragraph" w:customStyle="1" w:styleId="BF302250F7A44CF6BB29079F04775081">
    <w:name w:val="BF302250F7A44CF6BB29079F0477508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F677406F55E484792844573BC2F6871">
    <w:name w:val="3F677406F55E484792844573BC2F6871"/>
  </w:style>
  <w:style w:type="paragraph" w:customStyle="1" w:styleId="F0D07149D86F45768C94E5123E0CB1E1">
    <w:name w:val="F0D07149D86F45768C94E5123E0CB1E1"/>
  </w:style>
  <w:style w:type="paragraph" w:customStyle="1" w:styleId="F904896F0A5B4D08A57210CCCFFECF1D">
    <w:name w:val="F904896F0A5B4D08A57210CCCFFECF1D"/>
  </w:style>
  <w:style w:type="paragraph" w:customStyle="1" w:styleId="22D8B987D23E46FBA1117A7E1F78D6F3">
    <w:name w:val="22D8B987D23E46FBA1117A7E1F78D6F3"/>
  </w:style>
  <w:style w:type="paragraph" w:customStyle="1" w:styleId="2415B084D4914C97AA7E3F4D37FCDD80">
    <w:name w:val="2415B084D4914C97AA7E3F4D37FCDD80"/>
  </w:style>
  <w:style w:type="paragraph" w:customStyle="1" w:styleId="3754C2D12774457C8AC878BFF218756A">
    <w:name w:val="3754C2D12774457C8AC878BFF2187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ACD27-8367-423C-BD4D-A2E003805AF2}"/>
</file>

<file path=customXml/itemProps2.xml><?xml version="1.0" encoding="utf-8"?>
<ds:datastoreItem xmlns:ds="http://schemas.openxmlformats.org/officeDocument/2006/customXml" ds:itemID="{B3FC3B13-0613-48BE-8908-750398785D78}"/>
</file>

<file path=customXml/itemProps3.xml><?xml version="1.0" encoding="utf-8"?>
<ds:datastoreItem xmlns:ds="http://schemas.openxmlformats.org/officeDocument/2006/customXml" ds:itemID="{4C191FC3-6771-428A-9368-600E93F42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1700</Characters>
  <Application>Microsoft Office Word</Application>
  <DocSecurity>0</DocSecurity>
  <Lines>68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  2021 22 252 Extra ändringsbudget för 2022   Stöd till jordbruket och fiskerinäringen samt  kompensation för höga energipriser</vt:lpstr>
      <vt:lpstr>
      </vt:lpstr>
    </vt:vector>
  </TitlesOfParts>
  <Company>Sveriges riksdag</Company>
  <LinksUpToDate>false</LinksUpToDate>
  <CharactersWithSpaces>1960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