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A549D3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06251F">
              <w:rPr>
                <w:b/>
              </w:rPr>
              <w:t>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8395C2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A62EAF">
              <w:t>09-18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AFAFBC8" w:rsidR="0096348C" w:rsidRPr="006D30FA" w:rsidRDefault="009476AF" w:rsidP="00AF3CA6">
            <w:pPr>
              <w:ind w:right="-269"/>
            </w:pPr>
            <w:r w:rsidRPr="006D30FA">
              <w:t>K</w:t>
            </w:r>
            <w:r w:rsidR="00111135" w:rsidRPr="006D30FA">
              <w:t>l</w:t>
            </w:r>
            <w:r w:rsidRPr="006D30FA">
              <w:t>.</w:t>
            </w:r>
            <w:r w:rsidR="002349AE" w:rsidRPr="006D30FA">
              <w:t xml:space="preserve"> </w:t>
            </w:r>
            <w:r w:rsidR="00A62EAF" w:rsidRPr="006D30FA">
              <w:t>10.30-</w:t>
            </w:r>
            <w:r w:rsidR="006D30FA" w:rsidRPr="006D30FA">
              <w:t>11.58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597F5A0E" w14:textId="1A5DC700" w:rsidR="002A3730" w:rsidRPr="00B00063" w:rsidRDefault="00A62EAF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Granskningsrapporter</w:t>
            </w:r>
            <w:r w:rsidR="00633644">
              <w:rPr>
                <w:b/>
                <w:szCs w:val="24"/>
              </w:rPr>
              <w:br/>
            </w:r>
            <w:r w:rsidR="00633644" w:rsidRPr="00B00063">
              <w:rPr>
                <w:bCs/>
                <w:szCs w:val="24"/>
              </w:rPr>
              <w:t>Riksrevisor Christina</w:t>
            </w:r>
            <w:r w:rsidR="00B00063">
              <w:rPr>
                <w:bCs/>
                <w:szCs w:val="24"/>
              </w:rPr>
              <w:t xml:space="preserve"> Gellerbrant</w:t>
            </w:r>
            <w:r w:rsidR="00633644" w:rsidRPr="00B00063">
              <w:rPr>
                <w:bCs/>
                <w:szCs w:val="24"/>
              </w:rPr>
              <w:t xml:space="preserve"> Hagberg</w:t>
            </w:r>
            <w:r w:rsidR="00633644">
              <w:rPr>
                <w:b/>
                <w:szCs w:val="24"/>
              </w:rPr>
              <w:t xml:space="preserve"> </w:t>
            </w:r>
            <w:r w:rsidR="00B00063" w:rsidRPr="00B00063">
              <w:rPr>
                <w:bCs/>
                <w:szCs w:val="24"/>
              </w:rPr>
              <w:t>med medarbetare</w:t>
            </w:r>
            <w:r w:rsidR="00B00063">
              <w:rPr>
                <w:b/>
                <w:szCs w:val="24"/>
              </w:rPr>
              <w:t xml:space="preserve"> </w:t>
            </w:r>
            <w:r w:rsidR="00B00063" w:rsidRPr="00B00063">
              <w:rPr>
                <w:bCs/>
                <w:szCs w:val="24"/>
              </w:rPr>
              <w:t>från Riksrevisionen informerade om tre granskningsrapporter:</w:t>
            </w:r>
          </w:p>
          <w:p w14:paraId="1C01DB58" w14:textId="77777777" w:rsidR="00B00063" w:rsidRDefault="00B00063" w:rsidP="002A3730">
            <w:pPr>
              <w:outlineLvl w:val="0"/>
              <w:rPr>
                <w:bCs/>
                <w:szCs w:val="24"/>
              </w:rPr>
            </w:pPr>
          </w:p>
          <w:p w14:paraId="523DC105" w14:textId="77777777" w:rsidR="00B00063" w:rsidRDefault="00B00063" w:rsidP="00B00063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  <w:rPr>
                <w:bCs/>
              </w:rPr>
            </w:pPr>
            <w:r w:rsidRPr="00312424">
              <w:rPr>
                <w:bCs/>
              </w:rPr>
              <w:t>Avgiftsbelagda tjänster – risk för ineffektivitet när myndigheter bestämmer och disponerar avgifterna (R</w:t>
            </w:r>
            <w:r>
              <w:rPr>
                <w:bCs/>
              </w:rPr>
              <w:t>i</w:t>
            </w:r>
            <w:r w:rsidRPr="00312424">
              <w:rPr>
                <w:bCs/>
              </w:rPr>
              <w:t>R 2025:9)</w:t>
            </w:r>
          </w:p>
          <w:p w14:paraId="1439FFC4" w14:textId="77777777" w:rsidR="00B00063" w:rsidRDefault="00B00063" w:rsidP="00B00063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  <w:rPr>
                <w:bCs/>
              </w:rPr>
            </w:pPr>
            <w:r>
              <w:rPr>
                <w:bCs/>
              </w:rPr>
              <w:t>Kostsam kvadratjakt – statens användning och anskaffning av kontorslokaler (RiR 2025:17)</w:t>
            </w:r>
          </w:p>
          <w:p w14:paraId="49C09703" w14:textId="312569BA" w:rsidR="00B00063" w:rsidRPr="00B00063" w:rsidRDefault="00B00063" w:rsidP="00B00063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  <w:rPr>
                <w:bCs/>
              </w:rPr>
            </w:pPr>
            <w:r>
              <w:rPr>
                <w:bCs/>
              </w:rPr>
              <w:t>Generella statsbidrag som stabiliseringspolitiskt instrument (RiR 2025:19)</w:t>
            </w:r>
            <w:r w:rsidRPr="00312424">
              <w:rPr>
                <w:bCs/>
              </w:rPr>
              <w:br/>
            </w:r>
          </w:p>
        </w:tc>
      </w:tr>
      <w:tr w:rsidR="00A62EAF" w14:paraId="6E25097F" w14:textId="77777777" w:rsidTr="008035C8">
        <w:tc>
          <w:tcPr>
            <w:tcW w:w="567" w:type="dxa"/>
          </w:tcPr>
          <w:p w14:paraId="71DAE58F" w14:textId="0B2D0250" w:rsidR="00A62EAF" w:rsidRDefault="00633644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502DB079" w14:textId="48B0B26F" w:rsidR="00A9134D" w:rsidRDefault="00633644" w:rsidP="00A9134D">
            <w:pPr>
              <w:outlineLvl w:val="0"/>
              <w:rPr>
                <w:bCs/>
              </w:rPr>
            </w:pPr>
            <w:r>
              <w:rPr>
                <w:b/>
                <w:szCs w:val="24"/>
              </w:rPr>
              <w:t>MFF-förordningen</w:t>
            </w:r>
            <w:r w:rsidR="00BF22AB">
              <w:rPr>
                <w:b/>
                <w:szCs w:val="24"/>
              </w:rPr>
              <w:br/>
            </w:r>
            <w:r w:rsidR="00BF22AB">
              <w:rPr>
                <w:bCs/>
                <w:szCs w:val="24"/>
              </w:rPr>
              <w:t>Utskottet överlade med statssekreteraren Christian Danielsson, biträdd av medarbetare från Statsrådsberedningen</w:t>
            </w:r>
            <w:r w:rsidR="009605B9">
              <w:rPr>
                <w:bCs/>
                <w:szCs w:val="24"/>
              </w:rPr>
              <w:t xml:space="preserve"> </w:t>
            </w:r>
            <w:r w:rsidR="009605B9">
              <w:rPr>
                <w:bCs/>
              </w:rPr>
              <w:t>och Finansdepartementet</w:t>
            </w:r>
            <w:r w:rsidR="00BF22AB">
              <w:rPr>
                <w:bCs/>
                <w:szCs w:val="24"/>
              </w:rPr>
              <w:t>.</w:t>
            </w:r>
            <w:r w:rsidR="00BF22AB">
              <w:rPr>
                <w:bCs/>
                <w:szCs w:val="24"/>
              </w:rPr>
              <w:br/>
            </w:r>
            <w:r w:rsidR="00BF22AB">
              <w:rPr>
                <w:bCs/>
                <w:szCs w:val="24"/>
              </w:rPr>
              <w:br/>
              <w:t xml:space="preserve">Underlaget utgjordes av </w:t>
            </w:r>
            <w:r w:rsidR="006B7568">
              <w:rPr>
                <w:bCs/>
                <w:szCs w:val="24"/>
              </w:rPr>
              <w:t>Regeringskansliets faktapromemoria 2025/</w:t>
            </w:r>
            <w:proofErr w:type="gramStart"/>
            <w:r w:rsidR="006B7568">
              <w:rPr>
                <w:bCs/>
                <w:szCs w:val="24"/>
              </w:rPr>
              <w:t>26:FPM</w:t>
            </w:r>
            <w:proofErr w:type="gramEnd"/>
            <w:r w:rsidR="006B7568">
              <w:rPr>
                <w:bCs/>
                <w:szCs w:val="24"/>
              </w:rPr>
              <w:t>3 (dnr 15–2025/26).</w:t>
            </w:r>
            <w:r w:rsidR="006B7568">
              <w:rPr>
                <w:bCs/>
                <w:szCs w:val="24"/>
              </w:rPr>
              <w:br/>
            </w:r>
            <w:r w:rsidR="006B7568">
              <w:rPr>
                <w:bCs/>
                <w:szCs w:val="24"/>
              </w:rPr>
              <w:br/>
            </w:r>
            <w:r w:rsidR="006B7568" w:rsidRPr="006B7568">
              <w:rPr>
                <w:bCs/>
                <w:szCs w:val="24"/>
              </w:rPr>
              <w:t>Statssekreteraren</w:t>
            </w:r>
            <w:r w:rsidR="00B72D27">
              <w:rPr>
                <w:bCs/>
                <w:szCs w:val="24"/>
              </w:rPr>
              <w:t xml:space="preserve"> </w:t>
            </w:r>
            <w:r w:rsidR="006B7568">
              <w:rPr>
                <w:bCs/>
                <w:szCs w:val="24"/>
              </w:rPr>
              <w:t>redogjorde för regeringens ståndpunkt i enlighet med faktapromemorian</w:t>
            </w:r>
            <w:r w:rsidR="00A9134D">
              <w:rPr>
                <w:bCs/>
                <w:szCs w:val="24"/>
              </w:rPr>
              <w:t>, se bilaga 2.</w:t>
            </w:r>
            <w:r w:rsidR="00A9134D">
              <w:rPr>
                <w:bCs/>
                <w:szCs w:val="24"/>
              </w:rPr>
              <w:br/>
            </w:r>
            <w:r w:rsidR="00A9134D">
              <w:rPr>
                <w:bCs/>
                <w:szCs w:val="24"/>
              </w:rPr>
              <w:br/>
            </w:r>
            <w:r w:rsidR="00A9134D" w:rsidRPr="00AB3BD6">
              <w:rPr>
                <w:bCs/>
                <w:szCs w:val="24"/>
              </w:rPr>
              <w:t xml:space="preserve">Ordföranden konstaterade att det </w:t>
            </w:r>
            <w:r w:rsidR="00A9134D" w:rsidRPr="00AB3BD6">
              <w:rPr>
                <w:bCs/>
              </w:rPr>
              <w:t>fanns stöd för regeringens ståndpunkt.</w:t>
            </w:r>
            <w:r w:rsidR="00106A8D">
              <w:rPr>
                <w:bCs/>
              </w:rPr>
              <w:br/>
            </w:r>
            <w:r w:rsidR="00AB3BD6">
              <w:rPr>
                <w:bCs/>
              </w:rPr>
              <w:br/>
            </w:r>
            <w:r w:rsidR="00106A8D">
              <w:rPr>
                <w:bCs/>
              </w:rPr>
              <w:t>V-ledamoten anmälde följande avvikande ståndpunkt:</w:t>
            </w:r>
          </w:p>
          <w:p w14:paraId="457ED1B2" w14:textId="2D3F7467" w:rsidR="00024C14" w:rsidRDefault="00024C14" w:rsidP="00A9134D">
            <w:pPr>
              <w:outlineLvl w:val="0"/>
              <w:rPr>
                <w:bCs/>
              </w:rPr>
            </w:pPr>
          </w:p>
          <w:p w14:paraId="0DAD0FCA" w14:textId="77777777" w:rsidR="00024C14" w:rsidRPr="004E7A4B" w:rsidRDefault="00024C14" w:rsidP="00024C14">
            <w:pPr>
              <w:ind w:left="429"/>
              <w:rPr>
                <w:sz w:val="22"/>
                <w:szCs w:val="22"/>
              </w:rPr>
            </w:pPr>
            <w:r w:rsidRPr="004E7A4B">
              <w:rPr>
                <w:sz w:val="22"/>
                <w:szCs w:val="22"/>
              </w:rPr>
              <w:t xml:space="preserve">Jag anser att följande mening i regeringens ståndpunkt bör strykas, då jag inte stödjer EU:s migrations- och asylpakt. Människosmuggling och människohandel ska bekämpas men kan inneslutas i meningen innan om bekämpande av gränsöverskridande kriminalitet: </w:t>
            </w:r>
          </w:p>
          <w:p w14:paraId="43436544" w14:textId="77777777" w:rsidR="00024C14" w:rsidRPr="004E7A4B" w:rsidRDefault="00024C14" w:rsidP="00024C14">
            <w:pPr>
              <w:rPr>
                <w:sz w:val="22"/>
                <w:szCs w:val="22"/>
              </w:rPr>
            </w:pPr>
          </w:p>
          <w:p w14:paraId="0B90B3FA" w14:textId="77777777" w:rsidR="00024C14" w:rsidRPr="004E7A4B" w:rsidRDefault="00024C14" w:rsidP="00024C14">
            <w:pPr>
              <w:ind w:left="429"/>
              <w:rPr>
                <w:i/>
                <w:iCs/>
                <w:sz w:val="22"/>
                <w:szCs w:val="22"/>
              </w:rPr>
            </w:pPr>
            <w:r w:rsidRPr="004E7A4B">
              <w:rPr>
                <w:i/>
                <w:iCs/>
                <w:sz w:val="22"/>
                <w:szCs w:val="22"/>
              </w:rPr>
              <w:t>Den ska understödja att migrations- och asylpakten genomförs fullt ut och utvecklingen av partnerskap mellan EU och tredjeland för att förebygga irreguljär migration, öka återvändandet och bekämpa människosmuggling och människohandel.</w:t>
            </w:r>
          </w:p>
          <w:p w14:paraId="4955423B" w14:textId="77777777" w:rsidR="00024C14" w:rsidRPr="004E7A4B" w:rsidRDefault="00024C14" w:rsidP="00024C14">
            <w:pPr>
              <w:rPr>
                <w:sz w:val="22"/>
                <w:szCs w:val="22"/>
              </w:rPr>
            </w:pPr>
          </w:p>
          <w:p w14:paraId="76616BFB" w14:textId="77777777" w:rsidR="00024C14" w:rsidRDefault="00024C14" w:rsidP="00A9134D">
            <w:pPr>
              <w:outlineLvl w:val="0"/>
              <w:rPr>
                <w:bCs/>
              </w:rPr>
            </w:pPr>
          </w:p>
          <w:p w14:paraId="2DA1794E" w14:textId="26B77C1B" w:rsidR="00106A8D" w:rsidRDefault="00106A8D" w:rsidP="00A9134D">
            <w:pPr>
              <w:outlineLvl w:val="0"/>
              <w:rPr>
                <w:bCs/>
              </w:rPr>
            </w:pPr>
          </w:p>
          <w:p w14:paraId="6820D852" w14:textId="77777777" w:rsidR="00106A8D" w:rsidRDefault="00106A8D" w:rsidP="00A9134D">
            <w:pPr>
              <w:outlineLvl w:val="0"/>
              <w:rPr>
                <w:b/>
                <w:szCs w:val="24"/>
              </w:rPr>
            </w:pPr>
          </w:p>
          <w:p w14:paraId="3E8FEF3A" w14:textId="77777777" w:rsidR="00A62EAF" w:rsidRDefault="00C511EA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br/>
            </w:r>
          </w:p>
          <w:p w14:paraId="5833C278" w14:textId="77777777" w:rsidR="00024C14" w:rsidRDefault="00024C14" w:rsidP="002A3730">
            <w:pPr>
              <w:outlineLvl w:val="0"/>
              <w:rPr>
                <w:bCs/>
                <w:szCs w:val="24"/>
              </w:rPr>
            </w:pPr>
          </w:p>
          <w:p w14:paraId="4163FD9D" w14:textId="77777777" w:rsidR="00024C14" w:rsidRDefault="00024C14" w:rsidP="002A3730">
            <w:pPr>
              <w:outlineLvl w:val="0"/>
              <w:rPr>
                <w:bCs/>
                <w:szCs w:val="24"/>
              </w:rPr>
            </w:pPr>
          </w:p>
          <w:p w14:paraId="47B6C1A7" w14:textId="77777777" w:rsidR="00024C14" w:rsidRDefault="00024C14" w:rsidP="002A3730">
            <w:pPr>
              <w:outlineLvl w:val="0"/>
              <w:rPr>
                <w:bCs/>
                <w:szCs w:val="24"/>
              </w:rPr>
            </w:pPr>
          </w:p>
          <w:p w14:paraId="75A5A12C" w14:textId="34053B0A" w:rsidR="00024C14" w:rsidRPr="00C511EA" w:rsidRDefault="00024C14" w:rsidP="002A3730">
            <w:pPr>
              <w:outlineLvl w:val="0"/>
              <w:rPr>
                <w:bCs/>
                <w:szCs w:val="24"/>
              </w:rPr>
            </w:pPr>
          </w:p>
        </w:tc>
      </w:tr>
      <w:tr w:rsidR="00A62EAF" w14:paraId="7A6400D6" w14:textId="77777777" w:rsidTr="008035C8">
        <w:tc>
          <w:tcPr>
            <w:tcW w:w="567" w:type="dxa"/>
          </w:tcPr>
          <w:p w14:paraId="1875FC3B" w14:textId="0990311C" w:rsidR="00A62EAF" w:rsidRDefault="00633644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7655" w:type="dxa"/>
          </w:tcPr>
          <w:p w14:paraId="45664D49" w14:textId="221C16CB" w:rsidR="00FD72D3" w:rsidRDefault="00633644" w:rsidP="00BC53CF">
            <w:pPr>
              <w:pStyle w:val="Default"/>
              <w:rPr>
                <w:bCs/>
              </w:rPr>
            </w:pPr>
            <w:r>
              <w:rPr>
                <w:b/>
              </w:rPr>
              <w:t>Egna medel</w:t>
            </w:r>
            <w:r w:rsidR="00AB3BD6">
              <w:rPr>
                <w:b/>
              </w:rPr>
              <w:br/>
            </w:r>
            <w:r w:rsidR="00AB3BD6">
              <w:rPr>
                <w:bCs/>
              </w:rPr>
              <w:t>Utskottet överlade med statssekreteraren Christian Danielsson, biträdd av medarbetare från Statsrådsberedningen</w:t>
            </w:r>
            <w:r w:rsidR="009605B9">
              <w:rPr>
                <w:bCs/>
              </w:rPr>
              <w:t xml:space="preserve"> och Finansdepartementet</w:t>
            </w:r>
            <w:r w:rsidR="00AB3BD6">
              <w:rPr>
                <w:bCs/>
              </w:rPr>
              <w:t>.</w:t>
            </w:r>
            <w:r w:rsidR="00AB3BD6">
              <w:rPr>
                <w:bCs/>
              </w:rPr>
              <w:br/>
            </w:r>
            <w:r w:rsidR="00AB3BD6">
              <w:rPr>
                <w:b/>
              </w:rPr>
              <w:br/>
            </w:r>
            <w:r w:rsidR="00AB3BD6">
              <w:rPr>
                <w:bCs/>
              </w:rPr>
              <w:t>Underlaget utgjordes av Regeringskansliets faktapromemoria 2025/</w:t>
            </w:r>
            <w:proofErr w:type="gramStart"/>
            <w:r w:rsidR="00AB3BD6">
              <w:rPr>
                <w:bCs/>
              </w:rPr>
              <w:t>26:FPM</w:t>
            </w:r>
            <w:proofErr w:type="gramEnd"/>
            <w:r w:rsidR="00AB3BD6">
              <w:rPr>
                <w:bCs/>
              </w:rPr>
              <w:t>4 (dnr 15–2025/26).</w:t>
            </w:r>
            <w:r w:rsidR="00AB3BD6">
              <w:rPr>
                <w:bCs/>
              </w:rPr>
              <w:br/>
            </w:r>
            <w:r w:rsidR="00AB3BD6">
              <w:rPr>
                <w:b/>
              </w:rPr>
              <w:br/>
            </w:r>
            <w:r w:rsidR="00AB3BD6" w:rsidRPr="006B7568">
              <w:rPr>
                <w:bCs/>
              </w:rPr>
              <w:t>Statssekreteraren</w:t>
            </w:r>
            <w:r w:rsidR="00AB3BD6">
              <w:rPr>
                <w:bCs/>
              </w:rPr>
              <w:t xml:space="preserve"> redogjorde för regeringens ståndpunkt i enlighet med faktapromemorian:</w:t>
            </w:r>
            <w:r w:rsidR="00AB3BD6">
              <w:rPr>
                <w:bCs/>
              </w:rPr>
              <w:br/>
            </w:r>
            <w:r w:rsidR="00AB3BD6">
              <w:rPr>
                <w:bCs/>
              </w:rPr>
              <w:br/>
            </w:r>
          </w:p>
          <w:p w14:paraId="7C41F09D" w14:textId="77777777" w:rsidR="00FD72D3" w:rsidRPr="004E7A4B" w:rsidRDefault="00AB3BD6" w:rsidP="00FD72D3">
            <w:pPr>
              <w:pStyle w:val="Default"/>
              <w:ind w:left="288"/>
              <w:rPr>
                <w:b/>
                <w:sz w:val="22"/>
                <w:szCs w:val="22"/>
              </w:rPr>
            </w:pPr>
            <w:r w:rsidRPr="004E7A4B">
              <w:rPr>
                <w:bCs/>
                <w:sz w:val="22"/>
                <w:szCs w:val="22"/>
              </w:rPr>
              <w:t>Regeringens st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ndpunkter avseende 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vergripande principer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den fler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riga budgetramen och dess storlek, inklusive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enskilda fonder och program, behandlas i faktapromemoria 2025/</w:t>
            </w:r>
            <w:proofErr w:type="gramStart"/>
            <w:r w:rsidRPr="004E7A4B">
              <w:rPr>
                <w:bCs/>
                <w:sz w:val="22"/>
                <w:szCs w:val="22"/>
              </w:rPr>
              <w:t>26:FPM</w:t>
            </w:r>
            <w:proofErr w:type="gramEnd"/>
            <w:r w:rsidRPr="004E7A4B">
              <w:rPr>
                <w:bCs/>
                <w:sz w:val="22"/>
                <w:szCs w:val="22"/>
              </w:rPr>
              <w:t xml:space="preserve">3. </w:t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t xml:space="preserve">Regeringen ser inget principiellt behov av, och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 kritisk till, nya komponenter i systemet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 xml:space="preserve">r EU:s egna medel. Det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 enligt regeringen inte ett sj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lv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ndam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l att minska BNI-andelen i int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 xml:space="preserve">ktsmixen. </w:t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t xml:space="preserve">Regeringen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 vidare principiellt emot att befogenheter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skatteomr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det flyttas fr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n medlemsstaterna till EU-niv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n och detsamma g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ller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rfogander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 xml:space="preserve">tten 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ver skatteint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kterna. Regeringen mots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tter sig att det inf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rs nya egna medel baserade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skattebaser. </w:t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="00BC53CF"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t>Regeringen v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rnar om konkurrenskraften gentemot akt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rer i tredje land.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retag i EU som redan har det sv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rt i en os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ker konjunktur ska inte vara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rem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l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 xml:space="preserve">r en 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 xml:space="preserve">kad ekonomisk belastning. </w:t>
            </w:r>
            <w:r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br/>
              <w:t xml:space="preserve">Regeringen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 positiv till att systemet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EU:s int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kter fortsatt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resl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s baseras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allm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nna int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kter under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rhand fastslagna int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 xml:space="preserve">ktstak. </w:t>
            </w:r>
            <w:r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br/>
              <w:t>Regeringen anser att den svenska EU-avgiften ska h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llas nere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l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ng sikt. Regelverket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systemet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egna medel b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d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inte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ndras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ett s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dant s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 xml:space="preserve">tt att Sveriges betalningsandel 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 xml:space="preserve">kar. </w:t>
            </w:r>
            <w:r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br/>
              <w:t>Systemet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EU:s egna medel och EU:s fler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riga budgetram ska vara utformade s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att de fr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mjar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rutsebarhet, transparens, m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jlighet till ansvarsutkr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 xml:space="preserve">vande,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ndam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lsenlighet och budgetrestriktivitet. </w:t>
            </w:r>
            <w:r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br/>
              <w:t xml:space="preserve">Regeringen anser att ett rabattsystem som minskar vissa medlemsstaters BNI-baserade avgifter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 motiverat och ska v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rnas. Eventuella rabatter p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 medlemsstaternas 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taganden inom systemet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egna medel b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 xml:space="preserve">r regleras genom en reduktion av de BNI-baserade 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tagandena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att v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rna systemets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 xml:space="preserve">rutsebarhet och transparens. </w:t>
            </w:r>
            <w:r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br/>
              <w:t>Regeringen delar inte kommissionens bed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mning att nya egna medel minskar medlemsstaternas b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rda och till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ter 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terbetalning av NGEU parallellt med en h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llbar finansiering av EU-program. 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terbetalningen av NGEU b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enligt regeringen i st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 xml:space="preserve">llet finansieras genom omprioriteringar. </w:t>
            </w:r>
            <w:r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sz w:val="22"/>
                <w:szCs w:val="22"/>
              </w:rPr>
              <w:br/>
              <w:t xml:space="preserve">Regeringen </w:t>
            </w:r>
            <w:r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Pr="004E7A4B">
              <w:rPr>
                <w:bCs/>
                <w:sz w:val="22"/>
                <w:szCs w:val="22"/>
              </w:rPr>
              <w:t>r emot ny gemensam uppl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ning och att ett krisinstrument med separat egna </w:t>
            </w:r>
            <w:proofErr w:type="spellStart"/>
            <w:r w:rsidRPr="004E7A4B">
              <w:rPr>
                <w:bCs/>
                <w:sz w:val="22"/>
                <w:szCs w:val="22"/>
              </w:rPr>
              <w:t>medelstak</w:t>
            </w:r>
            <w:proofErr w:type="spellEnd"/>
            <w:r w:rsidRPr="004E7A4B">
              <w:rPr>
                <w:bCs/>
                <w:sz w:val="22"/>
                <w:szCs w:val="22"/>
              </w:rPr>
              <w:t xml:space="preserve"> inf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rs.</w:t>
            </w:r>
            <w:r w:rsidRPr="004E7A4B">
              <w:rPr>
                <w:bCs/>
                <w:sz w:val="22"/>
                <w:szCs w:val="22"/>
              </w:rPr>
              <w:br/>
            </w:r>
          </w:p>
          <w:p w14:paraId="30D0771E" w14:textId="77777777" w:rsidR="00FD72D3" w:rsidRDefault="00FD72D3" w:rsidP="00FD72D3">
            <w:pPr>
              <w:pStyle w:val="Default"/>
              <w:ind w:left="288"/>
              <w:rPr>
                <w:b/>
              </w:rPr>
            </w:pPr>
          </w:p>
          <w:p w14:paraId="2E672758" w14:textId="77777777" w:rsidR="00A011F4" w:rsidRDefault="00A011F4" w:rsidP="00BC53CF">
            <w:pPr>
              <w:pStyle w:val="Default"/>
              <w:rPr>
                <w:bCs/>
              </w:rPr>
            </w:pPr>
            <w:r w:rsidRPr="00AB3BD6">
              <w:rPr>
                <w:bCs/>
              </w:rPr>
              <w:t>Ordföranden konstaterade att det fanns stöd för regeringens ståndpunkt.</w:t>
            </w:r>
            <w:r>
              <w:rPr>
                <w:bCs/>
              </w:rPr>
              <w:br/>
            </w:r>
          </w:p>
          <w:p w14:paraId="00D0FA19" w14:textId="77777777" w:rsidR="004E7A4B" w:rsidRDefault="004E7A4B" w:rsidP="00BC53CF">
            <w:pPr>
              <w:pStyle w:val="Default"/>
              <w:rPr>
                <w:bCs/>
              </w:rPr>
            </w:pPr>
          </w:p>
          <w:p w14:paraId="015A25AD" w14:textId="465D3542" w:rsidR="004E7A4B" w:rsidRPr="00AB3BD6" w:rsidRDefault="004E7A4B" w:rsidP="00BC53CF">
            <w:pPr>
              <w:pStyle w:val="Default"/>
              <w:rPr>
                <w:bCs/>
              </w:rPr>
            </w:pPr>
          </w:p>
        </w:tc>
      </w:tr>
      <w:tr w:rsidR="00A62EAF" w14:paraId="137C349D" w14:textId="77777777" w:rsidTr="008035C8">
        <w:tc>
          <w:tcPr>
            <w:tcW w:w="567" w:type="dxa"/>
          </w:tcPr>
          <w:p w14:paraId="17CC8FAC" w14:textId="592E059F" w:rsidR="00A62EAF" w:rsidRDefault="00633644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655" w:type="dxa"/>
          </w:tcPr>
          <w:p w14:paraId="03DEE05E" w14:textId="3D17904B" w:rsidR="00B736BF" w:rsidRDefault="00633644" w:rsidP="004E7A4B">
            <w:pPr>
              <w:outlineLvl w:val="0"/>
              <w:rPr>
                <w:bCs/>
                <w:szCs w:val="24"/>
              </w:rPr>
            </w:pPr>
            <w:r w:rsidRPr="00B1481F">
              <w:rPr>
                <w:b/>
                <w:szCs w:val="24"/>
              </w:rPr>
              <w:t>Genomföranderamverket</w:t>
            </w:r>
            <w:r w:rsidRPr="00B1481F">
              <w:rPr>
                <w:b/>
                <w:szCs w:val="24"/>
              </w:rPr>
              <w:br/>
            </w:r>
            <w:r w:rsidR="009605B9">
              <w:rPr>
                <w:bCs/>
                <w:szCs w:val="24"/>
              </w:rPr>
              <w:t>Utskottet överlade med statssekreteraren Christian Danielsson, biträdd av medarbetare från Statsrådsberedningen</w:t>
            </w:r>
            <w:r w:rsidR="005A3E13">
              <w:rPr>
                <w:bCs/>
                <w:szCs w:val="24"/>
              </w:rPr>
              <w:t xml:space="preserve"> och Finansdepartementet</w:t>
            </w:r>
            <w:r w:rsidR="009605B9">
              <w:rPr>
                <w:bCs/>
                <w:szCs w:val="24"/>
              </w:rPr>
              <w:t>.</w:t>
            </w:r>
            <w:r w:rsidR="009605B9">
              <w:rPr>
                <w:bCs/>
                <w:szCs w:val="24"/>
              </w:rPr>
              <w:br/>
            </w:r>
            <w:r w:rsidR="009605B9" w:rsidRPr="005A3E13">
              <w:rPr>
                <w:bCs/>
                <w:szCs w:val="24"/>
              </w:rPr>
              <w:br/>
            </w:r>
            <w:r w:rsidR="009605B9">
              <w:rPr>
                <w:bCs/>
                <w:szCs w:val="24"/>
              </w:rPr>
              <w:t>Underlaget utgjordes av Regeringskansliets faktapromemoria 2025/</w:t>
            </w:r>
            <w:proofErr w:type="gramStart"/>
            <w:r w:rsidR="009605B9">
              <w:rPr>
                <w:bCs/>
                <w:szCs w:val="24"/>
              </w:rPr>
              <w:t>26:FPM</w:t>
            </w:r>
            <w:proofErr w:type="gramEnd"/>
            <w:r w:rsidR="009605B9">
              <w:rPr>
                <w:bCs/>
                <w:szCs w:val="24"/>
              </w:rPr>
              <w:t>5 (dnr 15–2025/26).</w:t>
            </w:r>
            <w:r w:rsidR="009605B9">
              <w:rPr>
                <w:bCs/>
                <w:szCs w:val="24"/>
              </w:rPr>
              <w:br/>
            </w:r>
            <w:r w:rsidR="009605B9">
              <w:rPr>
                <w:bCs/>
                <w:szCs w:val="24"/>
              </w:rPr>
              <w:br/>
            </w:r>
            <w:r w:rsidR="005A3E13" w:rsidRPr="006B7568">
              <w:rPr>
                <w:bCs/>
                <w:szCs w:val="24"/>
              </w:rPr>
              <w:t>Statssekreteraren</w:t>
            </w:r>
            <w:r w:rsidR="005A3E13">
              <w:rPr>
                <w:bCs/>
                <w:szCs w:val="24"/>
              </w:rPr>
              <w:t xml:space="preserve"> redogjorde för regeringens ståndpunkt i enlighet med faktapromemorian:</w:t>
            </w:r>
          </w:p>
          <w:p w14:paraId="22337AE3" w14:textId="77777777" w:rsidR="00B736BF" w:rsidRDefault="00B736BF" w:rsidP="005A3E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4EF74BD3" w14:textId="77777777" w:rsidR="00E00EFD" w:rsidRDefault="00E00EFD" w:rsidP="005A3E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7B7E06D6" w14:textId="21BC46DD" w:rsidR="005A3E13" w:rsidRPr="004E7A4B" w:rsidRDefault="005A3E13" w:rsidP="00E00EFD">
            <w:pPr>
              <w:widowControl/>
              <w:autoSpaceDE w:val="0"/>
              <w:autoSpaceDN w:val="0"/>
              <w:adjustRightInd w:val="0"/>
              <w:ind w:left="288"/>
              <w:rPr>
                <w:bCs/>
                <w:sz w:val="22"/>
                <w:szCs w:val="22"/>
              </w:rPr>
            </w:pPr>
            <w:r w:rsidRPr="004E7A4B">
              <w:rPr>
                <w:bCs/>
                <w:sz w:val="22"/>
                <w:szCs w:val="22"/>
              </w:rPr>
              <w:t>Regeringens st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 xml:space="preserve">ndpunkter avseende 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vergripande principer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den fler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riga budgetramen och dess storlek, inklusive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enskilda fonder och program, behandlas i faktapromemorian EU:s fler</w:t>
            </w:r>
            <w:r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Pr="004E7A4B">
              <w:rPr>
                <w:bCs/>
                <w:sz w:val="22"/>
                <w:szCs w:val="22"/>
              </w:rPr>
              <w:t>riga budgetram f</w:t>
            </w:r>
            <w:r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Pr="004E7A4B">
              <w:rPr>
                <w:bCs/>
                <w:sz w:val="22"/>
                <w:szCs w:val="22"/>
              </w:rPr>
              <w:t>r perioden 2028-2034 (2025/</w:t>
            </w:r>
            <w:proofErr w:type="gramStart"/>
            <w:r w:rsidRPr="004E7A4B">
              <w:rPr>
                <w:bCs/>
                <w:sz w:val="22"/>
                <w:szCs w:val="22"/>
              </w:rPr>
              <w:t>2026:FPM</w:t>
            </w:r>
            <w:proofErr w:type="gramEnd"/>
            <w:r w:rsidRPr="004E7A4B">
              <w:rPr>
                <w:bCs/>
                <w:sz w:val="22"/>
                <w:szCs w:val="22"/>
              </w:rPr>
              <w:t xml:space="preserve">3). </w:t>
            </w:r>
            <w:r w:rsidR="00B736BF" w:rsidRPr="004E7A4B">
              <w:rPr>
                <w:bCs/>
                <w:sz w:val="22"/>
                <w:szCs w:val="22"/>
              </w:rPr>
              <w:br/>
            </w:r>
          </w:p>
          <w:p w14:paraId="3CAAC08A" w14:textId="77777777" w:rsidR="005A3E13" w:rsidRPr="004E7A4B" w:rsidRDefault="005A3E13" w:rsidP="00E00EFD">
            <w:pPr>
              <w:pStyle w:val="Default"/>
              <w:ind w:left="288"/>
              <w:rPr>
                <w:bCs/>
                <w:color w:val="auto"/>
                <w:sz w:val="22"/>
                <w:szCs w:val="22"/>
              </w:rPr>
            </w:pPr>
            <w:r w:rsidRPr="004E7A4B">
              <w:rPr>
                <w:bCs/>
                <w:color w:val="auto"/>
                <w:sz w:val="22"/>
                <w:szCs w:val="22"/>
              </w:rPr>
              <w:t xml:space="preserve">Regeringen 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Pr="004E7A4B">
              <w:rPr>
                <w:bCs/>
                <w:color w:val="auto"/>
                <w:sz w:val="22"/>
                <w:szCs w:val="22"/>
              </w:rPr>
              <w:t>r i princip positiv till ett nytt genomf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Pr="004E7A4B">
              <w:rPr>
                <w:bCs/>
                <w:color w:val="auto"/>
                <w:sz w:val="22"/>
                <w:szCs w:val="22"/>
              </w:rPr>
              <w:t>randeramverk som bygger p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 xml:space="preserve"> prestationsbaserad budgetering. S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>dan budgetering och ett prestationsbaserat genomf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Pr="004E7A4B">
              <w:rPr>
                <w:bCs/>
                <w:color w:val="auto"/>
                <w:sz w:val="22"/>
                <w:szCs w:val="22"/>
              </w:rPr>
              <w:t>rande kan p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 xml:space="preserve"> vissa omr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>den inneb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Pr="004E7A4B">
              <w:rPr>
                <w:bCs/>
                <w:color w:val="auto"/>
                <w:sz w:val="22"/>
                <w:szCs w:val="22"/>
              </w:rPr>
              <w:t>ra flera f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Pr="004E7A4B">
              <w:rPr>
                <w:bCs/>
                <w:color w:val="auto"/>
                <w:sz w:val="22"/>
                <w:szCs w:val="22"/>
              </w:rPr>
              <w:t>rdelar. Det kr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Pr="004E7A4B">
              <w:rPr>
                <w:bCs/>
                <w:color w:val="auto"/>
                <w:sz w:val="22"/>
                <w:szCs w:val="22"/>
              </w:rPr>
              <w:t>ver dock att politiken utformas med relevanta m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 xml:space="preserve">l och 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Pr="004E7A4B">
              <w:rPr>
                <w:bCs/>
                <w:color w:val="auto"/>
                <w:sz w:val="22"/>
                <w:szCs w:val="22"/>
              </w:rPr>
              <w:t>ndam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 xml:space="preserve">lsenliga 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>tg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Pr="004E7A4B">
              <w:rPr>
                <w:bCs/>
                <w:color w:val="auto"/>
                <w:sz w:val="22"/>
                <w:szCs w:val="22"/>
              </w:rPr>
              <w:t xml:space="preserve">rder samt att ramverket dels </w:t>
            </w:r>
            <w:proofErr w:type="gramStart"/>
            <w:r w:rsidRPr="004E7A4B">
              <w:rPr>
                <w:bCs/>
                <w:color w:val="auto"/>
                <w:sz w:val="22"/>
                <w:szCs w:val="22"/>
              </w:rPr>
              <w:t>respekterar medlemsstaternas</w:t>
            </w:r>
            <w:proofErr w:type="gramEnd"/>
            <w:r w:rsidRPr="004E7A4B">
              <w:rPr>
                <w:bCs/>
                <w:color w:val="auto"/>
                <w:sz w:val="22"/>
                <w:szCs w:val="22"/>
              </w:rPr>
              <w:t xml:space="preserve"> finanspolitiska autonomi, dels blir proportionerligt i den grad det binder medlemsstaterna i f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Pr="004E7A4B">
              <w:rPr>
                <w:bCs/>
                <w:color w:val="auto"/>
                <w:sz w:val="22"/>
                <w:szCs w:val="22"/>
              </w:rPr>
              <w:t>rh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>llande till beroendet av EU-medel.</w:t>
            </w:r>
            <w:r w:rsidRPr="004E7A4B">
              <w:rPr>
                <w:bCs/>
                <w:color w:val="auto"/>
                <w:sz w:val="22"/>
                <w:szCs w:val="22"/>
              </w:rPr>
              <w:br/>
              <w:t>Relevanta l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Pr="004E7A4B">
              <w:rPr>
                <w:bCs/>
                <w:color w:val="auto"/>
                <w:sz w:val="22"/>
                <w:szCs w:val="22"/>
              </w:rPr>
              <w:t>rdomar beh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Pr="004E7A4B">
              <w:rPr>
                <w:bCs/>
                <w:color w:val="auto"/>
                <w:sz w:val="22"/>
                <w:szCs w:val="22"/>
              </w:rPr>
              <w:t>ver dras fr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Pr="004E7A4B">
              <w:rPr>
                <w:bCs/>
                <w:color w:val="auto"/>
                <w:sz w:val="22"/>
                <w:szCs w:val="22"/>
              </w:rPr>
              <w:t>n utformningen och genomf</w:t>
            </w:r>
            <w:r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Pr="004E7A4B">
              <w:rPr>
                <w:bCs/>
                <w:color w:val="auto"/>
                <w:sz w:val="22"/>
                <w:szCs w:val="22"/>
              </w:rPr>
              <w:t xml:space="preserve">randet av RRF. </w:t>
            </w:r>
          </w:p>
          <w:p w14:paraId="059DFC2C" w14:textId="18637F96" w:rsidR="005A3E13" w:rsidRPr="004E7A4B" w:rsidRDefault="0065632F" w:rsidP="00E00EFD">
            <w:pPr>
              <w:pStyle w:val="Default"/>
              <w:ind w:left="288"/>
              <w:rPr>
                <w:bCs/>
                <w:color w:val="auto"/>
                <w:sz w:val="22"/>
                <w:szCs w:val="22"/>
              </w:rPr>
            </w:pPr>
            <w:r w:rsidRPr="004E7A4B">
              <w:rPr>
                <w:bCs/>
                <w:color w:val="auto"/>
                <w:sz w:val="22"/>
                <w:szCs w:val="22"/>
              </w:rPr>
              <w:br/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Regeringen uppskattar ambitionen bakom den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reslagna till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mpningen och konkretiseringen av budgetf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rordningen, liksom att det gemensamma regelverket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unionens samtliga program och verksamheter samlas i en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rordning, samt att best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mmelser och indikatorer harmoniseras. Regeringen 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lkomnar vidare m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 som bidrar till att EU kan n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sina klimat- och milj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taganden.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rslaget inneb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samtidigt ett omfattande och detaljerat ramverk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uppf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ljning,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vervakning, rapportering och utv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rdering. Regeringen vill d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betona vikten av att till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mpningen av budgetf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rordningen inte str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cker sig l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ngre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n vad som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n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dv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ndigt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att uppn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dess syfte. Regeringen vill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ven betona vikten av att det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reslagna ramverket utformas p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ett 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dant 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tt att de inte inneb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en oproportionerlig administrativ b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rda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medlemsstaterna eller st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dmottagare. Balansen mellan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ndam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lsenlighet, effektivitet och kontroll beh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ver 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kerst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llas, 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att resurser i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rsta hand kan anv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ndas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att genomf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ra verksamheten och uppn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avsedda resultat, samtidigt som EU:s finansiella intressen skyddas. Det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samtidigt viktigt att 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kerst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lla att den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renkling som uppn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s genom harmonisering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 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 avv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gd, 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att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ruts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ttningarna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r en 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ndam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lsenlig uppf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ljning och utv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rdering av enskilda program inte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ä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mras.</w:t>
            </w:r>
            <w:r w:rsidR="005A3E13" w:rsidRPr="004E7A4B">
              <w:rPr>
                <w:bCs/>
                <w:sz w:val="22"/>
                <w:szCs w:val="22"/>
              </w:rPr>
              <w:br/>
            </w:r>
            <w:r w:rsidRPr="004E7A4B">
              <w:rPr>
                <w:bCs/>
                <w:color w:val="auto"/>
                <w:sz w:val="22"/>
                <w:szCs w:val="22"/>
              </w:rPr>
              <w:br/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Regeringen anser vidare att ett nytt ramverk beh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ver beakta skillnader i medlemsstaternas administrativa strukturer och f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rvaltningstraditioner. Ett nytt ramverk beh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ö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>ver ocks</w:t>
            </w:r>
            <w:r w:rsidR="005A3E13" w:rsidRPr="004E7A4B">
              <w:rPr>
                <w:rFonts w:hint="eastAsia"/>
                <w:bCs/>
                <w:color w:val="auto"/>
                <w:sz w:val="22"/>
                <w:szCs w:val="22"/>
              </w:rPr>
              <w:t>å</w:t>
            </w:r>
            <w:r w:rsidR="005A3E13" w:rsidRPr="004E7A4B">
              <w:rPr>
                <w:bCs/>
                <w:color w:val="auto"/>
                <w:sz w:val="22"/>
                <w:szCs w:val="22"/>
              </w:rPr>
              <w:t xml:space="preserve"> beakta den svenska arbetsmarknadsmodellen och parternas autonomi. </w:t>
            </w:r>
          </w:p>
          <w:p w14:paraId="44BF4787" w14:textId="77777777" w:rsidR="00B736BF" w:rsidRPr="004E7A4B" w:rsidRDefault="0065632F" w:rsidP="00E00EFD">
            <w:pPr>
              <w:ind w:left="288"/>
              <w:outlineLvl w:val="0"/>
              <w:rPr>
                <w:bCs/>
                <w:sz w:val="22"/>
                <w:szCs w:val="22"/>
              </w:rPr>
            </w:pPr>
            <w:r w:rsidRPr="004E7A4B">
              <w:rPr>
                <w:bCs/>
                <w:sz w:val="22"/>
                <w:szCs w:val="22"/>
              </w:rPr>
              <w:br/>
            </w:r>
            <w:r w:rsidR="005A3E13" w:rsidRPr="004E7A4B">
              <w:rPr>
                <w:bCs/>
                <w:sz w:val="22"/>
                <w:szCs w:val="22"/>
              </w:rPr>
              <w:t xml:space="preserve">Det 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r viktigt att ett tydligt ramverk fastst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lls fr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="005A3E13" w:rsidRPr="004E7A4B">
              <w:rPr>
                <w:bCs/>
                <w:sz w:val="22"/>
                <w:szCs w:val="22"/>
              </w:rPr>
              <w:t>n b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="005A3E13" w:rsidRPr="004E7A4B">
              <w:rPr>
                <w:bCs/>
                <w:sz w:val="22"/>
                <w:szCs w:val="22"/>
              </w:rPr>
              <w:t>rjan och att det medger att medlemsstaterna vidtar n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="005A3E13" w:rsidRPr="004E7A4B">
              <w:rPr>
                <w:bCs/>
                <w:sz w:val="22"/>
                <w:szCs w:val="22"/>
              </w:rPr>
              <w:t>dv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ndiga och proportionerliga f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="005A3E13" w:rsidRPr="004E7A4B">
              <w:rPr>
                <w:bCs/>
                <w:sz w:val="22"/>
                <w:szCs w:val="22"/>
              </w:rPr>
              <w:t>rvaltnings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="005A3E13" w:rsidRPr="004E7A4B">
              <w:rPr>
                <w:bCs/>
                <w:sz w:val="22"/>
                <w:szCs w:val="22"/>
              </w:rPr>
              <w:t>tg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rder f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="005A3E13" w:rsidRPr="004E7A4B">
              <w:rPr>
                <w:bCs/>
                <w:sz w:val="22"/>
                <w:szCs w:val="22"/>
              </w:rPr>
              <w:t>r ramverkets till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mpning. D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rmed skapas f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="005A3E13" w:rsidRPr="004E7A4B">
              <w:rPr>
                <w:bCs/>
                <w:sz w:val="22"/>
                <w:szCs w:val="22"/>
              </w:rPr>
              <w:t>ruts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gbarhet, m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ö</w:t>
            </w:r>
            <w:r w:rsidR="005A3E13" w:rsidRPr="004E7A4B">
              <w:rPr>
                <w:bCs/>
                <w:sz w:val="22"/>
                <w:szCs w:val="22"/>
              </w:rPr>
              <w:t>jligheter till en enhetlig tolkning av EU:s institutioner och ett minskat behov av v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ä</w:t>
            </w:r>
            <w:r w:rsidR="005A3E13" w:rsidRPr="004E7A4B">
              <w:rPr>
                <w:bCs/>
                <w:sz w:val="22"/>
                <w:szCs w:val="22"/>
              </w:rPr>
              <w:t>gledningar och delegerade akter fr</w:t>
            </w:r>
            <w:r w:rsidR="005A3E13" w:rsidRPr="004E7A4B">
              <w:rPr>
                <w:rFonts w:hint="eastAsia"/>
                <w:bCs/>
                <w:sz w:val="22"/>
                <w:szCs w:val="22"/>
              </w:rPr>
              <w:t>å</w:t>
            </w:r>
            <w:r w:rsidR="005A3E13" w:rsidRPr="004E7A4B">
              <w:rPr>
                <w:bCs/>
                <w:sz w:val="22"/>
                <w:szCs w:val="22"/>
              </w:rPr>
              <w:t>n kommissionen i ett senare skede.</w:t>
            </w:r>
            <w:r w:rsidR="005A3E13" w:rsidRPr="004E7A4B">
              <w:rPr>
                <w:bCs/>
                <w:sz w:val="22"/>
                <w:szCs w:val="22"/>
              </w:rPr>
              <w:br/>
            </w:r>
            <w:r w:rsidR="009605B9" w:rsidRPr="004E7A4B">
              <w:rPr>
                <w:bCs/>
                <w:sz w:val="22"/>
                <w:szCs w:val="22"/>
              </w:rPr>
              <w:br/>
            </w:r>
          </w:p>
          <w:p w14:paraId="1DB0676B" w14:textId="6D788CD2" w:rsidR="00A62EAF" w:rsidRPr="009605B9" w:rsidRDefault="00B736BF" w:rsidP="005A3E13">
            <w:pPr>
              <w:outlineLvl w:val="0"/>
              <w:rPr>
                <w:bCs/>
                <w:szCs w:val="24"/>
              </w:rPr>
            </w:pPr>
            <w:r w:rsidRPr="00AB3BD6">
              <w:rPr>
                <w:bCs/>
                <w:szCs w:val="24"/>
              </w:rPr>
              <w:t xml:space="preserve">Ordföranden konstaterade att det </w:t>
            </w:r>
            <w:r w:rsidRPr="00AB3BD6">
              <w:rPr>
                <w:bCs/>
              </w:rPr>
              <w:t>fanns stöd för regeringens ståndpunkt.</w:t>
            </w:r>
            <w:r>
              <w:rPr>
                <w:bCs/>
              </w:rPr>
              <w:br/>
            </w:r>
          </w:p>
        </w:tc>
      </w:tr>
      <w:tr w:rsidR="00A62EAF" w14:paraId="41DDF535" w14:textId="77777777" w:rsidTr="008035C8">
        <w:tc>
          <w:tcPr>
            <w:tcW w:w="567" w:type="dxa"/>
          </w:tcPr>
          <w:p w14:paraId="1BDE0CFC" w14:textId="2B14FEC0" w:rsidR="00B1481F" w:rsidRDefault="00B1481F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655" w:type="dxa"/>
          </w:tcPr>
          <w:p w14:paraId="30A4EB27" w14:textId="522A1952" w:rsidR="00A62EAF" w:rsidRPr="002A3730" w:rsidRDefault="00B1481F" w:rsidP="002A3730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Anmälningar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 xml:space="preserve">Utskottet beslutade att Jan Ericson (M) och Adam Reuterskiöld (M) deltar från utskottet på SESS-konferensen den </w:t>
            </w:r>
            <w:r w:rsidR="002F37D4">
              <w:rPr>
                <w:bCs/>
                <w:szCs w:val="24"/>
              </w:rPr>
              <w:t>29–30</w:t>
            </w:r>
            <w:r>
              <w:rPr>
                <w:bCs/>
                <w:szCs w:val="24"/>
              </w:rPr>
              <w:t xml:space="preserve"> september 2025 i Billund, Danmark.</w:t>
            </w:r>
            <w:r w:rsidR="002F37D4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B1E1E54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2F37D4">
              <w:rPr>
                <w:b/>
              </w:rPr>
              <w:t>6</w:t>
            </w:r>
          </w:p>
        </w:tc>
        <w:tc>
          <w:tcPr>
            <w:tcW w:w="7655" w:type="dxa"/>
          </w:tcPr>
          <w:p w14:paraId="17EE5049" w14:textId="344394CF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2F37D4">
              <w:rPr>
                <w:bCs/>
                <w:szCs w:val="24"/>
              </w:rPr>
              <w:t>Utskottet justerade protokoll nr 2025/26:1.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6B437DF2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2F37D4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45FA8DC7" w14:textId="720543E9" w:rsidR="006A74AC" w:rsidRDefault="00633644" w:rsidP="002A3730">
            <w:pPr>
              <w:outlineLvl w:val="0"/>
              <w:rPr>
                <w:b/>
                <w:bCs/>
              </w:rPr>
            </w:pPr>
            <w:r w:rsidRPr="00E7651B">
              <w:rPr>
                <w:b/>
              </w:rPr>
              <w:t>Anpassningar till EU:s regelverk om hantering av finansiella företag i kris (FiU7)</w:t>
            </w:r>
            <w:r w:rsidR="00553A83">
              <w:rPr>
                <w:b/>
              </w:rPr>
              <w:br/>
            </w:r>
            <w:r w:rsidR="00553A83">
              <w:rPr>
                <w:bCs/>
              </w:rPr>
              <w:t xml:space="preserve">Utskottet fortsatte beredningen av </w:t>
            </w:r>
            <w:r w:rsidR="007C7FF8">
              <w:rPr>
                <w:bCs/>
              </w:rPr>
              <w:t>proposition 2024/25:172.</w:t>
            </w:r>
            <w:r w:rsidR="007C7FF8">
              <w:rPr>
                <w:bCs/>
              </w:rPr>
              <w:br/>
            </w:r>
            <w:r w:rsidR="007C7FF8">
              <w:rPr>
                <w:bCs/>
              </w:rPr>
              <w:br/>
              <w:t>Ärendet bordlades.</w:t>
            </w:r>
            <w:r>
              <w:rPr>
                <w:b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17052FB9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2F37D4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7381826B" w14:textId="2124A6D0" w:rsidR="006A74AC" w:rsidRPr="007C7FF8" w:rsidRDefault="00633644" w:rsidP="002A3730">
            <w:pPr>
              <w:outlineLvl w:val="0"/>
            </w:pPr>
            <w:r w:rsidRPr="003869B4">
              <w:rPr>
                <w:b/>
              </w:rPr>
              <w:t xml:space="preserve">Förslag till Europaparlamentets och rådets förordning om ändring av Europaparlamentets och rådets förordning (EU) 2017/2402 av den 12 december 2017 om ett allmänt ramverk för </w:t>
            </w:r>
            <w:proofErr w:type="spellStart"/>
            <w:r w:rsidRPr="003869B4">
              <w:rPr>
                <w:b/>
              </w:rPr>
              <w:t>värdepapperisering</w:t>
            </w:r>
            <w:proofErr w:type="spellEnd"/>
            <w:r w:rsidRPr="003869B4">
              <w:rPr>
                <w:b/>
              </w:rPr>
              <w:t xml:space="preserve"> och om inrättande av ett särskilt ramverk för enkel, transparent och standardiserad </w:t>
            </w:r>
            <w:proofErr w:type="spellStart"/>
            <w:r w:rsidRPr="003869B4">
              <w:rPr>
                <w:b/>
              </w:rPr>
              <w:t>värdepapperisering</w:t>
            </w:r>
            <w:proofErr w:type="spellEnd"/>
            <w:r>
              <w:rPr>
                <w:b/>
              </w:rPr>
              <w:br/>
            </w:r>
            <w:r w:rsidR="007C7FF8">
              <w:t xml:space="preserve">Utskottet inledde subsidiaritetsprövningen av </w:t>
            </w:r>
            <w:proofErr w:type="gramStart"/>
            <w:r w:rsidR="007C7FF8">
              <w:t>COM(</w:t>
            </w:r>
            <w:proofErr w:type="gramEnd"/>
            <w:r w:rsidR="007C7FF8">
              <w:t>2025) 826.</w:t>
            </w:r>
            <w:r w:rsidR="007C7FF8">
              <w:br/>
            </w:r>
            <w:r w:rsidR="007C7FF8">
              <w:br/>
              <w:t>Utskottet ansåg att förslaget inte strider mot subsidiaritetsprincipen.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33644" w14:paraId="65DAF653" w14:textId="77777777" w:rsidTr="008035C8">
        <w:tc>
          <w:tcPr>
            <w:tcW w:w="567" w:type="dxa"/>
          </w:tcPr>
          <w:p w14:paraId="26DC3AD1" w14:textId="7488A15E" w:rsidR="00633644" w:rsidRPr="00C92C53" w:rsidRDefault="00633644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2F37D4">
              <w:rPr>
                <w:b/>
              </w:rPr>
              <w:t xml:space="preserve"> 9</w:t>
            </w:r>
          </w:p>
        </w:tc>
        <w:tc>
          <w:tcPr>
            <w:tcW w:w="7655" w:type="dxa"/>
          </w:tcPr>
          <w:p w14:paraId="6CD3FA23" w14:textId="758702BA" w:rsidR="007C7FF8" w:rsidRPr="007C7FF8" w:rsidRDefault="00633644" w:rsidP="007C7FF8">
            <w:pPr>
              <w:outlineLvl w:val="0"/>
            </w:pPr>
            <w:r w:rsidRPr="003869B4">
              <w:rPr>
                <w:b/>
              </w:rPr>
              <w:t xml:space="preserve">Förslag till Europaparlamentets och rådets förordning om ändring av förordning (EU) nr 575/2013 om tillsynskrav för kreditinstitut vad gäller krav för </w:t>
            </w:r>
            <w:proofErr w:type="spellStart"/>
            <w:r w:rsidRPr="003869B4">
              <w:rPr>
                <w:b/>
              </w:rPr>
              <w:t>värdepapperiseringsexponeringar</w:t>
            </w:r>
            <w:proofErr w:type="spellEnd"/>
            <w:r w:rsidRPr="003869B4">
              <w:rPr>
                <w:b/>
              </w:rPr>
              <w:t xml:space="preserve">  </w:t>
            </w:r>
            <w:r>
              <w:rPr>
                <w:b/>
              </w:rPr>
              <w:br/>
            </w:r>
            <w:r w:rsidR="007C7FF8">
              <w:t xml:space="preserve">Utskottet inledde subsidiaritetsprövningen av </w:t>
            </w:r>
            <w:proofErr w:type="gramStart"/>
            <w:r w:rsidR="007C7FF8">
              <w:t>COM(</w:t>
            </w:r>
            <w:proofErr w:type="gramEnd"/>
            <w:r w:rsidR="007C7FF8">
              <w:t>2025) 825.</w:t>
            </w:r>
            <w:r w:rsidR="007C7FF8">
              <w:br/>
            </w:r>
            <w:r w:rsidR="007C7FF8">
              <w:br/>
              <w:t>Utskottet ansåg att förslaget inte strider mot subsidiaritetsprincipen.</w:t>
            </w:r>
          </w:p>
          <w:p w14:paraId="69C92D47" w14:textId="1B300010" w:rsidR="00633644" w:rsidRPr="003869B4" w:rsidRDefault="00633644" w:rsidP="002A3730">
            <w:pPr>
              <w:outlineLvl w:val="0"/>
              <w:rPr>
                <w:b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74B22860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7D4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CE1FBF0" w14:textId="036726BB" w:rsidR="002A3730" w:rsidRPr="00633644" w:rsidRDefault="00633644" w:rsidP="002A3730">
            <w:pPr>
              <w:outlineLvl w:val="0"/>
            </w:pPr>
            <w:r>
              <w:t>Tisdag 23 september kl. 10.00:</w:t>
            </w:r>
            <w:r>
              <w:br/>
              <w:t>Offentligt sammanträde i Förstakammarsalen</w:t>
            </w:r>
            <w:r>
              <w:br/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095B54B0" w14:textId="77777777" w:rsidR="00445C4D" w:rsidRDefault="00445C4D" w:rsidP="002A3730">
            <w:pPr>
              <w:outlineLvl w:val="0"/>
            </w:pPr>
          </w:p>
          <w:p w14:paraId="6B1B1A84" w14:textId="77777777" w:rsidR="008A3501" w:rsidRDefault="008A3501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7B13580B" w14:textId="02237EB6" w:rsidR="002A3730" w:rsidRPr="00BD39D1" w:rsidRDefault="002A3730" w:rsidP="002A3730">
            <w:pPr>
              <w:outlineLvl w:val="0"/>
            </w:pPr>
            <w:r>
              <w:t>Justera</w:t>
            </w:r>
            <w:r w:rsidR="008A3501">
              <w:t>t</w:t>
            </w:r>
            <w:r>
              <w:t xml:space="preserve"> den </w:t>
            </w:r>
            <w:r w:rsidR="0051347F">
              <w:t>25 september 2025</w:t>
            </w:r>
            <w:r>
              <w:t xml:space="preserve"> </w:t>
            </w:r>
            <w:r w:rsidR="0051347F">
              <w:br/>
              <w:t xml:space="preserve">Edward </w:t>
            </w:r>
            <w:proofErr w:type="spellStart"/>
            <w:r w:rsidR="0051347F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000943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565C42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565C42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565C42">
        <w:rPr>
          <w:sz w:val="22"/>
          <w:szCs w:val="22"/>
        </w:rPr>
        <w:t>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C993ECD" w:rsidR="00EF6F88" w:rsidRPr="000E151F" w:rsidRDefault="00B83D7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34FA6F7C" w:rsidR="00EF6F88" w:rsidRPr="000E151F" w:rsidRDefault="00B83D7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6EACE5AF" w:rsidR="00EF6F88" w:rsidRPr="000E151F" w:rsidRDefault="00B83D7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6EB93191" w:rsidR="00EF6F88" w:rsidRPr="000E151F" w:rsidRDefault="00B83D7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5-10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83D73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B83D73" w:rsidRPr="000E151F" w:rsidRDefault="00B83D73" w:rsidP="00B83D73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1AF899A" w:rsidR="00B83D73" w:rsidRPr="000E151F" w:rsidRDefault="00B83D73" w:rsidP="00B83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F11462E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459150D3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38D91245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B83D73" w:rsidRPr="00A946FF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487A53C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54BE4666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2D683FE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A9EA327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B83D73" w:rsidRPr="00A946FF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2DACF62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229FA247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2A92A335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32E607F4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B83D73" w:rsidRPr="000E151F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F7BDDDC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2DFB32E4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18DC12DF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4DCCB7C6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B83D73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F1AA603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56C1584F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50FD49A3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5375CE4A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B83D73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C5FB109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5265A71D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1FFEC935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6977BC61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B83D73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E1767FC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20C8EA44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0C79CBAD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3182CABA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B83D73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2FCED7E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56CFE74D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37876206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01A81438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B83D73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C2F9E11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00E96272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5FC8402B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281C693C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B83D73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9CFBADD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1472715B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41B2FAB3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0A4881B8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B83D73" w:rsidRPr="000E151F" w:rsidRDefault="00B83D73" w:rsidP="00B83D7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1405BBF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05735D8C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1A6F3786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ACCC4AF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B83D73" w:rsidRPr="000E151F" w:rsidRDefault="00B83D73" w:rsidP="00B83D7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3DA28BF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359F9E1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5DD42C6A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2FB8CC21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B83D73" w:rsidRPr="000E151F" w:rsidRDefault="00B83D73" w:rsidP="00B83D7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11895AF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49D8FD56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3B7B917A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1D5A68A1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B83D73" w:rsidRPr="000E151F" w:rsidRDefault="00B83D73" w:rsidP="00B83D7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7330C37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247BA350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0E88CCEA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306C9898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B83D73" w:rsidRPr="000E151F" w:rsidRDefault="00B83D73" w:rsidP="00B83D7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C686D90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3634EA16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3129ED73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5126CA39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B83D73" w:rsidRDefault="00B83D73" w:rsidP="00B83D7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D401742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27052669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30871059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5828BFBA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B83D7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B83D73" w:rsidRPr="000E151F" w:rsidRDefault="00B83D73" w:rsidP="00B83D7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EC93930" w:rsidR="00B83D73" w:rsidRPr="000E151F" w:rsidRDefault="00B83D73" w:rsidP="00B83D73">
            <w:pPr>
              <w:rPr>
                <w:sz w:val="22"/>
                <w:szCs w:val="22"/>
              </w:rPr>
            </w:pPr>
            <w:r w:rsidRPr="000447E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0B9F4A83" w:rsidR="00B83D73" w:rsidRPr="000E151F" w:rsidRDefault="00B83D73" w:rsidP="00B83D73">
            <w:pPr>
              <w:rPr>
                <w:sz w:val="22"/>
                <w:szCs w:val="22"/>
              </w:rPr>
            </w:pPr>
            <w:r w:rsidRPr="00CE78D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488AE951" w:rsidR="00B83D73" w:rsidRPr="000E151F" w:rsidRDefault="00B83D73" w:rsidP="00B83D73">
            <w:pPr>
              <w:rPr>
                <w:sz w:val="22"/>
                <w:szCs w:val="22"/>
              </w:rPr>
            </w:pPr>
            <w:r w:rsidRPr="00BF0E9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2E50264D" w:rsidR="00B83D73" w:rsidRPr="000E151F" w:rsidRDefault="00B83D73" w:rsidP="00B83D73">
            <w:pPr>
              <w:rPr>
                <w:sz w:val="22"/>
                <w:szCs w:val="22"/>
              </w:rPr>
            </w:pPr>
            <w:r w:rsidRPr="005E1CC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B83D73" w:rsidRPr="000E151F" w:rsidRDefault="00B83D73" w:rsidP="00B83D7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AA51769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4A7FC706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23030DA5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472F2BF6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7B65EF8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2A6651CC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325CC2C5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2BA8DA3B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89005AF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28370190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6143B5DF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DA50D91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116A7A43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3CE1051A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1F8D8918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13D11E9C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7C8DB09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3F879454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4F522CDC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1E8FE5AA" w:rsidR="000E2953" w:rsidRPr="000E151F" w:rsidRDefault="00B83D7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580BB364" w:rsidR="00C33C35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53EDE1D0" w:rsidR="00C33C35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67FCC446" w:rsidR="00C33C35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670297DB" w:rsidR="00C33C35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05FB7E04" w:rsidR="003A581E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68B1CBEE" w:rsidR="003A581E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52027D3C" w:rsidR="003A581E" w:rsidRPr="000E151F" w:rsidRDefault="005D4AA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0ADDFDBD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p w14:paraId="015BEDB7" w14:textId="3EBB45D8" w:rsidR="00BB2E7B" w:rsidRDefault="00BB2E7B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p w14:paraId="31734A6F" w14:textId="2EFB56E6" w:rsidR="00BB2E7B" w:rsidRDefault="00BB2E7B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p w14:paraId="23E0EC83" w14:textId="77777777" w:rsidR="00BB2E7B" w:rsidRDefault="00BB2E7B" w:rsidP="00BB2E7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  <w:r w:rsidRPr="00517AA3">
        <w:rPr>
          <w:szCs w:val="24"/>
        </w:rPr>
        <w:t>Bilaga 2 till protokoll</w:t>
      </w:r>
      <w:r>
        <w:rPr>
          <w:szCs w:val="24"/>
        </w:rPr>
        <w:t xml:space="preserve"> 2025/26:2</w:t>
      </w:r>
    </w:p>
    <w:p w14:paraId="12C56DE2" w14:textId="77777777" w:rsidR="00BB2E7B" w:rsidRDefault="00BB2E7B" w:rsidP="00BB2E7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</w:p>
    <w:p w14:paraId="35A2065A" w14:textId="77777777" w:rsidR="00BB2E7B" w:rsidRDefault="00BB2E7B" w:rsidP="00BB2E7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</w:p>
    <w:p w14:paraId="660A3384" w14:textId="0BE11A77" w:rsidR="00BB2E7B" w:rsidRDefault="00BB2E7B" w:rsidP="00BB2E7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color w:val="000000"/>
          <w:szCs w:val="24"/>
        </w:rPr>
      </w:pPr>
      <w:r w:rsidRPr="00517AA3">
        <w:rPr>
          <w:color w:val="000000"/>
          <w:szCs w:val="24"/>
        </w:rPr>
        <w:t xml:space="preserve">Regeringens preliminära övergripande ståndpunkt är: </w:t>
      </w:r>
    </w:p>
    <w:p w14:paraId="1182C8CA" w14:textId="45937417" w:rsidR="00BB2E7B" w:rsidRDefault="00BB2E7B" w:rsidP="00BB2E7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color w:val="000000"/>
          <w:szCs w:val="24"/>
        </w:rPr>
      </w:pPr>
    </w:p>
    <w:p w14:paraId="242EC9A5" w14:textId="2D375E52" w:rsidR="00654130" w:rsidRDefault="00EF364D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54130">
        <w:rPr>
          <w:sz w:val="22"/>
          <w:szCs w:val="22"/>
        </w:rPr>
        <w:t>Regeringen vill se en politik och en MFF som b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ttre avspeglar EU:s aktuella utmaningar och regeringens fyra prioriteringar: kriget, konkurrenskraft, klimatet och kriminaliteten.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De 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ndpunkter som regeringen fastst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llde i Fakta-PM 2024/25: FPM19 kvarst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r. Regeringens budgetrestriktiva linje ligger fast. Svensk avgift b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llas nere. Som andel av BNI ska EU:s budget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regulj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ra utgifter fortsatt uppg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till omkring 1 procent. Det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 viktigt att EU:s framtida offentligfinansiella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tagande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kompatibelt med en konsolidering av medlemsstaternas offentliga finanser och bevarande av nationellt finanspolitiskt man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verutrymme. 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llbara statsfinanser i medlemsstaterna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en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ruts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ttning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kunna m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ta dagens och morgondagens utmaningar. Den svenska avgiften 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lls nere genom niv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den fler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riga budgetramen, inklusive special- och flexibilitetsinstrumenten, och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rnyade rabattarrangemang.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Regeringen vill se verkliga reformer av de politikomr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den som omfattas av ett offentligfinansiellt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tagande, b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de sett till struktur och inneh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ll. Satsningar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befintliga eller nya omr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den beh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 motsvaras av neddragningar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andra omr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den, framf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allt inom sammanh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llningspolitiken, men ocks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inom delar av den gemensamma jordbrukspolitiken. Regeringen anser att EU:s budget ska inriktas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insatser som st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rker Europas konkurrenskraft,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kerhet, motst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ndskraft och beredskap. En viktig m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ttning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att skapa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ruts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ttningar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kade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rsvarsinvesteringar i hela Europa, bland annat genom att fr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mja gemensam utveckling och upphandling av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rsvarsmateriel. Regeringen vill se en budgetram som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djer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tg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rder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st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rka den inre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kerheten och bek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mpa gr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ns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verskridande kriminalitet. Den ska underst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dja att migrations- och asylpakten genomf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 fullt ut och utvecklingen av partnerskap mellan EU och tredjeland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rebygga irregulj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 migration,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ka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terv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ndandet och bek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mpa m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nniskosmuggling och m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nniskohandel.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EU ska kunna m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ta utmaningarna inte minst inom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kerhetsomr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det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det av grundl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ggande betydelse att budgeten i alla relevanta delar fokuserar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och prioriterar insatser som st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rker europeisk konkurrenskraft. I fokus kommer d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att vara fr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mjandet av utveckling och investeringar i forskning, innovation, teknikutveckling, digitalisering och artificiell intelligens (AI). Inte minst viktigt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att EU:s insatser i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rsta m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jliga utstr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ckning utformas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 att mobilisera privata investeringar.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N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regeringens utg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ngspunkter ska relateras till kommissionens konkreta utkast till n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sta fler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riga budgetram m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ste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rst understrykas att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rslaget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omfattande och har m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nga dimensioner. 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ndpunkterna kommer att utvecklas och uppdateras allteftersom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elsen och analysen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rdjupas och i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llande till utvecklingen av den l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nga och intensiva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rhandling som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r. Regeringen kan dock redan nu konstatera att kommissionens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rslag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alltf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expansivt, i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llande till Sveriges budgetrestriktiva linje. Neddragningar och omprioriteringar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d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n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ndiga. Utgiftsvolymen m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ste minska och n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ndiga korrigeringsmekanismer/rabatter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rnyas.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EU-budgeten b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fokusera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omr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den d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EU har ett tydligt merv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rde,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rskilt n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tg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rderna har en tydlig gr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ns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verskridande EU-nytta och d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stordriftsf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rdelar kan uppn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s genom gemensam finansiering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EU-niv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. Regeringen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lkomnar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rslagets inriktning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en budget med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rre fokus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kerhet och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rsvar samt konkurrenskraft d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en ny konkurrenskraftsfond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resl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s.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Regeringen ser positivt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rslagets tydliga budskap om vikten av ett starkt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 till Ukraina. EU m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ste vara redo att ge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makrofinansiell likviditet, milit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rt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d, reformer samt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terh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mtning och uppbyggnad motsvarande behoven. Sverige 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r redo att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tta Ukraina s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nge som det kr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vs och i den omfattning som beh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vs. Det kan inkludera ytterligare l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nefinansiering om situationen kr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ver det.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Regeringen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lkomnar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rslaget till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renklad struktur med f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rre rubriker och program. Detta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en inriktning som ger b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ttre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ruts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ttningar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synergieffekter och skalf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rdelar samt minskad risk </w:t>
      </w:r>
    </w:p>
    <w:p w14:paraId="402A3DF1" w14:textId="77777777" w:rsidR="00654130" w:rsidRDefault="00654130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</w:p>
    <w:p w14:paraId="7376BCD6" w14:textId="77777777" w:rsidR="00654130" w:rsidRDefault="00654130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</w:p>
    <w:p w14:paraId="5F1C2A70" w14:textId="31FA896C" w:rsidR="00EF364D" w:rsidRPr="00654130" w:rsidRDefault="00EF364D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54130">
        <w:rPr>
          <w:sz w:val="22"/>
          <w:szCs w:val="22"/>
        </w:rPr>
        <w:t>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verlapp mellan olika program. Detsamma g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ller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m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jligheterna att omprioritera inom budgetramen n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nya behov uppst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r. </w:t>
      </w:r>
    </w:p>
    <w:p w14:paraId="5694E7D3" w14:textId="77777777" w:rsidR="00EF364D" w:rsidRPr="00654130" w:rsidRDefault="00EF364D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54130">
        <w:rPr>
          <w:sz w:val="22"/>
          <w:szCs w:val="22"/>
        </w:rPr>
        <w:t xml:space="preserve">Det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positivt med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renklade och harmoniserade regelverk och styrning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minska den administrativa b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rdan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kommissionen, medlemsstaterna och 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dmottagare. Det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 vidare positivt med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kad m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jlighet till strategisk styrning som kan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ka budgetens genomslagskraft. </w:t>
      </w:r>
    </w:p>
    <w:p w14:paraId="298E5B07" w14:textId="77777777" w:rsidR="00EF364D" w:rsidRPr="00654130" w:rsidRDefault="00EF364D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54130">
        <w:rPr>
          <w:sz w:val="22"/>
          <w:szCs w:val="22"/>
        </w:rPr>
        <w:t>Regeringen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lkomnar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rslaget till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renklad struktur med f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rre specialinstrument men anser att flexibilitet i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rsta hand b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tillgodoses genom tillr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ckliga marginaler av icke-allokerade medel under bindande budgetram. Regeringen anser att det ska finnas tydliga och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ruts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gbara incitament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 omprioriteringar och att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terf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rda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rfallna medel fr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n tidigare 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r inte b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anv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ndas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finansiera nya eller ov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ntade behov. Det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vidare viktigt att flexibiliteten inte underminerar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ruts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gbarheten eller urholkar utgiftstakens bindande karakt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 och dess restriktiva funktion. </w:t>
      </w:r>
    </w:p>
    <w:p w14:paraId="5546D90F" w14:textId="77777777" w:rsidR="00EF364D" w:rsidRPr="00654130" w:rsidRDefault="00EF364D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54130">
        <w:rPr>
          <w:sz w:val="22"/>
          <w:szCs w:val="22"/>
        </w:rPr>
        <w:t>Regeringen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lkomnar m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 som bidrar till att EU kan n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sina klimat- och milj</w:t>
      </w:r>
      <w:r w:rsidRPr="00654130">
        <w:rPr>
          <w:rFonts w:hint="eastAsia"/>
          <w:sz w:val="22"/>
          <w:szCs w:val="22"/>
        </w:rPr>
        <w:t>öå</w:t>
      </w:r>
      <w:r w:rsidRPr="00654130">
        <w:rPr>
          <w:sz w:val="22"/>
          <w:szCs w:val="22"/>
        </w:rPr>
        <w:t xml:space="preserve">tagande. </w:t>
      </w:r>
    </w:p>
    <w:p w14:paraId="44D9664E" w14:textId="39E96D1D" w:rsidR="00BB2E7B" w:rsidRPr="00654130" w:rsidRDefault="00EF364D" w:rsidP="00EF364D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54130">
        <w:rPr>
          <w:sz w:val="22"/>
          <w:szCs w:val="22"/>
        </w:rPr>
        <w:t>En viktig prioritering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 regeringen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att EU-st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 enbart ska utbetalas till medlemsstater som respekterar 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ttsstatens principer och stadgan om de grundl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ggande 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ttigheterna. Regeringen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lkomnar d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kommissionens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rslag om att EU-medel som tillhandah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lls genom de nationella och regionala partnerskapsplanerna ska vara underkastade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rhandskrav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uppfyllande av EU:s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rden i form av respekt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ttsstatens principer och stadgan om de grundl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ggande 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ttigheterna och att till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mpningen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resl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s omfatta ocks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den gemensamma jordbrukspolitiken och unionsst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den till inre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kerhet, gr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nsf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rvaltning och migration. Enskildheter i det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reslagna systemet beh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 analyseras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djupet. Det beh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ver ocks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kerst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llas att den generella villkorlighetsf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rordningen (f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rordning 2020/2092) utg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tillr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ckligt skydd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 xml:space="preserve">r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vriga delar av EU-budgeten,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rskilt sedan denna inte omfattar respekt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stadgan om de grundl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ggande 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ttigheterna. Regeringen bed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mer vidare att en omf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rhandling av villkorlighetsf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rordningen inte skulle leda till ett starkare skydd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ttsstatens principer.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Regeringen anser att viktiga budgetprinciper s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som nationell medfinansiering och excellens ska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rnas. Det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viktigt att tilldelning av medel sker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ett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ppet och konkurrensutsatt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tt.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 xml:space="preserve">Regeringen ser inget behov av, och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r kritiskt till, nya egna </w:t>
      </w:r>
      <w:proofErr w:type="spellStart"/>
      <w:r w:rsidRPr="00654130">
        <w:rPr>
          <w:sz w:val="22"/>
          <w:szCs w:val="22"/>
        </w:rPr>
        <w:t>medelskomponenter</w:t>
      </w:r>
      <w:proofErr w:type="spellEnd"/>
      <w:r w:rsidRPr="00654130">
        <w:rPr>
          <w:sz w:val="22"/>
          <w:szCs w:val="22"/>
        </w:rPr>
        <w:t xml:space="preserve"> (se vidare Fakta-PM 2025/</w:t>
      </w:r>
      <w:proofErr w:type="gramStart"/>
      <w:r w:rsidRPr="00654130">
        <w:rPr>
          <w:sz w:val="22"/>
          <w:szCs w:val="22"/>
        </w:rPr>
        <w:t>26:FPM</w:t>
      </w:r>
      <w:proofErr w:type="gramEnd"/>
      <w:r w:rsidRPr="00654130">
        <w:rPr>
          <w:sz w:val="22"/>
          <w:szCs w:val="22"/>
        </w:rPr>
        <w:t xml:space="preserve">4).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 xml:space="preserve">Regeringen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emot ny gemensam uppl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ning eftersom de inte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renliga med h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llbara statsfinanser, 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kar riskexponeringen och skjuter betalningsansvar p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 xml:space="preserve"> framtida generationer. </w:t>
      </w:r>
      <w:r w:rsidRPr="00654130">
        <w:rPr>
          <w:sz w:val="22"/>
          <w:szCs w:val="22"/>
        </w:rPr>
        <w:br/>
      </w:r>
      <w:r w:rsidRPr="00654130">
        <w:rPr>
          <w:sz w:val="22"/>
          <w:szCs w:val="22"/>
        </w:rPr>
        <w:br/>
        <w:t>Betr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ffande utkastet till Interinstitutionellt avtal mellan Europaparlamentet, 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det och kommissionen om budgetdisciplin, samarbete i budgetfr</w:t>
      </w:r>
      <w:r w:rsidRPr="00654130">
        <w:rPr>
          <w:rFonts w:hint="eastAsia"/>
          <w:sz w:val="22"/>
          <w:szCs w:val="22"/>
        </w:rPr>
        <w:t>å</w:t>
      </w:r>
      <w:r w:rsidRPr="00654130">
        <w:rPr>
          <w:sz w:val="22"/>
          <w:szCs w:val="22"/>
        </w:rPr>
        <w:t>gor och sund ekonomisk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rvaltning anser regeringen att avtalet ska respektera institutionernas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rdragsf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sta roller, bidra till v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 fungerande processer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att genomf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ra MFF och s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kerst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lla att det i till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 xml:space="preserve">mpningsfasen 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 m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jligt att verka f</w:t>
      </w:r>
      <w:r w:rsidRPr="00654130">
        <w:rPr>
          <w:rFonts w:hint="eastAsia"/>
          <w:sz w:val="22"/>
          <w:szCs w:val="22"/>
        </w:rPr>
        <w:t>ö</w:t>
      </w:r>
      <w:r w:rsidRPr="00654130">
        <w:rPr>
          <w:sz w:val="22"/>
          <w:szCs w:val="22"/>
        </w:rPr>
        <w:t>r Sveriges allm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nna och budget</w:t>
      </w:r>
      <w:r w:rsidRPr="00654130">
        <w:rPr>
          <w:rFonts w:hint="eastAsia"/>
          <w:sz w:val="22"/>
          <w:szCs w:val="22"/>
        </w:rPr>
        <w:t>ä</w:t>
      </w:r>
      <w:r w:rsidRPr="00654130">
        <w:rPr>
          <w:sz w:val="22"/>
          <w:szCs w:val="22"/>
        </w:rPr>
        <w:t>ra prioriteringar.</w:t>
      </w:r>
    </w:p>
    <w:p w14:paraId="567B7257" w14:textId="77777777" w:rsidR="00BB2E7B" w:rsidRPr="00654130" w:rsidRDefault="00BB2E7B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</w:p>
    <w:sectPr w:rsidR="00BB2E7B" w:rsidRPr="00654130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100E0"/>
    <w:multiLevelType w:val="hybridMultilevel"/>
    <w:tmpl w:val="647C4DAA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729C1"/>
    <w:multiLevelType w:val="hybridMultilevel"/>
    <w:tmpl w:val="106C4678"/>
    <w:lvl w:ilvl="0" w:tplc="E2208EE8">
      <w:numFmt w:val="bullet"/>
      <w:lvlText w:val="-"/>
      <w:lvlJc w:val="left"/>
      <w:pPr>
        <w:ind w:left="246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4C14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51F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06A8D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37D4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45C4D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7A4B"/>
    <w:rsid w:val="004F1B55"/>
    <w:rsid w:val="004F2904"/>
    <w:rsid w:val="004F32F1"/>
    <w:rsid w:val="004F680C"/>
    <w:rsid w:val="005017B0"/>
    <w:rsid w:val="0050317D"/>
    <w:rsid w:val="00504616"/>
    <w:rsid w:val="0051347F"/>
    <w:rsid w:val="005170DF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3A83"/>
    <w:rsid w:val="0055672C"/>
    <w:rsid w:val="00562EF7"/>
    <w:rsid w:val="00565C42"/>
    <w:rsid w:val="0057774D"/>
    <w:rsid w:val="00577C45"/>
    <w:rsid w:val="00580536"/>
    <w:rsid w:val="00583B96"/>
    <w:rsid w:val="005874E8"/>
    <w:rsid w:val="005956B3"/>
    <w:rsid w:val="005A0175"/>
    <w:rsid w:val="005A3E13"/>
    <w:rsid w:val="005A5091"/>
    <w:rsid w:val="005B498F"/>
    <w:rsid w:val="005C1541"/>
    <w:rsid w:val="005C61EB"/>
    <w:rsid w:val="005D4AA5"/>
    <w:rsid w:val="005E28B9"/>
    <w:rsid w:val="005E2FA7"/>
    <w:rsid w:val="005E439C"/>
    <w:rsid w:val="005E70F9"/>
    <w:rsid w:val="00617AB2"/>
    <w:rsid w:val="00627839"/>
    <w:rsid w:val="00633644"/>
    <w:rsid w:val="00636EF1"/>
    <w:rsid w:val="006375F0"/>
    <w:rsid w:val="00643E28"/>
    <w:rsid w:val="006457B3"/>
    <w:rsid w:val="00654130"/>
    <w:rsid w:val="0065632F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568"/>
    <w:rsid w:val="006B7B0C"/>
    <w:rsid w:val="006C1499"/>
    <w:rsid w:val="006C21FA"/>
    <w:rsid w:val="006D0D77"/>
    <w:rsid w:val="006D30FA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C7FF8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298"/>
    <w:rsid w:val="00873755"/>
    <w:rsid w:val="0089258A"/>
    <w:rsid w:val="00893998"/>
    <w:rsid w:val="0089581D"/>
    <w:rsid w:val="008A1F6A"/>
    <w:rsid w:val="008A3501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05B9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1F4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2EAF"/>
    <w:rsid w:val="00A63190"/>
    <w:rsid w:val="00A640B1"/>
    <w:rsid w:val="00A67BD4"/>
    <w:rsid w:val="00A67C77"/>
    <w:rsid w:val="00A67D91"/>
    <w:rsid w:val="00A744C3"/>
    <w:rsid w:val="00A75B9F"/>
    <w:rsid w:val="00A9134D"/>
    <w:rsid w:val="00AA0DFB"/>
    <w:rsid w:val="00AA2873"/>
    <w:rsid w:val="00AB3BD6"/>
    <w:rsid w:val="00AB4139"/>
    <w:rsid w:val="00AC283D"/>
    <w:rsid w:val="00AD0133"/>
    <w:rsid w:val="00AD47F5"/>
    <w:rsid w:val="00AE5BBD"/>
    <w:rsid w:val="00AE7247"/>
    <w:rsid w:val="00AF35BF"/>
    <w:rsid w:val="00AF3CA6"/>
    <w:rsid w:val="00B00063"/>
    <w:rsid w:val="00B054F1"/>
    <w:rsid w:val="00B1481F"/>
    <w:rsid w:val="00B33983"/>
    <w:rsid w:val="00B36495"/>
    <w:rsid w:val="00B44E5B"/>
    <w:rsid w:val="00B523F7"/>
    <w:rsid w:val="00B54410"/>
    <w:rsid w:val="00B547D0"/>
    <w:rsid w:val="00B55F04"/>
    <w:rsid w:val="00B72D27"/>
    <w:rsid w:val="00B736BF"/>
    <w:rsid w:val="00B83D73"/>
    <w:rsid w:val="00B86CB0"/>
    <w:rsid w:val="00B9203B"/>
    <w:rsid w:val="00BB2E7B"/>
    <w:rsid w:val="00BB6541"/>
    <w:rsid w:val="00BB6AE7"/>
    <w:rsid w:val="00BC2283"/>
    <w:rsid w:val="00BC2DCD"/>
    <w:rsid w:val="00BC53CF"/>
    <w:rsid w:val="00BD39D1"/>
    <w:rsid w:val="00BE5A5B"/>
    <w:rsid w:val="00BF0A00"/>
    <w:rsid w:val="00BF0B99"/>
    <w:rsid w:val="00BF22AB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11EA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0EFD"/>
    <w:rsid w:val="00E0219D"/>
    <w:rsid w:val="00E15BE8"/>
    <w:rsid w:val="00E16DC2"/>
    <w:rsid w:val="00E2015B"/>
    <w:rsid w:val="00E264E7"/>
    <w:rsid w:val="00E27E50"/>
    <w:rsid w:val="00E42617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364D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72D3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2283</Words>
  <Characters>15559</Characters>
  <Application>Microsoft Office Word</Application>
  <DocSecurity>0</DocSecurity>
  <Lines>1037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33</cp:revision>
  <cp:lastPrinted>2025-09-25T08:36:00Z</cp:lastPrinted>
  <dcterms:created xsi:type="dcterms:W3CDTF">2025-09-16T12:11:00Z</dcterms:created>
  <dcterms:modified xsi:type="dcterms:W3CDTF">2025-09-25T08:40:00Z</dcterms:modified>
</cp:coreProperties>
</file>