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BD6F292" w14:textId="77777777" w:rsidTr="002203F6">
        <w:tc>
          <w:tcPr>
            <w:tcW w:w="2268" w:type="dxa"/>
          </w:tcPr>
          <w:p w14:paraId="145AD60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D0FF16" w14:textId="04646069" w:rsidR="006E4E11" w:rsidRDefault="006E4E11" w:rsidP="007242A3">
            <w:pPr>
              <w:framePr w:w="5035" w:h="1644" w:wrap="notBeside" w:vAnchor="page" w:hAnchor="page" w:x="6573" w:y="721"/>
              <w:rPr>
                <w:rFonts w:ascii="TradeGothic" w:hAnsi="TradeGothic"/>
                <w:i/>
                <w:sz w:val="18"/>
              </w:rPr>
            </w:pPr>
          </w:p>
        </w:tc>
      </w:tr>
      <w:tr w:rsidR="002203F6" w14:paraId="32DCE236" w14:textId="77777777" w:rsidTr="002203F6">
        <w:tc>
          <w:tcPr>
            <w:tcW w:w="5267" w:type="dxa"/>
            <w:gridSpan w:val="3"/>
          </w:tcPr>
          <w:p w14:paraId="20247D05" w14:textId="747F3CA4" w:rsidR="002203F6" w:rsidRDefault="002203F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AF5E115" w14:textId="77777777" w:rsidTr="002203F6">
        <w:tc>
          <w:tcPr>
            <w:tcW w:w="3402" w:type="dxa"/>
            <w:gridSpan w:val="2"/>
          </w:tcPr>
          <w:p w14:paraId="5EDF10B3" w14:textId="5B4198C2" w:rsidR="006E4E11" w:rsidRDefault="006E4E11" w:rsidP="007242A3">
            <w:pPr>
              <w:framePr w:w="5035" w:h="1644" w:wrap="notBeside" w:vAnchor="page" w:hAnchor="page" w:x="6573" w:y="721"/>
            </w:pPr>
          </w:p>
        </w:tc>
        <w:tc>
          <w:tcPr>
            <w:tcW w:w="1865" w:type="dxa"/>
          </w:tcPr>
          <w:p w14:paraId="2E909020" w14:textId="77777777" w:rsidR="006E4E11" w:rsidRDefault="006E4E11" w:rsidP="007242A3">
            <w:pPr>
              <w:framePr w:w="5035" w:h="1644" w:wrap="notBeside" w:vAnchor="page" w:hAnchor="page" w:x="6573" w:y="721"/>
            </w:pPr>
          </w:p>
        </w:tc>
      </w:tr>
      <w:tr w:rsidR="006E4E11" w14:paraId="48BFC7C6" w14:textId="77777777" w:rsidTr="002203F6">
        <w:tc>
          <w:tcPr>
            <w:tcW w:w="2268" w:type="dxa"/>
          </w:tcPr>
          <w:p w14:paraId="45C8CB14" w14:textId="77777777" w:rsidR="006E4E11" w:rsidRDefault="002203F6" w:rsidP="007242A3">
            <w:pPr>
              <w:framePr w:w="5035" w:h="1644" w:wrap="notBeside" w:vAnchor="page" w:hAnchor="page" w:x="6573" w:y="721"/>
            </w:pPr>
            <w:r>
              <w:t>2014-11-17</w:t>
            </w:r>
          </w:p>
        </w:tc>
        <w:tc>
          <w:tcPr>
            <w:tcW w:w="2999" w:type="dxa"/>
            <w:gridSpan w:val="2"/>
          </w:tcPr>
          <w:p w14:paraId="4323A00C" w14:textId="77777777" w:rsidR="006E4E11" w:rsidRPr="00ED583F" w:rsidRDefault="006E4E11" w:rsidP="007242A3">
            <w:pPr>
              <w:framePr w:w="5035" w:h="1644" w:wrap="notBeside" w:vAnchor="page" w:hAnchor="page" w:x="6573" w:y="721"/>
              <w:rPr>
                <w:sz w:val="20"/>
              </w:rPr>
            </w:pPr>
          </w:p>
        </w:tc>
      </w:tr>
      <w:tr w:rsidR="006E4E11" w14:paraId="1A0F86DC" w14:textId="77777777" w:rsidTr="002203F6">
        <w:tc>
          <w:tcPr>
            <w:tcW w:w="2268" w:type="dxa"/>
          </w:tcPr>
          <w:p w14:paraId="005FC17D" w14:textId="77777777" w:rsidR="006E4E11" w:rsidRDefault="006E4E11" w:rsidP="007242A3">
            <w:pPr>
              <w:framePr w:w="5035" w:h="1644" w:wrap="notBeside" w:vAnchor="page" w:hAnchor="page" w:x="6573" w:y="721"/>
            </w:pPr>
          </w:p>
        </w:tc>
        <w:tc>
          <w:tcPr>
            <w:tcW w:w="2999" w:type="dxa"/>
            <w:gridSpan w:val="2"/>
          </w:tcPr>
          <w:p w14:paraId="748E819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A66A8E" w14:textId="77777777">
        <w:trPr>
          <w:trHeight w:val="284"/>
        </w:trPr>
        <w:tc>
          <w:tcPr>
            <w:tcW w:w="4911" w:type="dxa"/>
          </w:tcPr>
          <w:p w14:paraId="60B55C65" w14:textId="77777777" w:rsidR="006E4E11" w:rsidRDefault="002203F6">
            <w:pPr>
              <w:pStyle w:val="Avsndare"/>
              <w:framePr w:h="2483" w:wrap="notBeside" w:x="1504"/>
              <w:rPr>
                <w:b/>
                <w:i w:val="0"/>
                <w:sz w:val="22"/>
              </w:rPr>
            </w:pPr>
            <w:r>
              <w:rPr>
                <w:b/>
                <w:i w:val="0"/>
                <w:sz w:val="22"/>
              </w:rPr>
              <w:t>Socialdepartementet</w:t>
            </w:r>
          </w:p>
        </w:tc>
      </w:tr>
      <w:tr w:rsidR="006E4E11" w14:paraId="628E32B4" w14:textId="77777777">
        <w:trPr>
          <w:trHeight w:val="284"/>
        </w:trPr>
        <w:tc>
          <w:tcPr>
            <w:tcW w:w="4911" w:type="dxa"/>
          </w:tcPr>
          <w:p w14:paraId="13529797" w14:textId="77777777" w:rsidR="006E4E11" w:rsidRDefault="006E4E11">
            <w:pPr>
              <w:pStyle w:val="Avsndare"/>
              <w:framePr w:h="2483" w:wrap="notBeside" w:x="1504"/>
              <w:rPr>
                <w:bCs/>
                <w:iCs/>
              </w:rPr>
            </w:pPr>
          </w:p>
        </w:tc>
      </w:tr>
      <w:tr w:rsidR="006E4E11" w14:paraId="0C3514B2" w14:textId="77777777">
        <w:trPr>
          <w:trHeight w:val="284"/>
        </w:trPr>
        <w:tc>
          <w:tcPr>
            <w:tcW w:w="4911" w:type="dxa"/>
          </w:tcPr>
          <w:p w14:paraId="043BFBBC" w14:textId="77777777" w:rsidR="006E4E11" w:rsidRDefault="002203F6">
            <w:pPr>
              <w:pStyle w:val="Avsndare"/>
              <w:framePr w:h="2483" w:wrap="notBeside" w:x="1504"/>
              <w:rPr>
                <w:bCs/>
                <w:iCs/>
              </w:rPr>
            </w:pPr>
            <w:r>
              <w:rPr>
                <w:bCs/>
                <w:iCs/>
              </w:rPr>
              <w:t>Plan-, bygg- och bostadsenheten</w:t>
            </w:r>
          </w:p>
        </w:tc>
      </w:tr>
      <w:tr w:rsidR="006E4E11" w14:paraId="02DA01B4" w14:textId="77777777">
        <w:trPr>
          <w:trHeight w:val="284"/>
        </w:trPr>
        <w:tc>
          <w:tcPr>
            <w:tcW w:w="4911" w:type="dxa"/>
          </w:tcPr>
          <w:p w14:paraId="6B67A962" w14:textId="77777777" w:rsidR="006E4E11" w:rsidRDefault="006E4E11">
            <w:pPr>
              <w:pStyle w:val="Avsndare"/>
              <w:framePr w:h="2483" w:wrap="notBeside" w:x="1504"/>
              <w:rPr>
                <w:bCs/>
                <w:iCs/>
              </w:rPr>
            </w:pPr>
          </w:p>
        </w:tc>
      </w:tr>
      <w:tr w:rsidR="006E4E11" w14:paraId="47F97E80" w14:textId="77777777">
        <w:trPr>
          <w:trHeight w:val="284"/>
        </w:trPr>
        <w:tc>
          <w:tcPr>
            <w:tcW w:w="4911" w:type="dxa"/>
          </w:tcPr>
          <w:p w14:paraId="007FF57D" w14:textId="77777777" w:rsidR="006E4E11" w:rsidRDefault="006E4E11">
            <w:pPr>
              <w:pStyle w:val="Avsndare"/>
              <w:framePr w:h="2483" w:wrap="notBeside" w:x="1504"/>
              <w:rPr>
                <w:bCs/>
                <w:iCs/>
              </w:rPr>
            </w:pPr>
          </w:p>
        </w:tc>
      </w:tr>
      <w:tr w:rsidR="006E4E11" w14:paraId="6CB9E49C" w14:textId="77777777">
        <w:trPr>
          <w:trHeight w:val="284"/>
        </w:trPr>
        <w:tc>
          <w:tcPr>
            <w:tcW w:w="4911" w:type="dxa"/>
          </w:tcPr>
          <w:p w14:paraId="4976C6EA" w14:textId="77777777" w:rsidR="006E4E11" w:rsidRDefault="006E4E11">
            <w:pPr>
              <w:pStyle w:val="Avsndare"/>
              <w:framePr w:h="2483" w:wrap="notBeside" w:x="1504"/>
              <w:rPr>
                <w:bCs/>
                <w:iCs/>
              </w:rPr>
            </w:pPr>
          </w:p>
        </w:tc>
      </w:tr>
      <w:tr w:rsidR="006E4E11" w14:paraId="10EDF52A" w14:textId="77777777">
        <w:trPr>
          <w:trHeight w:val="284"/>
        </w:trPr>
        <w:tc>
          <w:tcPr>
            <w:tcW w:w="4911" w:type="dxa"/>
          </w:tcPr>
          <w:p w14:paraId="32841A33" w14:textId="6690E562" w:rsidR="006E4E11" w:rsidRDefault="0059451F">
            <w:pPr>
              <w:pStyle w:val="Avsndare"/>
              <w:framePr w:h="2483" w:wrap="notBeside" w:x="1504"/>
              <w:rPr>
                <w:bCs/>
                <w:iCs/>
              </w:rPr>
            </w:pPr>
            <w:r>
              <w:rPr>
                <w:bCs/>
                <w:iCs/>
              </w:rPr>
              <w:t>Gemensamberedning med SB/EU, SB/SAM, UD/FIM</w:t>
            </w:r>
            <w:r w:rsidR="00CB5D42">
              <w:rPr>
                <w:bCs/>
                <w:iCs/>
              </w:rPr>
              <w:t>, Fi/BA, FÖ/SSK, N/ENT, EU-REP</w:t>
            </w:r>
          </w:p>
        </w:tc>
      </w:tr>
      <w:tr w:rsidR="006E4E11" w14:paraId="08D825AF" w14:textId="77777777">
        <w:trPr>
          <w:trHeight w:val="284"/>
        </w:trPr>
        <w:tc>
          <w:tcPr>
            <w:tcW w:w="4911" w:type="dxa"/>
          </w:tcPr>
          <w:p w14:paraId="13E30F8C" w14:textId="77777777" w:rsidR="006E4E11" w:rsidRDefault="006E4E11">
            <w:pPr>
              <w:pStyle w:val="Avsndare"/>
              <w:framePr w:h="2483" w:wrap="notBeside" w:x="1504"/>
              <w:rPr>
                <w:bCs/>
                <w:iCs/>
              </w:rPr>
            </w:pPr>
          </w:p>
        </w:tc>
      </w:tr>
      <w:tr w:rsidR="006E4E11" w14:paraId="6141350E" w14:textId="77777777">
        <w:trPr>
          <w:trHeight w:val="284"/>
        </w:trPr>
        <w:tc>
          <w:tcPr>
            <w:tcW w:w="4911" w:type="dxa"/>
          </w:tcPr>
          <w:p w14:paraId="672A6A69" w14:textId="77777777" w:rsidR="006E4E11" w:rsidRDefault="006E4E11">
            <w:pPr>
              <w:pStyle w:val="Avsndare"/>
              <w:framePr w:h="2483" w:wrap="notBeside" w:x="1504"/>
              <w:rPr>
                <w:bCs/>
                <w:iCs/>
              </w:rPr>
            </w:pPr>
          </w:p>
        </w:tc>
      </w:tr>
    </w:tbl>
    <w:p w14:paraId="1D9D3E0B" w14:textId="77777777" w:rsidR="006E4E11" w:rsidRPr="002203F6" w:rsidRDefault="006E4E11">
      <w:pPr>
        <w:framePr w:w="4400" w:h="2523" w:wrap="notBeside" w:vAnchor="page" w:hAnchor="page" w:x="6453" w:y="2445"/>
        <w:ind w:left="142"/>
        <w:rPr>
          <w:b/>
        </w:rPr>
      </w:pPr>
    </w:p>
    <w:p w14:paraId="676C2513" w14:textId="19D3413D" w:rsidR="00BC5BC0" w:rsidRDefault="0059506E" w:rsidP="00BC5BC0">
      <w:pPr>
        <w:pStyle w:val="RKrubrik"/>
        <w:pBdr>
          <w:bottom w:val="single" w:sz="6" w:space="1" w:color="auto"/>
        </w:pBdr>
      </w:pPr>
      <w:bookmarkStart w:id="0" w:name="bRubrik"/>
      <w:bookmarkEnd w:id="0"/>
      <w:r>
        <w:rPr>
          <w:noProof/>
          <w:lang w:eastAsia="sv-SE"/>
        </w:rPr>
        <mc:AlternateContent>
          <mc:Choice Requires="wps">
            <w:drawing>
              <wp:anchor distT="0" distB="0" distL="114300" distR="114300" simplePos="0" relativeHeight="251660288" behindDoc="0" locked="0" layoutInCell="1" allowOverlap="1" wp14:editId="5C7996CC">
                <wp:simplePos x="0" y="0"/>
                <wp:positionH relativeFrom="column">
                  <wp:posOffset>3901440</wp:posOffset>
                </wp:positionH>
                <wp:positionV relativeFrom="paragraph">
                  <wp:posOffset>-1380490</wp:posOffset>
                </wp:positionV>
                <wp:extent cx="1746250" cy="640080"/>
                <wp:effectExtent l="0" t="0" r="0" b="762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E2A4F7B" w14:textId="09931F4D" w:rsidR="0059506E" w:rsidRPr="0059506E" w:rsidRDefault="0059506E" w:rsidP="0059506E">
                            <w:pPr>
                              <w:rPr>
                                <w:rFonts w:ascii="Times New Roman" w:hAnsi="Times New Roman"/>
                              </w:rPr>
                            </w:pPr>
                            <w:r w:rsidRPr="0059506E">
                              <w:rPr>
                                <w:rFonts w:ascii="Times New Roman" w:hAnsi="Times New Roman"/>
                              </w:rPr>
                              <w:t>KKR</w:t>
                            </w:r>
                            <w:r>
                              <w:rPr>
                                <w:rFonts w:ascii="Times New Roman" w:hAnsi="Times New Roman"/>
                              </w:rPr>
                              <w:t xml:space="preserve">, </w:t>
                            </w:r>
                            <w:proofErr w:type="spellStart"/>
                            <w:r>
                              <w:rPr>
                                <w:rFonts w:ascii="Times New Roman" w:hAnsi="Times New Roman"/>
                              </w:rPr>
                              <w:t>dp</w:t>
                            </w:r>
                            <w:proofErr w:type="spellEnd"/>
                            <w:r>
                              <w:rPr>
                                <w:rFonts w:ascii="Times New Roman" w:hAnsi="Times New Roman"/>
                              </w:rPr>
                              <w:t>. 5</w:t>
                            </w:r>
                            <w:bookmarkStart w:id="1" w:name="_GoBack"/>
                            <w:bookmarkEnd w:id="1"/>
                            <w:r w:rsidRPr="0059506E">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07.2pt;margin-top:-108.7pt;width:137.5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" filled="f" stroked="f" strokeweight=".5pt">
                <v:path arrowok="t"/>
                <v:textbox>
                  <w:txbxContent>
                    <w:p w14:paraId="3E2A4F7B" w14:textId="09931F4D" w:rsidR="0059506E" w:rsidRPr="0059506E" w:rsidRDefault="0059506E" w:rsidP="0059506E">
                      <w:pPr>
                        <w:rPr>
                          <w:rFonts w:ascii="Times New Roman" w:hAnsi="Times New Roman"/>
                        </w:rPr>
                      </w:pPr>
                      <w:r w:rsidRPr="0059506E">
                        <w:rPr>
                          <w:rFonts w:ascii="Times New Roman" w:hAnsi="Times New Roman"/>
                        </w:rPr>
                        <w:t>KKR</w:t>
                      </w:r>
                      <w:r>
                        <w:rPr>
                          <w:rFonts w:ascii="Times New Roman" w:hAnsi="Times New Roman"/>
                        </w:rPr>
                        <w:t xml:space="preserve">, </w:t>
                      </w:r>
                      <w:proofErr w:type="spellStart"/>
                      <w:r>
                        <w:rPr>
                          <w:rFonts w:ascii="Times New Roman" w:hAnsi="Times New Roman"/>
                        </w:rPr>
                        <w:t>dp</w:t>
                      </w:r>
                      <w:proofErr w:type="spellEnd"/>
                      <w:r>
                        <w:rPr>
                          <w:rFonts w:ascii="Times New Roman" w:hAnsi="Times New Roman"/>
                        </w:rPr>
                        <w:t>. 5</w:t>
                      </w:r>
                      <w:bookmarkStart w:id="2" w:name="_GoBack"/>
                      <w:bookmarkEnd w:id="2"/>
                      <w:r w:rsidRPr="0059506E">
                        <w:rPr>
                          <w:rFonts w:ascii="Times New Roman" w:hAnsi="Times New Roman"/>
                        </w:rPr>
                        <w:t xml:space="preserve"> </w:t>
                      </w:r>
                    </w:p>
                  </w:txbxContent>
                </v:textbox>
              </v:shape>
            </w:pict>
          </mc:Fallback>
        </mc:AlternateContent>
      </w:r>
      <w:r w:rsidR="00BC5BC0">
        <w:t>Rådets möte (KKR) den 4-5 december 2014</w:t>
      </w:r>
    </w:p>
    <w:p w14:paraId="2B8D2232" w14:textId="1A2ADE3B" w:rsidR="002203F6" w:rsidRDefault="002203F6">
      <w:pPr>
        <w:pStyle w:val="RKnormal"/>
      </w:pPr>
    </w:p>
    <w:p w14:paraId="7BBE276A" w14:textId="232538DE" w:rsidR="0059451F" w:rsidRDefault="00AE27FB" w:rsidP="0059451F">
      <w:pPr>
        <w:pStyle w:val="RKnormal"/>
      </w:pPr>
      <w:r>
        <w:t>Dagordningspunkt 5</w:t>
      </w:r>
    </w:p>
    <w:p w14:paraId="48FB0B2A" w14:textId="77777777" w:rsidR="0059451F" w:rsidRDefault="0059451F" w:rsidP="0059451F">
      <w:pPr>
        <w:pStyle w:val="RKnormal"/>
      </w:pPr>
    </w:p>
    <w:p w14:paraId="61E81542" w14:textId="77777777" w:rsidR="0059451F" w:rsidRPr="00B62E2D" w:rsidRDefault="0059451F" w:rsidP="0059451F">
      <w:pPr>
        <w:pStyle w:val="RKnormal"/>
      </w:pPr>
      <w:r w:rsidRPr="00B62E2D">
        <w:t xml:space="preserve">Rubrik: </w:t>
      </w:r>
      <w:r w:rsidRPr="00CA3CF5">
        <w:t xml:space="preserve">Förslag till Europaparlamentets och rådets förordning om </w:t>
      </w:r>
      <w:r>
        <w:t>linbaneanläggningar</w:t>
      </w:r>
      <w:r w:rsidRPr="00B62E2D">
        <w:t xml:space="preserve"> </w:t>
      </w:r>
      <w:r>
        <w:t>(Första läsning</w:t>
      </w:r>
      <w:r w:rsidRPr="00B62E2D">
        <w:t>)</w:t>
      </w:r>
    </w:p>
    <w:p w14:paraId="1F847E5D" w14:textId="4EF9B349" w:rsidR="0059451F" w:rsidRDefault="0059451F" w:rsidP="0059451F">
      <w:pPr>
        <w:pStyle w:val="RKnormal"/>
      </w:pPr>
    </w:p>
    <w:p w14:paraId="38F07327" w14:textId="77777777" w:rsidR="0059451F" w:rsidRPr="005B0119" w:rsidRDefault="0059451F" w:rsidP="0059451F">
      <w:pPr>
        <w:pStyle w:val="RKnormal"/>
      </w:pPr>
      <w:r>
        <w:t>Dokument: 2014/0107 (COD)</w:t>
      </w:r>
    </w:p>
    <w:p w14:paraId="7B7E6FF0" w14:textId="77777777" w:rsidR="0059451F" w:rsidRDefault="0059451F" w:rsidP="0059451F">
      <w:pPr>
        <w:pStyle w:val="RKnormal"/>
      </w:pPr>
    </w:p>
    <w:p w14:paraId="3C99430C" w14:textId="77777777" w:rsidR="0059451F" w:rsidRDefault="0059451F" w:rsidP="0059451F">
      <w:pPr>
        <w:pStyle w:val="RKnormal"/>
      </w:pPr>
      <w:r>
        <w:t>Tidigare dokument: Faktapromemoria</w:t>
      </w:r>
      <w:r w:rsidRPr="00FC5EB9">
        <w:t xml:space="preserve"> 2013/</w:t>
      </w:r>
      <w:proofErr w:type="gramStart"/>
      <w:r w:rsidRPr="00FC5EB9">
        <w:t>14:FPM</w:t>
      </w:r>
      <w:proofErr w:type="gramEnd"/>
      <w:r w:rsidRPr="00FC5EB9">
        <w:t>81</w:t>
      </w:r>
    </w:p>
    <w:p w14:paraId="5EADFCBF" w14:textId="77777777" w:rsidR="0059451F" w:rsidRDefault="0059451F" w:rsidP="0059451F">
      <w:pPr>
        <w:pStyle w:val="RKnormal"/>
      </w:pPr>
    </w:p>
    <w:p w14:paraId="53C61FF9" w14:textId="77777777" w:rsidR="0059451F" w:rsidRDefault="0059451F" w:rsidP="0059451F">
      <w:pPr>
        <w:pStyle w:val="RKnormal"/>
      </w:pPr>
      <w:r>
        <w:t>Information för civilutskottet ägde rum den 20 november 2014. Förslaget har inte tidigare behandlats vid samråd med EU-nämnden.</w:t>
      </w:r>
    </w:p>
    <w:p w14:paraId="72C58592" w14:textId="77777777" w:rsidR="0059451F" w:rsidRDefault="0059451F" w:rsidP="0059451F">
      <w:pPr>
        <w:pStyle w:val="RKrubrik"/>
      </w:pPr>
      <w:r>
        <w:t>Bakgrund</w:t>
      </w:r>
    </w:p>
    <w:p w14:paraId="1EA22462" w14:textId="77777777" w:rsidR="0059451F" w:rsidRDefault="0059451F" w:rsidP="0059451F">
      <w:pPr>
        <w:rPr>
          <w:szCs w:val="24"/>
        </w:rPr>
      </w:pPr>
      <w:r w:rsidRPr="004C29B1">
        <w:rPr>
          <w:szCs w:val="24"/>
        </w:rPr>
        <w:t>I mars 2014 pr</w:t>
      </w:r>
      <w:r>
        <w:rPr>
          <w:szCs w:val="24"/>
        </w:rPr>
        <w:t>esenterade EU-kommissionen förslaget</w:t>
      </w:r>
      <w:r w:rsidRPr="004C29B1">
        <w:rPr>
          <w:szCs w:val="24"/>
        </w:rPr>
        <w:t xml:space="preserve"> till f</w:t>
      </w:r>
      <w:r w:rsidRPr="004C29B1">
        <w:rPr>
          <w:rFonts w:hint="eastAsia"/>
          <w:szCs w:val="24"/>
        </w:rPr>
        <w:t>ö</w:t>
      </w:r>
      <w:r w:rsidRPr="004C29B1">
        <w:rPr>
          <w:szCs w:val="24"/>
        </w:rPr>
        <w:t>rordning f</w:t>
      </w:r>
      <w:r w:rsidRPr="004C29B1">
        <w:rPr>
          <w:rFonts w:hint="eastAsia"/>
          <w:szCs w:val="24"/>
        </w:rPr>
        <w:t>ö</w:t>
      </w:r>
      <w:r w:rsidRPr="004C29B1">
        <w:rPr>
          <w:szCs w:val="24"/>
        </w:rPr>
        <w:t>r linbaneanl</w:t>
      </w:r>
      <w:r w:rsidRPr="004C29B1">
        <w:rPr>
          <w:rFonts w:hint="eastAsia"/>
          <w:szCs w:val="24"/>
        </w:rPr>
        <w:t>ä</w:t>
      </w:r>
      <w:r w:rsidRPr="004C29B1">
        <w:rPr>
          <w:szCs w:val="24"/>
        </w:rPr>
        <w:t xml:space="preserve">ggningar. </w:t>
      </w:r>
      <w:r>
        <w:rPr>
          <w:szCs w:val="24"/>
        </w:rPr>
        <w:t xml:space="preserve">Under året har sju möten hållits i rådsarbetsgruppen för teknisk harmonisering. </w:t>
      </w:r>
    </w:p>
    <w:p w14:paraId="4D5A7E1F" w14:textId="77777777" w:rsidR="0059451F" w:rsidRDefault="0059451F" w:rsidP="0059451F">
      <w:pPr>
        <w:rPr>
          <w:szCs w:val="24"/>
        </w:rPr>
      </w:pPr>
    </w:p>
    <w:p w14:paraId="23A53FC8" w14:textId="77777777" w:rsidR="0059451F" w:rsidRDefault="0059451F" w:rsidP="0059451F">
      <w:pPr>
        <w:rPr>
          <w:szCs w:val="24"/>
        </w:rPr>
      </w:pPr>
      <w:r w:rsidRPr="004C29B1">
        <w:rPr>
          <w:szCs w:val="24"/>
        </w:rPr>
        <w:t>Idag finns ett direktiv</w:t>
      </w:r>
      <w:r>
        <w:rPr>
          <w:szCs w:val="24"/>
        </w:rPr>
        <w:t xml:space="preserve"> </w:t>
      </w:r>
      <w:r w:rsidRPr="004C29B1">
        <w:rPr>
          <w:szCs w:val="24"/>
        </w:rPr>
        <w:t>(Europaparlamentets och r</w:t>
      </w:r>
      <w:r w:rsidRPr="004C29B1">
        <w:rPr>
          <w:rFonts w:hint="eastAsia"/>
          <w:szCs w:val="24"/>
        </w:rPr>
        <w:t>å</w:t>
      </w:r>
      <w:r w:rsidRPr="004C29B1">
        <w:rPr>
          <w:szCs w:val="24"/>
        </w:rPr>
        <w:t>dets direktiv 2000/9/EG av den 20 mars 2000 om linbaneanl</w:t>
      </w:r>
      <w:r w:rsidRPr="004C29B1">
        <w:rPr>
          <w:rFonts w:hint="eastAsia"/>
          <w:szCs w:val="24"/>
        </w:rPr>
        <w:t>ä</w:t>
      </w:r>
      <w:r w:rsidRPr="004C29B1">
        <w:rPr>
          <w:szCs w:val="24"/>
        </w:rPr>
        <w:t>ggningar f</w:t>
      </w:r>
      <w:r w:rsidRPr="004C29B1">
        <w:rPr>
          <w:rFonts w:hint="eastAsia"/>
          <w:szCs w:val="24"/>
        </w:rPr>
        <w:t>ö</w:t>
      </w:r>
      <w:r w:rsidRPr="004C29B1">
        <w:rPr>
          <w:szCs w:val="24"/>
        </w:rPr>
        <w:t xml:space="preserve">r persontransport). </w:t>
      </w:r>
      <w:r w:rsidRPr="00BA122F">
        <w:rPr>
          <w:noProof/>
        </w:rPr>
        <w:t xml:space="preserve">Förslaget </w:t>
      </w:r>
      <w:r>
        <w:rPr>
          <w:noProof/>
        </w:rPr>
        <w:t xml:space="preserve">till förordning </w:t>
      </w:r>
      <w:r w:rsidRPr="00BA122F">
        <w:rPr>
          <w:noProof/>
        </w:rPr>
        <w:t>syftar till</w:t>
      </w:r>
      <w:r>
        <w:rPr>
          <w:noProof/>
        </w:rPr>
        <w:t xml:space="preserve"> att anpassa direktivet </w:t>
      </w:r>
      <w:r w:rsidRPr="00BA122F">
        <w:rPr>
          <w:noProof/>
        </w:rPr>
        <w:t>till det s.k</w:t>
      </w:r>
      <w:r>
        <w:rPr>
          <w:noProof/>
        </w:rPr>
        <w:t>. varupaketet, som antogs 2008 samt att åtgärda vissa problem som uppstått i samband med genomförandet av gällande direktiv. (Se vidare under rubriken Förslaget.)</w:t>
      </w:r>
    </w:p>
    <w:p w14:paraId="158CB14D" w14:textId="77777777" w:rsidR="0059451F" w:rsidRDefault="0059451F" w:rsidP="0059451F">
      <w:pPr>
        <w:pStyle w:val="RKrubrik"/>
      </w:pPr>
      <w:r>
        <w:t>Rättslig grund och beslutsförfarande</w:t>
      </w:r>
    </w:p>
    <w:p w14:paraId="517AA20D" w14:textId="77777777" w:rsidR="0059451F" w:rsidRDefault="0059451F" w:rsidP="0059451F">
      <w:pPr>
        <w:pStyle w:val="RKnormal"/>
      </w:pPr>
      <w:r>
        <w:t>Förslaget till förordning är baserat på artikel 114 i fördraget om Europeiska unionens funktionssätt (FEUF). Artikel 114 behandlar upprättandet av den inre marknaden inom EU.</w:t>
      </w:r>
    </w:p>
    <w:p w14:paraId="68A7A6B6" w14:textId="77777777" w:rsidR="0059451F" w:rsidRDefault="0059451F" w:rsidP="0059451F">
      <w:pPr>
        <w:pStyle w:val="RKnormal"/>
      </w:pPr>
    </w:p>
    <w:p w14:paraId="02B373BB" w14:textId="77777777" w:rsidR="0059451F" w:rsidRDefault="0059451F" w:rsidP="0059451F">
      <w:pPr>
        <w:pStyle w:val="RKnormal"/>
      </w:pPr>
      <w:r>
        <w:lastRenderedPageBreak/>
        <w:t>Ordinarie lagstiftningsförfarande gäller, vilket innebär att Europaparlamentet har möjlighet att inge förslag till ändringar samt att beslut fattas med kvalificerad majoritet i rådet.</w:t>
      </w:r>
    </w:p>
    <w:p w14:paraId="396B77B8" w14:textId="77777777" w:rsidR="0059451F" w:rsidRPr="00CA4C4F" w:rsidRDefault="0059451F" w:rsidP="0059451F">
      <w:pPr>
        <w:pStyle w:val="RKrubrik"/>
        <w:rPr>
          <w:iCs/>
        </w:rPr>
      </w:pPr>
      <w:r w:rsidRPr="00CA4C4F">
        <w:rPr>
          <w:iCs/>
        </w:rPr>
        <w:t>Svensk ståndpunkt</w:t>
      </w:r>
    </w:p>
    <w:p w14:paraId="6ADC9CD1" w14:textId="77777777" w:rsidR="0059451F" w:rsidRDefault="0059451F" w:rsidP="0059451F">
      <w:pPr>
        <w:pStyle w:val="RKnormal"/>
      </w:pPr>
      <w:r>
        <w:t>Regeringen</w:t>
      </w:r>
      <w:r w:rsidRPr="00B4512F">
        <w:t xml:space="preserve"> </w:t>
      </w:r>
      <w:r>
        <w:t>kan stödja ordförandeskapets förslag.</w:t>
      </w:r>
    </w:p>
    <w:p w14:paraId="2C790001" w14:textId="77777777" w:rsidR="0059451F" w:rsidRDefault="0059451F" w:rsidP="0059451F">
      <w:pPr>
        <w:pStyle w:val="RKnormal"/>
      </w:pPr>
    </w:p>
    <w:p w14:paraId="3901E66D" w14:textId="77777777" w:rsidR="0059451F" w:rsidRDefault="0059451F" w:rsidP="0059451F">
      <w:pPr>
        <w:pStyle w:val="RKnormal"/>
      </w:pPr>
      <w:r>
        <w:t>R</w:t>
      </w:r>
      <w:r w:rsidRPr="001D6D1F">
        <w:t xml:space="preserve">egeringen </w:t>
      </w:r>
      <w:r>
        <w:t xml:space="preserve">är </w:t>
      </w:r>
      <w:r w:rsidRPr="001D6D1F">
        <w:t>positivt inställt</w:t>
      </w:r>
      <w:r>
        <w:t xml:space="preserve"> till förslaget avseende anpassning till det s.k. varupaketet och till de förtydliganden som förslaget innebär jämfört med nu gällande direktiv</w:t>
      </w:r>
      <w:r w:rsidRPr="001D6D1F">
        <w:t xml:space="preserve">. Anpassningen till beslutet 768/2008/EG </w:t>
      </w:r>
      <w:r>
        <w:t xml:space="preserve">(i varupaketet) </w:t>
      </w:r>
      <w:r w:rsidRPr="001D6D1F">
        <w:t>förväntas ha positiva effekter genom att förtydliga de olika inblandade ekonomiska aktö</w:t>
      </w:r>
      <w:r>
        <w:t>rernas ansvar och skyldigheter.</w:t>
      </w:r>
    </w:p>
    <w:p w14:paraId="18F1C90E" w14:textId="77777777" w:rsidR="0059451F" w:rsidRDefault="0059451F" w:rsidP="0059451F">
      <w:pPr>
        <w:pStyle w:val="RKnormal"/>
      </w:pPr>
    </w:p>
    <w:p w14:paraId="0EBACF51" w14:textId="77777777" w:rsidR="0059451F" w:rsidRDefault="0059451F" w:rsidP="0059451F">
      <w:pPr>
        <w:pStyle w:val="RKnormal"/>
        <w:rPr>
          <w:szCs w:val="24"/>
        </w:rPr>
      </w:pPr>
      <w:r>
        <w:rPr>
          <w:szCs w:val="24"/>
        </w:rPr>
        <w:t>En viktig fråga</w:t>
      </w:r>
      <w:r w:rsidRPr="00F066BF">
        <w:rPr>
          <w:szCs w:val="24"/>
        </w:rPr>
        <w:t xml:space="preserve"> f</w:t>
      </w:r>
      <w:r w:rsidRPr="00F066BF">
        <w:rPr>
          <w:rFonts w:hint="eastAsia"/>
          <w:szCs w:val="24"/>
        </w:rPr>
        <w:t>ö</w:t>
      </w:r>
      <w:r w:rsidRPr="00F066BF">
        <w:rPr>
          <w:szCs w:val="24"/>
        </w:rPr>
        <w:t xml:space="preserve">r </w:t>
      </w:r>
      <w:r>
        <w:rPr>
          <w:szCs w:val="24"/>
        </w:rPr>
        <w:t>Sverige</w:t>
      </w:r>
      <w:r w:rsidRPr="00F066BF">
        <w:rPr>
          <w:szCs w:val="24"/>
        </w:rPr>
        <w:t xml:space="preserve"> </w:t>
      </w:r>
      <w:r>
        <w:rPr>
          <w:szCs w:val="24"/>
        </w:rPr>
        <w:t xml:space="preserve">under förhandlingarna </w:t>
      </w:r>
      <w:r w:rsidRPr="00F066BF">
        <w:rPr>
          <w:szCs w:val="24"/>
        </w:rPr>
        <w:t>har varit att f</w:t>
      </w:r>
      <w:r w:rsidRPr="00F066BF">
        <w:rPr>
          <w:rFonts w:hint="eastAsia"/>
          <w:szCs w:val="24"/>
        </w:rPr>
        <w:t>ö</w:t>
      </w:r>
      <w:r w:rsidRPr="00F066BF">
        <w:rPr>
          <w:szCs w:val="24"/>
        </w:rPr>
        <w:t>rs</w:t>
      </w:r>
      <w:r w:rsidRPr="00F066BF">
        <w:rPr>
          <w:rFonts w:hint="eastAsia"/>
          <w:szCs w:val="24"/>
        </w:rPr>
        <w:t>ä</w:t>
      </w:r>
      <w:r w:rsidRPr="00F066BF">
        <w:rPr>
          <w:szCs w:val="24"/>
        </w:rPr>
        <w:t>kra sig om att f</w:t>
      </w:r>
      <w:r w:rsidRPr="00F066BF">
        <w:rPr>
          <w:rFonts w:hint="eastAsia"/>
          <w:szCs w:val="24"/>
        </w:rPr>
        <w:t>ö</w:t>
      </w:r>
      <w:r w:rsidRPr="00F066BF">
        <w:rPr>
          <w:szCs w:val="24"/>
        </w:rPr>
        <w:t>rordningen inte kr</w:t>
      </w:r>
      <w:r w:rsidRPr="00F066BF">
        <w:rPr>
          <w:rFonts w:hint="eastAsia"/>
          <w:szCs w:val="24"/>
        </w:rPr>
        <w:t>ä</w:t>
      </w:r>
      <w:r w:rsidRPr="00F066BF">
        <w:rPr>
          <w:szCs w:val="24"/>
        </w:rPr>
        <w:t>ver att en s</w:t>
      </w:r>
      <w:r w:rsidRPr="00F066BF">
        <w:rPr>
          <w:rFonts w:hint="eastAsia"/>
          <w:szCs w:val="24"/>
        </w:rPr>
        <w:t>ä</w:t>
      </w:r>
      <w:r w:rsidRPr="00F066BF">
        <w:rPr>
          <w:szCs w:val="24"/>
        </w:rPr>
        <w:t>rskild myndighet inr</w:t>
      </w:r>
      <w:r w:rsidRPr="00F066BF">
        <w:rPr>
          <w:rFonts w:hint="eastAsia"/>
          <w:szCs w:val="24"/>
        </w:rPr>
        <w:t>ä</w:t>
      </w:r>
      <w:r w:rsidRPr="00F066BF">
        <w:rPr>
          <w:szCs w:val="24"/>
        </w:rPr>
        <w:t>ttas som ska godk</w:t>
      </w:r>
      <w:r w:rsidRPr="00F066BF">
        <w:rPr>
          <w:rFonts w:hint="eastAsia"/>
          <w:szCs w:val="24"/>
        </w:rPr>
        <w:t>ä</w:t>
      </w:r>
      <w:r w:rsidRPr="00F066BF">
        <w:rPr>
          <w:szCs w:val="24"/>
        </w:rPr>
        <w:t>nna linbaneanl</w:t>
      </w:r>
      <w:r w:rsidRPr="00F066BF">
        <w:rPr>
          <w:rFonts w:hint="eastAsia"/>
          <w:szCs w:val="24"/>
        </w:rPr>
        <w:t>ä</w:t>
      </w:r>
      <w:r>
        <w:rPr>
          <w:szCs w:val="24"/>
        </w:rPr>
        <w:t xml:space="preserve">ggningar. I Sverige har vi sedan länge ett system med ackrediterade organ som kontrollerar anläggningarna. Här har ordförandeskapet gått Sverige till mötes och kompletterat texten enligt Sveriges önskemål. </w:t>
      </w:r>
    </w:p>
    <w:p w14:paraId="2FB016DE" w14:textId="77777777" w:rsidR="0059451F" w:rsidRDefault="0059451F" w:rsidP="0059451F">
      <w:pPr>
        <w:pStyle w:val="RKnormal"/>
        <w:rPr>
          <w:szCs w:val="24"/>
        </w:rPr>
      </w:pPr>
    </w:p>
    <w:p w14:paraId="1169FE38" w14:textId="77777777" w:rsidR="0059451F" w:rsidRDefault="0059451F" w:rsidP="0059451F">
      <w:pPr>
        <w:pStyle w:val="RKnormal"/>
        <w:rPr>
          <w:szCs w:val="24"/>
        </w:rPr>
      </w:pPr>
      <w:r>
        <w:rPr>
          <w:szCs w:val="24"/>
        </w:rPr>
        <w:t>En annan fråga Sverige lyft har gällt otydlighet</w:t>
      </w:r>
      <w:r w:rsidRPr="000D79E0">
        <w:rPr>
          <w:szCs w:val="24"/>
        </w:rPr>
        <w:t xml:space="preserve"> kring vad som gäller för delsystem och säkerhetskomponenter som en tillverkare inte släpper ut på marknaden separat, utan integrerar i en anläggning</w:t>
      </w:r>
      <w:r>
        <w:rPr>
          <w:szCs w:val="24"/>
        </w:rPr>
        <w:t xml:space="preserve">. </w:t>
      </w:r>
      <w:r>
        <w:t xml:space="preserve">Sverige har varit angeläget om att även dessa produkter ska anses utsläppta på marknaden och därmed omfattas av förordningens krav. </w:t>
      </w:r>
      <w:r>
        <w:rPr>
          <w:szCs w:val="24"/>
        </w:rPr>
        <w:t xml:space="preserve">Här har ordförandeskapet delvis gått Sverige till mötes och gjort kompletteringar i texten. Sverige har även lyft en del andra mindre frågor efter inspel från framför allt Boverket och </w:t>
      </w:r>
      <w:proofErr w:type="spellStart"/>
      <w:r>
        <w:rPr>
          <w:szCs w:val="24"/>
        </w:rPr>
        <w:t>Swedac</w:t>
      </w:r>
      <w:proofErr w:type="spellEnd"/>
      <w:r>
        <w:rPr>
          <w:szCs w:val="24"/>
        </w:rPr>
        <w:t xml:space="preserve">. </w:t>
      </w:r>
    </w:p>
    <w:p w14:paraId="2A4A6D55" w14:textId="77777777" w:rsidR="0059451F" w:rsidRDefault="0059451F" w:rsidP="0059451F">
      <w:pPr>
        <w:pStyle w:val="RKnormal"/>
        <w:rPr>
          <w:szCs w:val="24"/>
        </w:rPr>
      </w:pPr>
    </w:p>
    <w:p w14:paraId="04511832" w14:textId="77777777" w:rsidR="0059451F" w:rsidRDefault="0059451F" w:rsidP="0059451F">
      <w:pPr>
        <w:pStyle w:val="RKnormal"/>
        <w:rPr>
          <w:szCs w:val="24"/>
        </w:rPr>
      </w:pPr>
      <w:r>
        <w:rPr>
          <w:szCs w:val="24"/>
        </w:rPr>
        <w:t>I slutskedet av förhandlingarna har s</w:t>
      </w:r>
      <w:r w:rsidRPr="000D79E0">
        <w:rPr>
          <w:szCs w:val="24"/>
        </w:rPr>
        <w:t xml:space="preserve">amordning </w:t>
      </w:r>
      <w:r>
        <w:rPr>
          <w:szCs w:val="24"/>
        </w:rPr>
        <w:t xml:space="preserve">kring svensk ståndpunkt skett </w:t>
      </w:r>
      <w:r w:rsidRPr="000D79E0">
        <w:rPr>
          <w:szCs w:val="24"/>
        </w:rPr>
        <w:t>med förhandlingar</w:t>
      </w:r>
      <w:r>
        <w:rPr>
          <w:szCs w:val="24"/>
        </w:rPr>
        <w:t>na</w:t>
      </w:r>
      <w:r w:rsidRPr="000D79E0">
        <w:rPr>
          <w:szCs w:val="24"/>
        </w:rPr>
        <w:t xml:space="preserve"> om förordning för anordningar för gasformiga bränslen och förordning för </w:t>
      </w:r>
      <w:r>
        <w:rPr>
          <w:szCs w:val="24"/>
        </w:rPr>
        <w:t>personlig skyddsutrustning. Samordningen har bl.a. handlat om sanktionsbestämmelser. De tre förordningsförslagen har förhandlats i samma rådsarbetsgrupp.</w:t>
      </w:r>
    </w:p>
    <w:p w14:paraId="3619E020" w14:textId="77777777" w:rsidR="0059451F" w:rsidRDefault="0059451F" w:rsidP="0059451F">
      <w:pPr>
        <w:pStyle w:val="RKrubrik"/>
      </w:pPr>
      <w:r>
        <w:t>Europaparlamentets inställning</w:t>
      </w:r>
    </w:p>
    <w:p w14:paraId="19B7FAAD" w14:textId="77777777" w:rsidR="0059451F" w:rsidRDefault="0059451F" w:rsidP="0059451F">
      <w:pPr>
        <w:pStyle w:val="RKnormal"/>
      </w:pPr>
      <w:r>
        <w:t>EP:s inställning är ännu inte känd. Förhandling mellan rådet och EP väntas ske under våren 2015.</w:t>
      </w:r>
    </w:p>
    <w:p w14:paraId="42188A87" w14:textId="77777777" w:rsidR="0059451F" w:rsidRPr="00A64BB5" w:rsidRDefault="0059451F" w:rsidP="0059451F">
      <w:pPr>
        <w:pStyle w:val="RKrubrik"/>
        <w:rPr>
          <w:iCs/>
        </w:rPr>
      </w:pPr>
      <w:r w:rsidRPr="00624D72">
        <w:rPr>
          <w:iCs/>
        </w:rPr>
        <w:t>Förslaget</w:t>
      </w:r>
    </w:p>
    <w:p w14:paraId="4287220D" w14:textId="479CE931" w:rsidR="0059451F" w:rsidRDefault="0059451F" w:rsidP="0059451F">
      <w:pPr>
        <w:rPr>
          <w:noProof/>
        </w:rPr>
      </w:pPr>
      <w:r w:rsidRPr="004C29B1">
        <w:rPr>
          <w:szCs w:val="24"/>
        </w:rPr>
        <w:t>G</w:t>
      </w:r>
      <w:r w:rsidRPr="004C29B1">
        <w:rPr>
          <w:rFonts w:hint="eastAsia"/>
          <w:szCs w:val="24"/>
        </w:rPr>
        <w:t>ä</w:t>
      </w:r>
      <w:r w:rsidRPr="004C29B1">
        <w:rPr>
          <w:szCs w:val="24"/>
        </w:rPr>
        <w:t xml:space="preserve">llande direktiv </w:t>
      </w:r>
      <w:r>
        <w:rPr>
          <w:szCs w:val="24"/>
        </w:rPr>
        <w:t>för linbaneanläggningar (</w:t>
      </w:r>
      <w:r>
        <w:rPr>
          <w:noProof/>
        </w:rPr>
        <w:t xml:space="preserve">2000/9/EG) </w:t>
      </w:r>
      <w:r w:rsidRPr="004C29B1">
        <w:rPr>
          <w:szCs w:val="24"/>
        </w:rPr>
        <w:t>och f</w:t>
      </w:r>
      <w:r w:rsidRPr="004C29B1">
        <w:rPr>
          <w:rFonts w:hint="eastAsia"/>
          <w:szCs w:val="24"/>
        </w:rPr>
        <w:t>ö</w:t>
      </w:r>
      <w:r w:rsidRPr="004C29B1">
        <w:rPr>
          <w:szCs w:val="24"/>
        </w:rPr>
        <w:t>rslaget till f</w:t>
      </w:r>
      <w:r w:rsidRPr="004C29B1">
        <w:rPr>
          <w:rFonts w:hint="eastAsia"/>
          <w:szCs w:val="24"/>
        </w:rPr>
        <w:t>ö</w:t>
      </w:r>
      <w:r w:rsidRPr="004C29B1">
        <w:rPr>
          <w:szCs w:val="24"/>
        </w:rPr>
        <w:t xml:space="preserve">rordning </w:t>
      </w:r>
      <w:r>
        <w:rPr>
          <w:szCs w:val="24"/>
        </w:rPr>
        <w:t>handlar i huvudsak om att garantera</w:t>
      </w:r>
      <w:r w:rsidRPr="004C29B1">
        <w:rPr>
          <w:szCs w:val="24"/>
        </w:rPr>
        <w:t xml:space="preserve"> en grundl</w:t>
      </w:r>
      <w:r w:rsidRPr="004C29B1">
        <w:rPr>
          <w:rFonts w:hint="eastAsia"/>
          <w:szCs w:val="24"/>
        </w:rPr>
        <w:t>ä</w:t>
      </w:r>
      <w:r w:rsidRPr="004C29B1">
        <w:rPr>
          <w:szCs w:val="24"/>
        </w:rPr>
        <w:t>ggande s</w:t>
      </w:r>
      <w:r w:rsidRPr="004C29B1">
        <w:rPr>
          <w:rFonts w:hint="eastAsia"/>
          <w:szCs w:val="24"/>
        </w:rPr>
        <w:t>ä</w:t>
      </w:r>
      <w:r w:rsidRPr="004C29B1">
        <w:rPr>
          <w:szCs w:val="24"/>
        </w:rPr>
        <w:t>kerhetsniv</w:t>
      </w:r>
      <w:r w:rsidRPr="004C29B1">
        <w:rPr>
          <w:rFonts w:hint="eastAsia"/>
          <w:szCs w:val="24"/>
        </w:rPr>
        <w:t>å</w:t>
      </w:r>
      <w:r w:rsidRPr="004C29B1">
        <w:rPr>
          <w:szCs w:val="24"/>
        </w:rPr>
        <w:t xml:space="preserve"> f</w:t>
      </w:r>
      <w:r w:rsidRPr="004C29B1">
        <w:rPr>
          <w:rFonts w:hint="eastAsia"/>
          <w:szCs w:val="24"/>
        </w:rPr>
        <w:t>ö</w:t>
      </w:r>
      <w:r w:rsidRPr="004C29B1">
        <w:rPr>
          <w:szCs w:val="24"/>
        </w:rPr>
        <w:t>r anl</w:t>
      </w:r>
      <w:r w:rsidRPr="004C29B1">
        <w:rPr>
          <w:rFonts w:hint="eastAsia"/>
          <w:szCs w:val="24"/>
        </w:rPr>
        <w:t>ä</w:t>
      </w:r>
      <w:r>
        <w:rPr>
          <w:szCs w:val="24"/>
        </w:rPr>
        <w:t xml:space="preserve">ggningarna och </w:t>
      </w:r>
      <w:r>
        <w:rPr>
          <w:noProof/>
        </w:rPr>
        <w:t>att säkerställa</w:t>
      </w:r>
      <w:r w:rsidRPr="00BA122F">
        <w:rPr>
          <w:noProof/>
        </w:rPr>
        <w:t xml:space="preserve"> fri rörli</w:t>
      </w:r>
      <w:r>
        <w:rPr>
          <w:noProof/>
        </w:rPr>
        <w:t xml:space="preserve">ghet på EU:s inre marknad </w:t>
      </w:r>
      <w:r w:rsidRPr="00BA122F">
        <w:rPr>
          <w:noProof/>
        </w:rPr>
        <w:t>för delsystem och säkerhetskomp</w:t>
      </w:r>
      <w:r>
        <w:rPr>
          <w:noProof/>
        </w:rPr>
        <w:t>onenter</w:t>
      </w:r>
      <w:r w:rsidRPr="00BA122F">
        <w:rPr>
          <w:noProof/>
        </w:rPr>
        <w:t xml:space="preserve">. </w:t>
      </w:r>
      <w:r>
        <w:rPr>
          <w:noProof/>
        </w:rPr>
        <w:t xml:space="preserve">Till delsystem räknas bl.a. linor, korgar, </w:t>
      </w:r>
      <w:r w:rsidR="00D04CC0">
        <w:rPr>
          <w:noProof/>
        </w:rPr>
        <w:t>drivanordningar</w:t>
      </w:r>
      <w:r>
        <w:rPr>
          <w:noProof/>
        </w:rPr>
        <w:t xml:space="preserve"> och mekaniska anordningar. </w:t>
      </w:r>
      <w:r w:rsidRPr="00BA122F">
        <w:rPr>
          <w:noProof/>
        </w:rPr>
        <w:t xml:space="preserve">Tillverkarna måste visa att deras delsystem eller säkerhetskomponenter har konstruerats och tillverkats i enlighet med de </w:t>
      </w:r>
      <w:r w:rsidRPr="00BA122F">
        <w:rPr>
          <w:noProof/>
        </w:rPr>
        <w:lastRenderedPageBreak/>
        <w:t>grundläggand</w:t>
      </w:r>
      <w:r>
        <w:rPr>
          <w:noProof/>
        </w:rPr>
        <w:t>e kraven, anbringa CE-märkning</w:t>
      </w:r>
      <w:r w:rsidRPr="00BA122F">
        <w:rPr>
          <w:noProof/>
        </w:rPr>
        <w:t xml:space="preserve"> och lämna </w:t>
      </w:r>
      <w:r>
        <w:rPr>
          <w:noProof/>
        </w:rPr>
        <w:t>bruksanvisningar för montering.</w:t>
      </w:r>
    </w:p>
    <w:p w14:paraId="553231BA" w14:textId="77777777" w:rsidR="0059451F" w:rsidRDefault="0059451F" w:rsidP="0059451F">
      <w:pPr>
        <w:rPr>
          <w:noProof/>
        </w:rPr>
      </w:pPr>
    </w:p>
    <w:p w14:paraId="01AA80B8" w14:textId="77777777" w:rsidR="0059451F" w:rsidRDefault="0059451F" w:rsidP="0059451F">
      <w:pPr>
        <w:rPr>
          <w:noProof/>
        </w:rPr>
      </w:pPr>
      <w:r w:rsidRPr="00BA122F">
        <w:rPr>
          <w:noProof/>
        </w:rPr>
        <w:t>De viktigast</w:t>
      </w:r>
      <w:r>
        <w:rPr>
          <w:noProof/>
        </w:rPr>
        <w:t>e typerna av linbaneanläggningar</w:t>
      </w:r>
      <w:r w:rsidRPr="00BA122F">
        <w:rPr>
          <w:noProof/>
        </w:rPr>
        <w:t xml:space="preserve"> som omfattas av direktiv</w:t>
      </w:r>
      <w:r>
        <w:rPr>
          <w:noProof/>
        </w:rPr>
        <w:t xml:space="preserve">et och förslaget till förordning </w:t>
      </w:r>
      <w:r w:rsidRPr="00BA122F">
        <w:rPr>
          <w:noProof/>
        </w:rPr>
        <w:t>är bergbanor, gondolbanor, löstagbara stolliftar, fasta stolliftar, pendellinbanor, funitelliftar, kombinerade anläggningar (bestående av flera typer av linbanor, t.ex. gondolbanor och stolliftar) samt släpliftar.</w:t>
      </w:r>
    </w:p>
    <w:p w14:paraId="0518C5A6" w14:textId="77777777" w:rsidR="0059451F" w:rsidRDefault="0059451F" w:rsidP="0059451F">
      <w:pPr>
        <w:rPr>
          <w:noProof/>
        </w:rPr>
      </w:pPr>
    </w:p>
    <w:p w14:paraId="22632AA1" w14:textId="77777777" w:rsidR="0059451F" w:rsidRDefault="0059451F" w:rsidP="0059451F">
      <w:pPr>
        <w:rPr>
          <w:szCs w:val="24"/>
        </w:rPr>
      </w:pPr>
      <w:r w:rsidRPr="00BA122F">
        <w:rPr>
          <w:noProof/>
        </w:rPr>
        <w:t xml:space="preserve">Förslaget </w:t>
      </w:r>
      <w:r>
        <w:rPr>
          <w:noProof/>
        </w:rPr>
        <w:t xml:space="preserve">till förordning </w:t>
      </w:r>
      <w:r w:rsidRPr="00BA122F">
        <w:rPr>
          <w:noProof/>
        </w:rPr>
        <w:t>syftar till att anpassa direktiv 2000/9/EG till det s.k</w:t>
      </w:r>
      <w:r>
        <w:rPr>
          <w:noProof/>
        </w:rPr>
        <w:t xml:space="preserve">. varupaketet, som antogs 2008. Anpassning sker </w:t>
      </w:r>
      <w:r w:rsidRPr="00BA122F">
        <w:rPr>
          <w:noProof/>
        </w:rPr>
        <w:t>särsk</w:t>
      </w:r>
      <w:r>
        <w:rPr>
          <w:noProof/>
        </w:rPr>
        <w:t xml:space="preserve">ilt till beslut nr 768/2008/EG, som </w:t>
      </w:r>
      <w:r w:rsidRPr="00F066BF">
        <w:rPr>
          <w:szCs w:val="24"/>
        </w:rPr>
        <w:t>fungerar som en mall f</w:t>
      </w:r>
      <w:r w:rsidRPr="00F066BF">
        <w:rPr>
          <w:rFonts w:hint="eastAsia"/>
          <w:szCs w:val="24"/>
        </w:rPr>
        <w:t>ö</w:t>
      </w:r>
      <w:r w:rsidRPr="00F066BF">
        <w:rPr>
          <w:szCs w:val="24"/>
        </w:rPr>
        <w:t>r hur r</w:t>
      </w:r>
      <w:r w:rsidRPr="00F066BF">
        <w:rPr>
          <w:rFonts w:hint="eastAsia"/>
          <w:szCs w:val="24"/>
        </w:rPr>
        <w:t>ä</w:t>
      </w:r>
      <w:r w:rsidRPr="00F066BF">
        <w:rPr>
          <w:szCs w:val="24"/>
        </w:rPr>
        <w:t>ttsakter som reglerar</w:t>
      </w:r>
      <w:r>
        <w:rPr>
          <w:szCs w:val="24"/>
        </w:rPr>
        <w:t xml:space="preserve"> produkter ska utformas. G</w:t>
      </w:r>
      <w:r w:rsidRPr="00F066BF">
        <w:rPr>
          <w:szCs w:val="24"/>
        </w:rPr>
        <w:t>enom att f</w:t>
      </w:r>
      <w:r w:rsidRPr="00F066BF">
        <w:rPr>
          <w:rFonts w:hint="eastAsia"/>
          <w:szCs w:val="24"/>
        </w:rPr>
        <w:t>ö</w:t>
      </w:r>
      <w:r>
        <w:rPr>
          <w:szCs w:val="24"/>
        </w:rPr>
        <w:t>lja samma mall</w:t>
      </w:r>
      <w:r w:rsidRPr="00F066BF">
        <w:rPr>
          <w:szCs w:val="24"/>
        </w:rPr>
        <w:t xml:space="preserve"> ska EU:s r</w:t>
      </w:r>
      <w:r w:rsidRPr="00F066BF">
        <w:rPr>
          <w:rFonts w:hint="eastAsia"/>
          <w:szCs w:val="24"/>
        </w:rPr>
        <w:t>ä</w:t>
      </w:r>
      <w:r w:rsidRPr="00F066BF">
        <w:rPr>
          <w:szCs w:val="24"/>
        </w:rPr>
        <w:t>ttsakter bli mer enhetliga n</w:t>
      </w:r>
      <w:r w:rsidRPr="00F066BF">
        <w:rPr>
          <w:rFonts w:hint="eastAsia"/>
          <w:szCs w:val="24"/>
        </w:rPr>
        <w:t>ä</w:t>
      </w:r>
      <w:r w:rsidRPr="00F066BF">
        <w:rPr>
          <w:szCs w:val="24"/>
        </w:rPr>
        <w:t>r det g</w:t>
      </w:r>
      <w:r w:rsidRPr="00F066BF">
        <w:rPr>
          <w:rFonts w:hint="eastAsia"/>
          <w:szCs w:val="24"/>
        </w:rPr>
        <w:t>ä</w:t>
      </w:r>
      <w:r w:rsidRPr="00F066BF">
        <w:rPr>
          <w:szCs w:val="24"/>
        </w:rPr>
        <w:t>ller t.ex. definitioner, skyldigheter f</w:t>
      </w:r>
      <w:r w:rsidRPr="00F066BF">
        <w:rPr>
          <w:rFonts w:hint="eastAsia"/>
          <w:szCs w:val="24"/>
        </w:rPr>
        <w:t>ö</w:t>
      </w:r>
      <w:r w:rsidRPr="00F066BF">
        <w:rPr>
          <w:szCs w:val="24"/>
        </w:rPr>
        <w:t>r ekonomiska akt</w:t>
      </w:r>
      <w:r w:rsidRPr="00F066BF">
        <w:rPr>
          <w:rFonts w:hint="eastAsia"/>
          <w:szCs w:val="24"/>
        </w:rPr>
        <w:t>ö</w:t>
      </w:r>
      <w:r>
        <w:rPr>
          <w:szCs w:val="24"/>
        </w:rPr>
        <w:t>rer (</w:t>
      </w:r>
      <w:r w:rsidRPr="00F066BF">
        <w:rPr>
          <w:szCs w:val="24"/>
        </w:rPr>
        <w:t>tillverkare, distribut</w:t>
      </w:r>
      <w:r w:rsidRPr="00F066BF">
        <w:rPr>
          <w:rFonts w:hint="eastAsia"/>
          <w:szCs w:val="24"/>
        </w:rPr>
        <w:t>ö</w:t>
      </w:r>
      <w:r>
        <w:rPr>
          <w:szCs w:val="24"/>
        </w:rPr>
        <w:t>rer m.fl.</w:t>
      </w:r>
      <w:r w:rsidRPr="00F066BF">
        <w:rPr>
          <w:szCs w:val="24"/>
        </w:rPr>
        <w:t>), krav p</w:t>
      </w:r>
      <w:r w:rsidRPr="00F066BF">
        <w:rPr>
          <w:rFonts w:hint="eastAsia"/>
          <w:szCs w:val="24"/>
        </w:rPr>
        <w:t>å</w:t>
      </w:r>
      <w:r w:rsidRPr="00F066BF">
        <w:rPr>
          <w:szCs w:val="24"/>
        </w:rPr>
        <w:t xml:space="preserve"> anm</w:t>
      </w:r>
      <w:r w:rsidRPr="00F066BF">
        <w:rPr>
          <w:rFonts w:hint="eastAsia"/>
          <w:szCs w:val="24"/>
        </w:rPr>
        <w:t>ä</w:t>
      </w:r>
      <w:r w:rsidRPr="00F066BF">
        <w:rPr>
          <w:szCs w:val="24"/>
        </w:rPr>
        <w:t>lda organ som kontrollerar produkter och marknadskontroll.</w:t>
      </w:r>
    </w:p>
    <w:p w14:paraId="51672B3D" w14:textId="77777777" w:rsidR="0059451F" w:rsidRDefault="0059451F" w:rsidP="0059451F">
      <w:pPr>
        <w:rPr>
          <w:szCs w:val="24"/>
        </w:rPr>
      </w:pPr>
    </w:p>
    <w:p w14:paraId="7DF2A3AA" w14:textId="77777777" w:rsidR="0059451F" w:rsidRDefault="0059451F" w:rsidP="0059451F">
      <w:pPr>
        <w:rPr>
          <w:noProof/>
        </w:rPr>
      </w:pPr>
      <w:r>
        <w:rPr>
          <w:noProof/>
        </w:rPr>
        <w:t xml:space="preserve">Syftet med förslaget är även att åtgärda vissa problem som uppstått i samband med genomförandet av gällande direktiv. Myndigheter, anmälda organ och tillverkare har haft skilda uppfattningar om vilka typer av anläggningar som omfattas av direktivet. Det har också funnits olika uppfattningar om viss utrustning bör betraktas som delsystem, infrastruktur eller säkerhetskomponent. De skilda tillvägagångssätten har medfört att marknaden snedvridits och de ekonomiska aktörerna behandlats på olika sätt. </w:t>
      </w:r>
    </w:p>
    <w:p w14:paraId="607DAF29" w14:textId="77777777" w:rsidR="0059451F" w:rsidRDefault="0059451F" w:rsidP="0059451F">
      <w:pPr>
        <w:rPr>
          <w:noProof/>
        </w:rPr>
      </w:pPr>
    </w:p>
    <w:p w14:paraId="50B5A238" w14:textId="77777777" w:rsidR="0059451F" w:rsidRDefault="0059451F" w:rsidP="0059451F">
      <w:pPr>
        <w:rPr>
          <w:noProof/>
        </w:rPr>
      </w:pPr>
      <w:r>
        <w:rPr>
          <w:noProof/>
        </w:rPr>
        <w:t xml:space="preserve">I övrigt har direktivet inte angett vilken typ av förfarande för bedömning av överensstämmelse som ska tillämpas på delsystem, vilket nu finns med i förslaget till förordning. </w:t>
      </w:r>
    </w:p>
    <w:p w14:paraId="631D0E84" w14:textId="77777777" w:rsidR="0059451F" w:rsidRDefault="0059451F" w:rsidP="0059451F">
      <w:pPr>
        <w:pStyle w:val="RKrubrik"/>
        <w:rPr>
          <w:iCs/>
        </w:rPr>
      </w:pPr>
      <w:r w:rsidRPr="00A53666">
        <w:rPr>
          <w:iCs/>
        </w:rPr>
        <w:t xml:space="preserve">Gällande svenska regler </w:t>
      </w:r>
      <w:r>
        <w:rPr>
          <w:iCs/>
        </w:rPr>
        <w:t>och förslagets effekter på dessa</w:t>
      </w:r>
    </w:p>
    <w:p w14:paraId="6CC2C56D" w14:textId="77777777" w:rsidR="0059451F" w:rsidRDefault="0059451F" w:rsidP="0059451F">
      <w:r>
        <w:t>Nuvarande direktiv 2000/9/EG är införlivat genom plan- och bygglagen (2010:900), PBL, 8 kap. 4 § och 24 § (krav på byggnadsverk) samt 16 kap. 5 § (bemyndigande om föreskrifter). I 11 kap PBL finns tillsynsbestämmelser och i 8 kap 3 § 4 plan- och byggförordningen (2011:338), (PBF), utpekas Boverket som marknadskontrollmyndighet enligt direktivet. I 10 kap 17 § PBF ges Boverket bemyndigande att närmare föreskriva om säkerhetskrav m.m. och märkning av linbaneanläggningars säkerhetskomponenter och delsystem. Direktivet är sedan till fullo införlivat genom 2 kap. 14 § och bilaga 1 i Boverkets föreskrifter och allmänna råd om hissar och andra motordrivna anordningar (BFS 2011:12).</w:t>
      </w:r>
    </w:p>
    <w:p w14:paraId="071CE0E2" w14:textId="77777777" w:rsidR="0059451F" w:rsidRDefault="0059451F" w:rsidP="0059451F"/>
    <w:p w14:paraId="79EC025C" w14:textId="77777777" w:rsidR="0059451F" w:rsidRDefault="0059451F" w:rsidP="0059451F">
      <w:r>
        <w:t>Bestämmelser om anmälda organ återfinns i lagen (2011:791) om ackre</w:t>
      </w:r>
      <w:r>
        <w:softHyphen/>
        <w:t xml:space="preserve">ditering och teknisk kontroll, förordning 2011:811 om ackreditering och teknisk kontroll samt </w:t>
      </w:r>
      <w:proofErr w:type="spellStart"/>
      <w:r>
        <w:t>Swedacs</w:t>
      </w:r>
      <w:proofErr w:type="spellEnd"/>
      <w:r>
        <w:t xml:space="preserve"> föreskrifter om anmälda organ (STAFS) 2011:5. </w:t>
      </w:r>
      <w:proofErr w:type="spellStart"/>
      <w:r>
        <w:t>Swedac</w:t>
      </w:r>
      <w:proofErr w:type="spellEnd"/>
      <w:r>
        <w:t xml:space="preserve"> är anmälande myndighet för anmälda organ.</w:t>
      </w:r>
    </w:p>
    <w:p w14:paraId="6E236F77" w14:textId="77777777" w:rsidR="0059451F" w:rsidRDefault="0059451F" w:rsidP="0059451F"/>
    <w:p w14:paraId="60782595" w14:textId="77777777" w:rsidR="0059451F" w:rsidRDefault="0059451F" w:rsidP="0059451F">
      <w:r>
        <w:lastRenderedPageBreak/>
        <w:t xml:space="preserve">Hänvisningen till det nuvarande direktivet i plan- och byggförordningen bör ses över om den nya förordningen träder i kraft. Den eventuellt något förändrade gränsdragningen mellan tivolianordningar och linbaneanläggningar kan möjligen påverka Rikspolisstyrelsens föreskrifter och ovanförliggande lagstiftning. </w:t>
      </w:r>
    </w:p>
    <w:p w14:paraId="7C46C0FB" w14:textId="77777777" w:rsidR="0059451F" w:rsidRDefault="0059451F" w:rsidP="0059451F"/>
    <w:p w14:paraId="4166670D" w14:textId="77777777" w:rsidR="0059451F" w:rsidRPr="0070407F" w:rsidRDefault="0059451F" w:rsidP="0059451F">
      <w:r>
        <w:t>Detaljerade behov av författningsändringar får utredas i särskild ordning.</w:t>
      </w:r>
    </w:p>
    <w:p w14:paraId="108C3FF5" w14:textId="77777777" w:rsidR="0059451F" w:rsidRDefault="0059451F" w:rsidP="0059451F">
      <w:pPr>
        <w:pStyle w:val="RKrubrik"/>
      </w:pPr>
      <w:r>
        <w:t>Ekonomiska konsekvenser</w:t>
      </w:r>
    </w:p>
    <w:p w14:paraId="6F7E527F" w14:textId="77777777" w:rsidR="0059451F" w:rsidRDefault="0059451F" w:rsidP="0059451F">
      <w:r>
        <w:t xml:space="preserve">Förslaget väntas inte få betydande konsekvenser för statsbudgeten eller för EU:s budget. Samhällsekonomiskt väntas vissa vinster uppkomma genom förtydliganden, även avseende krav på ekonomiska aktörer och anmälda organ. </w:t>
      </w:r>
    </w:p>
    <w:p w14:paraId="5C2FD0B0" w14:textId="77777777" w:rsidR="0059451F" w:rsidRDefault="0059451F" w:rsidP="0059451F"/>
    <w:p w14:paraId="3165E833" w14:textId="77777777" w:rsidR="0059451F" w:rsidRDefault="0059451F" w:rsidP="0059451F">
      <w:r>
        <w:t xml:space="preserve">Kommissionen har upprättat en konsekvensanalys. Kommissionens utgångspunkt är de brister som uppmärksammats vid tillämpningen av nuvarande direktiv. Genom att åtgärda dessa brister uppnås målen om att dessa produkter ska vara säkra, att den inre marknadens funktionssätt förbättras och att regelverket för produkter förenklas. </w:t>
      </w:r>
    </w:p>
    <w:p w14:paraId="7BA83C10" w14:textId="77777777" w:rsidR="006E4E11" w:rsidRDefault="006E4E11" w:rsidP="0059451F">
      <w:pPr>
        <w:pStyle w:val="RKnormal"/>
      </w:pPr>
    </w:p>
    <w:sectPr w:rsidR="006E4E11">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781FD" w14:textId="77777777" w:rsidR="002203F6" w:rsidRDefault="002203F6">
      <w:r>
        <w:separator/>
      </w:r>
    </w:p>
  </w:endnote>
  <w:endnote w:type="continuationSeparator" w:id="0">
    <w:p w14:paraId="7074E1E5" w14:textId="77777777" w:rsidR="002203F6" w:rsidRDefault="0022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534B7" w14:textId="77777777" w:rsidR="002203F6" w:rsidRDefault="002203F6">
      <w:r>
        <w:separator/>
      </w:r>
    </w:p>
  </w:footnote>
  <w:footnote w:type="continuationSeparator" w:id="0">
    <w:p w14:paraId="734B89F3" w14:textId="77777777" w:rsidR="002203F6" w:rsidRDefault="0022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FE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2620">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4CE663" w14:textId="77777777">
      <w:trPr>
        <w:cantSplit/>
      </w:trPr>
      <w:tc>
        <w:tcPr>
          <w:tcW w:w="3119" w:type="dxa"/>
        </w:tcPr>
        <w:p w14:paraId="47C2A6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7C9B56" w14:textId="77777777" w:rsidR="00E80146" w:rsidRDefault="00E80146">
          <w:pPr>
            <w:pStyle w:val="Sidhuvud"/>
            <w:ind w:right="360"/>
          </w:pPr>
        </w:p>
      </w:tc>
      <w:tc>
        <w:tcPr>
          <w:tcW w:w="1525" w:type="dxa"/>
        </w:tcPr>
        <w:p w14:paraId="745FEE7B" w14:textId="77777777" w:rsidR="00E80146" w:rsidRDefault="00E80146">
          <w:pPr>
            <w:pStyle w:val="Sidhuvud"/>
            <w:ind w:right="360"/>
          </w:pPr>
        </w:p>
      </w:tc>
    </w:tr>
  </w:tbl>
  <w:p w14:paraId="642F27A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B9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262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74F814" w14:textId="77777777">
      <w:trPr>
        <w:cantSplit/>
      </w:trPr>
      <w:tc>
        <w:tcPr>
          <w:tcW w:w="3119" w:type="dxa"/>
        </w:tcPr>
        <w:p w14:paraId="7BEFA4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8AAE50" w14:textId="77777777" w:rsidR="00E80146" w:rsidRDefault="00E80146">
          <w:pPr>
            <w:pStyle w:val="Sidhuvud"/>
            <w:ind w:right="360"/>
          </w:pPr>
        </w:p>
      </w:tc>
      <w:tc>
        <w:tcPr>
          <w:tcW w:w="1525" w:type="dxa"/>
        </w:tcPr>
        <w:p w14:paraId="6A4DF320" w14:textId="77777777" w:rsidR="00E80146" w:rsidRDefault="00E80146">
          <w:pPr>
            <w:pStyle w:val="Sidhuvud"/>
            <w:ind w:right="360"/>
          </w:pPr>
        </w:p>
      </w:tc>
    </w:tr>
  </w:tbl>
  <w:p w14:paraId="615DEED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615B" w14:textId="42599019" w:rsidR="002203F6" w:rsidRDefault="002203F6">
    <w:pPr>
      <w:framePr w:w="2948" w:h="1321" w:hRule="exact" w:wrap="notBeside" w:vAnchor="page" w:hAnchor="page" w:x="1362" w:y="653"/>
    </w:pPr>
    <w:r>
      <w:rPr>
        <w:noProof/>
        <w:lang w:eastAsia="sv-SE"/>
      </w:rPr>
      <w:drawing>
        <wp:inline distT="0" distB="0" distL="0" distR="0" wp14:anchorId="7AE0E0C0" wp14:editId="21011A4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BAFA31F" w14:textId="77777777" w:rsidR="00E80146" w:rsidRDefault="00E80146">
    <w:pPr>
      <w:pStyle w:val="RKrubrik"/>
      <w:keepNext w:val="0"/>
      <w:tabs>
        <w:tab w:val="clear" w:pos="1134"/>
        <w:tab w:val="clear" w:pos="2835"/>
      </w:tabs>
      <w:spacing w:before="0" w:after="0" w:line="320" w:lineRule="atLeast"/>
      <w:rPr>
        <w:bCs/>
      </w:rPr>
    </w:pPr>
  </w:p>
  <w:p w14:paraId="5C11A58A" w14:textId="77777777" w:rsidR="00E80146" w:rsidRDefault="00E80146">
    <w:pPr>
      <w:rPr>
        <w:rFonts w:ascii="TradeGothic" w:hAnsi="TradeGothic"/>
        <w:b/>
        <w:bCs/>
        <w:spacing w:val="12"/>
        <w:sz w:val="22"/>
      </w:rPr>
    </w:pPr>
  </w:p>
  <w:p w14:paraId="2C0891B3" w14:textId="77777777" w:rsidR="00E80146" w:rsidRDefault="00E80146">
    <w:pPr>
      <w:pStyle w:val="RKrubrik"/>
      <w:keepNext w:val="0"/>
      <w:tabs>
        <w:tab w:val="clear" w:pos="1134"/>
        <w:tab w:val="clear" w:pos="2835"/>
      </w:tabs>
      <w:spacing w:before="0" w:after="0" w:line="320" w:lineRule="atLeast"/>
      <w:rPr>
        <w:bCs/>
      </w:rPr>
    </w:pPr>
  </w:p>
  <w:p w14:paraId="5FCA4F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ocialdepartementet"/>
    <w:docVar w:name="Regering" w:val="N"/>
  </w:docVars>
  <w:rsids>
    <w:rsidRoot w:val="002203F6"/>
    <w:rsid w:val="00150384"/>
    <w:rsid w:val="00160901"/>
    <w:rsid w:val="001805B7"/>
    <w:rsid w:val="002203F6"/>
    <w:rsid w:val="00367B1C"/>
    <w:rsid w:val="004A328D"/>
    <w:rsid w:val="0058762B"/>
    <w:rsid w:val="0059451F"/>
    <w:rsid w:val="0059506E"/>
    <w:rsid w:val="006E4E11"/>
    <w:rsid w:val="007242A3"/>
    <w:rsid w:val="007A6855"/>
    <w:rsid w:val="008F2620"/>
    <w:rsid w:val="0092027A"/>
    <w:rsid w:val="00940E48"/>
    <w:rsid w:val="00955E31"/>
    <w:rsid w:val="00992E72"/>
    <w:rsid w:val="00AE27FB"/>
    <w:rsid w:val="00AE2C67"/>
    <w:rsid w:val="00AF26D1"/>
    <w:rsid w:val="00BC5BC0"/>
    <w:rsid w:val="00CB5D42"/>
    <w:rsid w:val="00D04CC0"/>
    <w:rsid w:val="00D133D7"/>
    <w:rsid w:val="00E80146"/>
    <w:rsid w:val="00E904D0"/>
    <w:rsid w:val="00EC25F9"/>
    <w:rsid w:val="00ED583F"/>
    <w:rsid w:val="00F05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10BB7A"/>
  <w15:docId w15:val="{1389D331-9AD4-47BA-BAC8-76CE76EC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03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03F6"/>
    <w:rPr>
      <w:rFonts w:ascii="Tahoma" w:hAnsi="Tahoma" w:cs="Tahoma"/>
      <w:sz w:val="16"/>
      <w:szCs w:val="16"/>
      <w:lang w:eastAsia="en-US"/>
    </w:rPr>
  </w:style>
  <w:style w:type="character" w:customStyle="1" w:styleId="RKnormalChar">
    <w:name w:val="RKnormal Char"/>
    <w:link w:val="RKnormal"/>
    <w:uiPriority w:val="99"/>
    <w:rsid w:val="0059451F"/>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f8ec74e8-fa29-4833-a052-363dab780e32" xsi:nil="true"/>
    <ViewPointStartDate xmlns="f8ec74e8-fa29-4833-a052-363dab780e32" xsi:nil="true"/>
    <DocumentStatus xmlns="f8ec74e8-fa29-4833-a052-363dab780e32">Utkast</DocumentStatus>
    <RegistrationNumber xmlns="f8ec74e8-fa29-4833-a052-363dab780e32" xsi:nil="true"/>
    <LatestActivity xmlns="f8ec74e8-fa29-4833-a052-363dab780e32" xsi:nil="true"/>
    <Delivered xmlns="f8ec74e8-fa29-4833-a052-363dab780e32" xsi:nil="true"/>
    <DepartementsenhetId xmlns="f8ec74e8-fa29-4833-a052-363dab780e32" xsi:nil="true"/>
    <ViewPointInProgress xmlns="f8ec74e8-fa29-4833-a052-363dab780e32" xsi:nil="true"/>
    <ViewPointEndDate xmlns="f8ec74e8-fa29-4833-a052-363dab780e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PDokument" ma:contentTypeID="0x01010053E1D612BA3F4E21AA250ECD751942B30031271B3D99615D44BF1B1E971AE5E3E9" ma:contentTypeVersion="0" ma:contentTypeDescription="EUPDokument" ma:contentTypeScope="" ma:versionID="7848f3f2a7aea3a50c5e4fe6b8cd86ed">
  <xsd:schema xmlns:xsd="http://www.w3.org/2001/XMLSchema" xmlns:xs="http://www.w3.org/2001/XMLSchema" xmlns:p="http://schemas.microsoft.com/office/2006/metadata/properties" xmlns:ns2="f8ec74e8-fa29-4833-a052-363dab780e32" targetNamespace="http://schemas.microsoft.com/office/2006/metadata/properties" ma:root="true" ma:fieldsID="95c73e88e9e3d6551f9fc1de8ac06fd8" ns2:_="">
    <xsd:import namespace="f8ec74e8-fa29-4833-a052-363dab780e3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4e8-fa29-4833-a052-363dab780e3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579D9-B62F-4D4D-8854-9A4EB5AE40E5}">
  <ds:schemaRef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8ec74e8-fa29-4833-a052-363dab780e3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9DB217D-2FF3-435F-BC7D-18881185CD71}">
  <ds:schemaRefs>
    <ds:schemaRef ds:uri="http://schemas.microsoft.com/sharepoint/v3/contenttype/forms"/>
  </ds:schemaRefs>
</ds:datastoreItem>
</file>

<file path=customXml/itemProps3.xml><?xml version="1.0" encoding="utf-8"?>
<ds:datastoreItem xmlns:ds="http://schemas.openxmlformats.org/officeDocument/2006/customXml" ds:itemID="{739ECC2F-D2DD-49C8-B4CA-22CF4059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4e8-fa29-4833-a052-363dab780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6324</Characters>
  <Application>Microsoft Office Word</Application>
  <DocSecurity>4</DocSecurity>
  <Lines>243</Lines>
  <Paragraphs>78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Loock</dc:creator>
  <cp:lastModifiedBy>Johan Eriksson</cp:lastModifiedBy>
  <cp:revision>2</cp:revision>
  <cp:lastPrinted>2014-11-24T13:09:00Z</cp:lastPrinted>
  <dcterms:created xsi:type="dcterms:W3CDTF">2014-11-24T13:10:00Z</dcterms:created>
  <dcterms:modified xsi:type="dcterms:W3CDTF">2014-11-24T13:10:00Z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0x01010053E1D612BA3F4E21AA250ECD751942B30031271B3D99615D44BF1B1E971AE5E3E9</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e426b910-91ea-4d1e-846d-30cd56c80f59</vt:lpwstr>
  </property>
  <property fmtid="{D5CDD505-2E9C-101B-9397-08002B2CF9AE}" pid="9" name="MCreatorEmail">
    <vt:lpwstr>i:0#.w|rk\nsm0803</vt:lpwstr>
  </property>
</Properties>
</file>