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B7E" w:rsidRDefault="006B3B7E">
      <w:pPr>
        <w:pStyle w:val="Rubrik1"/>
        <w:spacing w:before="0"/>
      </w:pPr>
      <w:bookmarkStart w:id="0" w:name="_Toc380386769"/>
      <w:r>
        <w:t>Till konstitutionsutskottet</w:t>
      </w:r>
      <w:bookmarkEnd w:id="0"/>
    </w:p>
    <w:p w:rsidR="006B3B7E" w:rsidRDefault="006B3B7E">
      <w:pPr>
        <w:pStyle w:val="Rubrik2"/>
      </w:pPr>
      <w:r>
        <w:t>Inledning</w:t>
      </w:r>
    </w:p>
    <w:p w:rsidR="006B3B7E" w:rsidRDefault="006B3B7E">
      <w:r>
        <w:t>I skrivelse 1996/97:15 lämnar regeringen bl.a. en redovisning av de beslut den fattat med anledning av de riksdagsbeslut som meddelats i riksdagens skrivelser till regeringen. Redogörelsen omfattar regeringsbeslut den 1 juli 1995 – den 30 juni 1996. Skrivelsen har hänvisats till konstitutionsutskottet.</w:t>
      </w:r>
    </w:p>
    <w:p w:rsidR="006B3B7E" w:rsidRDefault="006B3B7E">
      <w:pPr>
        <w:pStyle w:val="Normaltindrag"/>
      </w:pPr>
      <w:r>
        <w:t>Konstitutionsutskottet har berett övriga utskott tillfälle att yttra sig i äre</w:t>
      </w:r>
      <w:r>
        <w:t>n</w:t>
      </w:r>
      <w:r>
        <w:t>det.</w:t>
      </w:r>
    </w:p>
    <w:p w:rsidR="006B3B7E" w:rsidRDefault="006B3B7E">
      <w:pPr>
        <w:pStyle w:val="Normaltindrag"/>
      </w:pPr>
      <w:r>
        <w:t>Saken föranleder följande yttrande från justitieutskottet.</w:t>
      </w:r>
    </w:p>
    <w:p w:rsidR="006B3B7E" w:rsidRDefault="006B3B7E">
      <w:pPr>
        <w:pStyle w:val="Rubrik2"/>
      </w:pPr>
      <w:r>
        <w:t>Utskottet</w:t>
      </w:r>
    </w:p>
    <w:p w:rsidR="006B3B7E" w:rsidRDefault="006B3B7E">
      <w:pPr>
        <w:pStyle w:val="Rubrik3"/>
        <w:spacing w:before="123"/>
      </w:pPr>
      <w:r>
        <w:t>Årets skrivelse från regeringen</w:t>
      </w:r>
    </w:p>
    <w:p w:rsidR="006B3B7E" w:rsidRDefault="006B3B7E">
      <w:r>
        <w:t>I skrivelsen redovisas – såvitt är av omedelbart intresse för justitieutskottet – regeringens åtgärder med anledning av 21 riksdagsskrivelser med anledning av beslut som fattats av 1995/96 års riksmöte och som faller inom justitieu</w:t>
      </w:r>
      <w:r>
        <w:t>t</w:t>
      </w:r>
      <w:r>
        <w:t>skottets beredningsområde. Av skrivelserna redovisas två som inte slutb</w:t>
      </w:r>
      <w:r>
        <w:t>e</w:t>
      </w:r>
      <w:r>
        <w:t>handlade. Härutöver redovisas regeringens åtgärder med anledning av nio riksdagsskrivelser – likaledes inom justitieutskottets beredningsområde – där beslut fattats under tidigare riksmöten. Härav redovisas sju som inte slutb</w:t>
      </w:r>
      <w:r>
        <w:t>e</w:t>
      </w:r>
      <w:r>
        <w:t>handlade.</w:t>
      </w:r>
    </w:p>
    <w:p w:rsidR="006B3B7E" w:rsidRDefault="006B3B7E">
      <w:pPr>
        <w:pStyle w:val="Normaltindrag"/>
      </w:pPr>
      <w:r>
        <w:t>Utskottet har gjort en genomgång av de åtgärder som regeringen vidtagit innan skrivelserna ansetts slutbehandlade, och utskottet har inte funnit a</w:t>
      </w:r>
      <w:r>
        <w:t>n</w:t>
      </w:r>
      <w:r>
        <w:t>ledning till yttrande i denna del.</w:t>
      </w:r>
    </w:p>
    <w:p w:rsidR="006B3B7E" w:rsidRDefault="006B3B7E">
      <w:pPr>
        <w:pStyle w:val="Normaltindrag"/>
      </w:pPr>
      <w:r>
        <w:t>Utskottet har också granskat de åtgärder regeringen vidtagit med anledning av de riksdagsskrivelser som ännu inte är slutbehandlade. Inte heller i denna del föranleder granskningen något yttrande från utskottet.</w:t>
      </w:r>
    </w:p>
    <w:p w:rsidR="006B3B7E" w:rsidRDefault="006B3B7E">
      <w:pPr>
        <w:pStyle w:val="Rubrik3"/>
      </w:pPr>
      <w:r>
        <w:t>Övrigt</w:t>
      </w:r>
    </w:p>
    <w:p w:rsidR="006B3B7E" w:rsidRDefault="006B3B7E">
      <w:pPr>
        <w:spacing w:before="240"/>
      </w:pPr>
      <w:r>
        <w:t xml:space="preserve">Utskottet vill i detta sammanhang uppmärksamma konstitutionsutskottet på att justitieutskottet vid motsvarande granskning förra året (1995/96:JuU4y)  anmärkte på att regeringen ansett två ärenden vara slutbehandlade trots att </w:t>
      </w:r>
      <w:r>
        <w:lastRenderedPageBreak/>
        <w:t>åtgärder enligt utskottets mening ännu återstod. Det gällde dels rskr. 1993/94:229 (prop. 1993/94:100 bil. 3, JuU19) Anslag till polisväsendet, dels rskr. 1994/95:261 (prop. 1994/95:100 bil. 3, JuU13) Anslag till Brottsoffermyndigheten.</w:t>
      </w:r>
    </w:p>
    <w:p w:rsidR="006B3B7E" w:rsidRDefault="006B3B7E">
      <w:pPr>
        <w:pStyle w:val="Normaltindrag"/>
      </w:pPr>
      <w:r>
        <w:t>I ärendet om anslag till polisväsendet behandlades bl.a. anslagsfrågor och frågor om riktlinjer för polisverksamheten. Utskottet tog i sitt av riksdagen godkända betänkande bl.a. ställning för ett tillkännagivande om att regerin</w:t>
      </w:r>
      <w:r>
        <w:t>g</w:t>
      </w:r>
      <w:r>
        <w:t>en borde genomföra en upplysnings- och informationskampanj om ekon</w:t>
      </w:r>
      <w:r>
        <w:t>o</w:t>
      </w:r>
      <w:r>
        <w:t>misk brottslighet. Utskottet föreslog i den delen ett reservationsanslag under andra huvudtiteln om 10 miljoner kronor för den nämnda informationska</w:t>
      </w:r>
      <w:r>
        <w:t>m</w:t>
      </w:r>
      <w:r>
        <w:t>panjen. Vid sidan härav gjordes på utskottets initiativ andra dispositioner för att stärka ekobrottsbekämpningen. I den delen är ärendet också enligt utsko</w:t>
      </w:r>
      <w:r>
        <w:t>t</w:t>
      </w:r>
      <w:r>
        <w:t xml:space="preserve">tets mening slutbehandlat. </w:t>
      </w:r>
    </w:p>
    <w:p w:rsidR="006B3B7E" w:rsidRDefault="006B3B7E">
      <w:pPr>
        <w:pStyle w:val="Normaltindrag"/>
      </w:pPr>
      <w:r>
        <w:t>I sitt yttrande till konstitutionsutskottet förra året anförde utskottet att rik</w:t>
      </w:r>
      <w:r>
        <w:t>s</w:t>
      </w:r>
      <w:r>
        <w:t>dagens skrivelse i den delen den avsåg en informationskampanj om ekobrott inte kunde anses slutbehandlad. Orsaken var att den upplysnings- och info</w:t>
      </w:r>
      <w:r>
        <w:t>r</w:t>
      </w:r>
      <w:r>
        <w:t>mationskampanj som riksdagen beslutat om ännu inte hade genomförts och att regeringen heller inte hade fattat beslut om användningen av hela det belopp (10 miljoner kronor) som riksdagen anvisat till kampanjen. Av yt</w:t>
      </w:r>
      <w:r>
        <w:t>t</w:t>
      </w:r>
      <w:r>
        <w:t>randet framgår att regeringen anvisat 3 miljoner kronor till BRÅ för den angivna kampa</w:t>
      </w:r>
      <w:r>
        <w:t>n</w:t>
      </w:r>
      <w:r>
        <w:t>jen.</w:t>
      </w:r>
    </w:p>
    <w:p w:rsidR="006B3B7E" w:rsidRDefault="006B3B7E">
      <w:pPr>
        <w:pStyle w:val="Normaltindrag"/>
      </w:pPr>
      <w:r>
        <w:t>Ärendet har inte återaktualiserats av regeringen.</w:t>
      </w:r>
    </w:p>
    <w:p w:rsidR="006B3B7E" w:rsidRDefault="006B3B7E">
      <w:pPr>
        <w:pStyle w:val="Normaltindrag"/>
      </w:pPr>
      <w:r>
        <w:t>Utskottet kan nu konstatera att en kampanj mot ekobrottsligheten har i</w:t>
      </w:r>
      <w:r>
        <w:t>n</w:t>
      </w:r>
      <w:r>
        <w:t>letts med åtgärder av skiftande slag som vänder sig till olika grupper i sa</w:t>
      </w:r>
      <w:r>
        <w:t>m</w:t>
      </w:r>
      <w:r>
        <w:t xml:space="preserve">hället, inte minst till ungdomar. Emellertid har regeringen ännu inte anvisat mer än 6 miljoner kronor av de medel som avsatts för ändamålet. </w:t>
      </w:r>
    </w:p>
    <w:p w:rsidR="006B3B7E" w:rsidRDefault="006B3B7E">
      <w:pPr>
        <w:pStyle w:val="Normaltindrag"/>
      </w:pPr>
      <w:r>
        <w:t>Utskottet anser att ärendet ännu inte är slutbehandlat.</w:t>
      </w:r>
    </w:p>
    <w:p w:rsidR="006B3B7E" w:rsidRDefault="006B3B7E">
      <w:pPr>
        <w:pStyle w:val="Normaltindrag"/>
      </w:pPr>
      <w:r>
        <w:t>I ärendet om anslag till Brottsoffermyndigheten uttalade utskottet bl.a. att en utvärdering av de senaste årens insatser på brottsofferområdet borde g</w:t>
      </w:r>
      <w:r>
        <w:t>ö</w:t>
      </w:r>
      <w:r>
        <w:t>ras. Arbetet kunde enligt utskottets uppfattning beräknas bli tämligen omfa</w:t>
      </w:r>
      <w:r>
        <w:t>t</w:t>
      </w:r>
      <w:r>
        <w:t xml:space="preserve">tande, varför det kunde bli nödvändigt med en avrapportering, t.ex. i 1997 års budgetproposition, innan en slutlig rapport och eventuella förslag lades fram för riksdagen. </w:t>
      </w:r>
    </w:p>
    <w:p w:rsidR="006B3B7E" w:rsidRDefault="006B3B7E">
      <w:pPr>
        <w:pStyle w:val="Normaltindrag"/>
      </w:pPr>
      <w:r>
        <w:t>Regeringen tillsatte en utredning och ansåg därmed ärendet färdigbehan</w:t>
      </w:r>
      <w:r>
        <w:t>d</w:t>
      </w:r>
      <w:r>
        <w:t>lat. I förra årets yttrande till konstitutionsutskottet anförde utskottet att skr</w:t>
      </w:r>
      <w:r>
        <w:t>i</w:t>
      </w:r>
      <w:r>
        <w:t>velsen bort föras upp som slutbehandlad först när regeringen avlämnat en slutlig rapport och eventuella förslag till riksdagen. Utskottet hänvisade här till 1990/91:KU43 där KU anförde att  informations- och uppföljningsaspe</w:t>
      </w:r>
      <w:r>
        <w:t>k</w:t>
      </w:r>
      <w:r>
        <w:t>ter talar för att ett ärende inte bör anses slutbehandlat förrän de begärda åtgärderna vidtagits eller de avsedda resultaten kan framvisas i ärenden där regeringen fått i uppdrag att återkomma med förslag eller att genomföra åtgärder.</w:t>
      </w:r>
    </w:p>
    <w:p w:rsidR="006B3B7E" w:rsidRDefault="006B3B7E">
      <w:pPr>
        <w:pStyle w:val="Normaltindrag"/>
      </w:pPr>
      <w:r>
        <w:t>Ärendet har inte återaktualis</w:t>
      </w:r>
      <w:r>
        <w:t>e</w:t>
      </w:r>
      <w:r>
        <w:t xml:space="preserve">rats av regeringen. </w:t>
      </w:r>
    </w:p>
    <w:p w:rsidR="006B3B7E" w:rsidRDefault="006B3B7E">
      <w:pPr>
        <w:pStyle w:val="Normaltindrag"/>
      </w:pPr>
      <w:r>
        <w:t>Regeringen har i budgetpropositionen i enlighet med utskottets hemställan lämnat en rapport avseende det hittills utförda arbetet. Utredningen skall vara avslutad den 1 september 1997.</w:t>
      </w:r>
    </w:p>
    <w:p w:rsidR="006B3B7E" w:rsidRDefault="006B3B7E">
      <w:pPr>
        <w:pStyle w:val="Normaltindrag"/>
      </w:pPr>
      <w:r>
        <w:t>Enligt utskottets mening bör ärendet anses slutbehandlat först när reg</w:t>
      </w:r>
      <w:r>
        <w:t>e</w:t>
      </w:r>
      <w:r>
        <w:t>ringen i enlighet med riksdagens uttalande redovisat resultatet av utredning</w:t>
      </w:r>
      <w:r>
        <w:t>s</w:t>
      </w:r>
      <w:r>
        <w:t>arbetet till riksdagen. Detta kan ske antingen i en proposition om det finns anledning till det eller i annat lämpligt samma</w:t>
      </w:r>
      <w:r>
        <w:t>n</w:t>
      </w:r>
      <w:r>
        <w:t>hang.</w:t>
      </w:r>
    </w:p>
    <w:p w:rsidR="006B3B7E" w:rsidRDefault="006B3B7E">
      <w:pPr>
        <w:pStyle w:val="Normaltindrag"/>
      </w:pPr>
      <w:r>
        <w:t>Utskottet anser således att nu nämnda ärenden åter bör föras upp på fö</w:t>
      </w:r>
      <w:r>
        <w:t>r</w:t>
      </w:r>
      <w:r>
        <w:t>teckningen över ärenden som ännu inte slutbehandlats. Regeringen bör alltså åläggas att nästa år redovisa sin åtgärder i nämnda ärenden i den årliga skr</w:t>
      </w:r>
      <w:r>
        <w:t>i</w:t>
      </w:r>
      <w:r>
        <w:t>velsen till riksdagen med redogörelse för regeringens åtgärder med anledning av riksdagens skr</w:t>
      </w:r>
      <w:r>
        <w:t>i</w:t>
      </w:r>
      <w:r>
        <w:t>velser.</w:t>
      </w:r>
    </w:p>
    <w:p w:rsidR="006B3B7E" w:rsidRDefault="006B3B7E">
      <w:pPr>
        <w:pStyle w:val="Stockholm"/>
      </w:pPr>
      <w:r>
        <w:t>Stockholm den 4 mars 1997</w:t>
      </w:r>
    </w:p>
    <w:p w:rsidR="006B3B7E" w:rsidRDefault="006B3B7E">
      <w:pPr>
        <w:pStyle w:val="Vgnar"/>
      </w:pPr>
      <w:r>
        <w:t>På justitieutskottets vägnar</w:t>
      </w:r>
      <w:bookmarkStart w:id="1" w:name="Ordförande"/>
      <w:bookmarkStart w:id="2" w:name="Deltagare"/>
      <w:bookmarkEnd w:id="1"/>
      <w:bookmarkEnd w:id="2"/>
    </w:p>
    <w:p w:rsidR="006B3B7E" w:rsidRDefault="006B3B7E">
      <w:pPr>
        <w:pStyle w:val="Ordfnamn"/>
      </w:pPr>
      <w:r>
        <w:t>Gun Hellsvik</w:t>
      </w:r>
    </w:p>
    <w:p w:rsidR="006B3B7E" w:rsidRDefault="006B3B7E">
      <w:pPr>
        <w:pStyle w:val="Deltagare"/>
      </w:pPr>
      <w:r>
        <w:t>I beslutet har deltagit: Gun Hellsvik (m), Lars-Erik Lövdén (s), Göran Ma</w:t>
      </w:r>
      <w:r>
        <w:t>g</w:t>
      </w:r>
      <w:r>
        <w:t>nusson (s), Sigrid Bolkéus (s), Märta Johansson (s), Anders G Högmark (m), Siw Persson (fp), Ann-Marie Fagerström (s), Alice Åström (v), Maud Eke</w:t>
      </w:r>
      <w:r>
        <w:t>n</w:t>
      </w:r>
      <w:r>
        <w:t>dahl (m), Kia Andreasson (mp), Helena Frisk (s), Jeppe Johnsson (m), Sivert Carlsson (c), Majvi Andersson (s) och Cinnika Beiming (s).</w:t>
      </w: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p>
    <w:p w:rsidR="006B3B7E" w:rsidRDefault="006B3B7E">
      <w:pPr>
        <w:pStyle w:val="Tryckort"/>
      </w:pPr>
      <w:r>
        <w:t>Gotab, Stockholm  1997</w:t>
      </w:r>
    </w:p>
    <w:sectPr w:rsidR="006B3B7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B7E" w:rsidRDefault="006B3B7E">
      <w:pPr>
        <w:spacing w:before="0" w:line="240" w:lineRule="auto"/>
      </w:pPr>
      <w:r>
        <w:separator/>
      </w:r>
    </w:p>
  </w:endnote>
  <w:endnote w:type="continuationSeparator" w:id="0">
    <w:p w:rsidR="006B3B7E" w:rsidRDefault="006B3B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E" w:rsidRDefault="006B3B7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E" w:rsidRDefault="006B3B7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E" w:rsidRDefault="006B3B7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B7E" w:rsidRDefault="006B3B7E">
      <w:pPr>
        <w:spacing w:before="0" w:line="240" w:lineRule="auto"/>
      </w:pPr>
      <w:r>
        <w:separator/>
      </w:r>
    </w:p>
  </w:footnote>
  <w:footnote w:type="continuationSeparator" w:id="0">
    <w:p w:rsidR="006B3B7E" w:rsidRDefault="006B3B7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Nästa_Reservation"/>
  <w:bookmarkEnd w:id="3"/>
  <w:p w:rsidR="006B3B7E" w:rsidRDefault="006B3B7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1996/97:JuU2y</w:t>
    </w:r>
    <w:r>
      <w:fldChar w:fldCharType="end"/>
    </w:r>
  </w:p>
  <w:p w:rsidR="006B3B7E" w:rsidRDefault="006B3B7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B3B7E" w:rsidRDefault="006B3B7E">
    <w:pPr>
      <w:pStyle w:val="SidhuvudV"/>
      <w:framePr w:w="2302" w:h="1928" w:hRule="exact" w:wrap="notBeside"/>
    </w:pPr>
    <w:r>
      <w:fldChar w:fldCharType="end"/>
    </w:r>
  </w:p>
  <w:p w:rsidR="006B3B7E" w:rsidRDefault="006B3B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E" w:rsidRDefault="006B3B7E">
    <w:pPr>
      <w:pStyle w:val="SidhuvudKant"/>
      <w:framePr w:hSpace="284" w:wrap="around"/>
    </w:pPr>
    <w:r>
      <w:rPr>
        <w:sz w:val="21"/>
      </w:rPr>
      <w:t>1996/97:JuU2y</w:t>
    </w:r>
  </w:p>
  <w:p w:rsidR="006B3B7E" w:rsidRDefault="006B3B7E">
    <w:pPr>
      <w:pStyle w:val="SidhuvudKant"/>
      <w:framePr w:hSpace="284" w:wrap="around"/>
      <w:rPr>
        <w:vanish/>
      </w:rPr>
    </w:pPr>
    <w:r>
      <w:rPr>
        <w:vanish/>
      </w:rPr>
      <w:t>&gt;B</w:t>
    </w:r>
  </w:p>
  <w:p w:rsidR="006B3B7E" w:rsidRDefault="006B3B7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B7E" w:rsidRDefault="006B3B7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44" r:id="rId2"/>
      </w:object>
    </w:r>
  </w:p>
  <w:p w:rsidR="006B3B7E" w:rsidRDefault="006B3B7E">
    <w:pPr>
      <w:pStyle w:val="SidhuvudFVapen"/>
      <w:framePr w:wrap="notBeside" w:x="7253" w:y="188"/>
      <w:spacing w:line="230" w:lineRule="auto"/>
      <w:rPr>
        <w:sz w:val="24"/>
      </w:rPr>
    </w:pPr>
    <w:bookmarkStart w:id="4" w:name="BnrVapen"/>
    <w:r>
      <w:rPr>
        <w:sz w:val="24"/>
      </w:rPr>
      <w:t>1996/97</w:t>
    </w:r>
  </w:p>
  <w:p w:rsidR="006B3B7E" w:rsidRDefault="006B3B7E">
    <w:pPr>
      <w:pStyle w:val="SidhuvudFVapen"/>
      <w:framePr w:wrap="notBeside" w:x="7253" w:y="188"/>
      <w:spacing w:line="230" w:lineRule="auto"/>
      <w:rPr>
        <w:sz w:val="24"/>
      </w:rPr>
    </w:pPr>
    <w:r>
      <w:rPr>
        <w:sz w:val="24"/>
      </w:rPr>
      <w:t xml:space="preserve">JuU2y </w:t>
    </w:r>
    <w:bookmarkEnd w:id="4"/>
    <w:r w:rsidR="00F1155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880175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DC57C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B3B7E" w:rsidRDefault="006B3B7E">
    <w:pPr>
      <w:pStyle w:val="SidhuvudFText"/>
      <w:framePr w:w="5727" w:h="2722" w:hRule="exact" w:hSpace="0" w:wrap="notBeside" w:hAnchor="page" w:x="1135" w:y="568"/>
      <w:spacing w:line="400" w:lineRule="exact"/>
      <w:ind w:right="629"/>
      <w:rPr>
        <w:sz w:val="36"/>
      </w:rPr>
    </w:pPr>
    <w:bookmarkStart w:id="5" w:name="DokumentTyp"/>
    <w:r>
      <w:rPr>
        <w:sz w:val="36"/>
      </w:rPr>
      <w:t xml:space="preserve">Justitieutskottets yttrande </w:t>
    </w:r>
    <w:bookmarkEnd w:id="5"/>
  </w:p>
  <w:p w:rsidR="006B3B7E" w:rsidRDefault="006B3B7E">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1996/97:JuU2y </w:t>
    </w:r>
    <w:bookmarkEnd w:id="6"/>
    <w:r>
      <w:rPr>
        <w:sz w:val="36"/>
      </w:rPr>
      <w:t xml:space="preserve">       </w:t>
    </w:r>
    <w:bookmarkStart w:id="7" w:name="Utkast"/>
    <w:r>
      <w:rPr>
        <w:sz w:val="36"/>
      </w:rPr>
      <w:t xml:space="preserve"> </w:t>
    </w:r>
  </w:p>
  <w:p w:rsidR="006B3B7E" w:rsidRDefault="006B3B7E">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Regeringens behandling av riksdagens skrivelser</w:t>
    </w:r>
    <w:r>
      <w:rPr>
        <w:sz w:val="26"/>
      </w:rPr>
      <w:t xml:space="preserve"> </w:t>
    </w:r>
    <w:bookmarkEnd w:id="8"/>
    <w:r>
      <w:rPr>
        <w:sz w:val="26"/>
      </w:rPr>
      <w:t xml:space="preserve"> </w:t>
    </w:r>
  </w:p>
  <w:p w:rsidR="006B3B7E" w:rsidRDefault="006B3B7E">
    <w:pPr>
      <w:pStyle w:val="SidhuvudFText"/>
      <w:framePr w:w="5727" w:h="2722" w:hRule="exact" w:hSpace="0" w:wrap="notBeside" w:hAnchor="page" w:x="1135" w:y="568"/>
      <w:spacing w:line="460" w:lineRule="exact"/>
      <w:ind w:right="629"/>
      <w:rPr>
        <w:sz w:val="36"/>
      </w:rPr>
    </w:pPr>
  </w:p>
  <w:p w:rsidR="006B3B7E" w:rsidRDefault="006B3B7E">
    <w:pPr>
      <w:pStyle w:val="SidhuvudFText"/>
      <w:framePr w:w="5727" w:h="2722" w:hRule="exact" w:hSpace="0" w:wrap="notBeside" w:hAnchor="page" w:x="1135" w:y="568"/>
      <w:spacing w:before="40" w:after="900" w:line="300" w:lineRule="exact"/>
      <w:ind w:right="629"/>
      <w:rPr>
        <w:sz w:val="26"/>
      </w:rPr>
    </w:pPr>
    <w:r>
      <w:rPr>
        <w:sz w:val="26"/>
      </w:rPr>
      <w:t xml:space="preserve"> </w:t>
    </w:r>
  </w:p>
  <w:p w:rsidR="006B3B7E" w:rsidRDefault="006B3B7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2y"/>
    <w:docVar w:name="HelaNamnet" w:val="1996/97:JuU2y"/>
    <w:docVar w:name="NR" w:val="2y"/>
    <w:docVar w:name="RUBRIK" w:val="Regeringens behandling av riksdagens skrivelser"/>
    <w:docVar w:name="SkapVERSION" w:val="V7.21 970204"/>
    <w:docVar w:name="SkapÅr" w:val="9697"/>
    <w:docVar w:name="Typer" w:val="S"/>
    <w:docVar w:name="USK" w:val="JuU"/>
    <w:docVar w:name="USKKORT" w:val="JuU"/>
    <w:docVar w:name="USKNAMN" w:val="Justitieutskottets"/>
    <w:docVar w:name="USKNAMNG" w:val="justitieutskottets"/>
    <w:docVar w:name="ÅR" w:val="1996/97"/>
  </w:docVars>
  <w:rsids>
    <w:rsidRoot w:val="002A268E"/>
    <w:rsid w:val="002A268E"/>
    <w:rsid w:val="006B3B7E"/>
    <w:rsid w:val="00F115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6F1E7D-A2E2-4A15-AC64-B050343D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791</Words>
  <Characters>5044</Characters>
  <Application>Microsoft Office Word</Application>
  <DocSecurity>4</DocSecurity>
  <Lines>136</Lines>
  <Paragraphs>32</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2y</dc:title>
  <dc:subject>Justitieutskottets betänkande nr 2y</dc:subject>
  <dc:creator>Riksdagen</dc:creator>
  <cp:keywords>Riksdagen</cp:keywords>
  <cp:lastModifiedBy>Lars Brink</cp:lastModifiedBy>
  <cp:revision>2</cp:revision>
  <cp:lastPrinted>1997-03-12T08:07:00Z</cp:lastPrinted>
  <dcterms:created xsi:type="dcterms:W3CDTF">2025-12-15T18:41:00Z</dcterms:created>
  <dcterms:modified xsi:type="dcterms:W3CDTF">2025-12-15T18:41:00Z</dcterms:modified>
</cp:coreProperties>
</file>