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124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25 maj 2020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28 maj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2019/20:402 av Jens Holm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Klimatkrav på flyget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2019/20:RR5 Riksrevisorns årliga rapport 2020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2019/20:FiU58 Rättelse i lagen om näringsförbud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2019/20:JuU23 Ökat skydd mot hedersrelaterad 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15 res. (M, SD,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2019/20:JuU24 Stärkt integritet i Rättsmedicinalverkets verksamhet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2019/20:JuU40 En effektivare hantering av ärenden om överförande av straffverkställighet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2019/20:SoU11 Hälso- och sjukvårdens organisation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35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Eva Nordmark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2019/20:396 av Désirée Pethrus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Arbetsmiljöarbetet under coronakrisen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25 maj 2020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2020-05-25</SAFIR_Sammantradesdatum_Doc>
    <SAFIR_SammantradeID xmlns="C07A1A6C-0B19-41D9-BDF8-F523BA3921EB">6b5b1777-a0ca-4c8b-8f23-c5e256eaf45b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E862D2-E687-4BA7-9B1F-1DAF586CC1BB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25 maj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